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Title.</w:t>
      </w:r>
      <w:r>
        <w:t xml:space="preserve"> </w:t>
      </w:r>
      <w:r>
        <w:t xml:space="preserve">Can open prescribing data detect effects of medicines on tuberculosis? An ecological</w:t>
      </w:r>
      <w:r>
        <w:t xml:space="preserve"> </w:t>
      </w:r>
      <w:r>
        <w:t xml:space="preserve">study of primary care and hospital prescribing and TB notifications in England, 2011–2024</w:t>
      </w:r>
    </w:p>
    <w:p>
      <w:pPr>
        <w:pStyle w:val="BodyText"/>
      </w:pPr>
      <w:r>
        <w:rPr>
          <w:b/>
          <w:bCs/>
        </w:rPr>
        <w:t xml:space="preserve">Short title.</w:t>
      </w:r>
      <w:r>
        <w:t xml:space="preserve"> </w:t>
      </w:r>
      <w:r>
        <w:t xml:space="preserve">Prescribing and tuberculosis notifications in England</w:t>
      </w:r>
    </w:p>
    <w:p>
      <w:pPr>
        <w:pStyle w:val="BodyText"/>
      </w:pPr>
      <w:r>
        <w:rPr>
          <w:b/>
          <w:bCs/>
        </w:rPr>
        <w:t xml:space="preserve">Authors.</w:t>
      </w:r>
      <w:r>
        <w:t xml:space="preserve"> </w:t>
      </w:r>
      <w:r>
        <w:t xml:space="preserve">Jack Callum,</w:t>
      </w:r>
      <w:r>
        <w:rPr>
          <w:vertAlign w:val="superscript"/>
        </w:rPr>
        <w:t xml:space="preserve">1</w:t>
      </w:r>
      <w:r>
        <w:t xml:space="preserve"> </w:t>
      </w:r>
      <w:r>
        <w:t xml:space="preserve">Carl Reynolds</w:t>
      </w:r>
      <w:r>
        <w:rPr>
          <w:vertAlign w:val="superscript"/>
        </w:rPr>
        <w:t xml:space="preserve">2</w:t>
      </w:r>
    </w:p>
    <w:p>
      <w:pPr>
        <w:pStyle w:val="BodyText"/>
      </w:pPr>
      <w:r>
        <w:rPr>
          <w:b/>
          <w:bCs/>
        </w:rPr>
        <w:t xml:space="preserve">Affiliations.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t xml:space="preserve">Respiratory and Sleep Medicine, Homerton University Hospital NHS Foundation Trust, London, UK</w:t>
      </w:r>
      <w:r>
        <w:t xml:space="preserve"> </w:t>
      </w:r>
      <w:r>
        <w:t xml:space="preserve">[taken from JC’s email signature; to be confirmed, including the current legal name of the trust]</w:t>
      </w:r>
      <w:r>
        <w:t xml:space="preserve"> </w:t>
      </w:r>
      <w:r>
        <w:rPr>
          <w:vertAlign w:val="superscript"/>
        </w:rPr>
        <w:t xml:space="preserve">2</w:t>
      </w:r>
      <w:r>
        <w:t xml:space="preserve"> </w:t>
      </w:r>
      <w:r>
        <w:t xml:space="preserve">Wolfson Institute of Population Health, Queen Mary University of London, London, UK</w:t>
      </w:r>
    </w:p>
    <w:p>
      <w:pPr>
        <w:pStyle w:val="BodyText"/>
      </w:pPr>
      <w:r>
        <w:rPr>
          <w:b/>
          <w:bCs/>
        </w:rPr>
        <w:t xml:space="preserve">Corresponding author.</w:t>
      </w:r>
      <w:r>
        <w:t xml:space="preserve"> </w:t>
      </w:r>
      <w:r>
        <w:t xml:space="preserve">Carl Reynolds, academic@carlreynolds.net</w:t>
      </w:r>
    </w:p>
    <w:p>
      <w:pPr>
        <w:pStyle w:val="BodyText"/>
      </w:pPr>
      <w:r>
        <w:rPr>
          <w:i/>
          <w:iCs/>
        </w:rPr>
        <w:t xml:space="preserve">Note for the authors: authorship and the contribution statement below are provisional pending</w:t>
      </w:r>
      <w:r>
        <w:rPr>
          <w:i/>
          <w:iCs/>
        </w:rPr>
        <w:t xml:space="preserve"> </w:t>
      </w:r>
      <w:r>
        <w:rPr>
          <w:i/>
          <w:iCs/>
        </w:rPr>
        <w:t xml:space="preserve">confirmation from JC.</w:t>
      </w:r>
    </w:p>
    <w:p>
      <w:pPr>
        <w:pStyle w:val="BodyText"/>
      </w:pPr>
      <w:r>
        <w:rPr>
          <w:b/>
          <w:bCs/>
        </w:rPr>
        <w:t xml:space="preserve">Word counts.</w:t>
      </w:r>
      <w:r>
        <w:t xml:space="preserve"> </w:t>
      </w:r>
      <w:r>
        <w:t xml:space="preserve">Main text: 3513 words. Abstract: 302 words.</w:t>
      </w:r>
    </w:p>
    <w:p>
      <w:pPr>
        <w:pStyle w:val="BodyText"/>
      </w:pPr>
      <w:r>
        <w:rPr>
          <w:b/>
          <w:bCs/>
        </w:rPr>
        <w:t xml:space="preserve">Keywords.</w:t>
      </w:r>
      <w:r>
        <w:t xml:space="preserve"> </w:t>
      </w:r>
      <w:r>
        <w:t xml:space="preserve">tuberculosis; pharmacoepidemiology; ecological study; routinely collected health</w:t>
      </w:r>
      <w:r>
        <w:t xml:space="preserve"> </w:t>
      </w:r>
      <w:r>
        <w:t xml:space="preserve">data; glucocorticoids; biological therapy</w:t>
      </w:r>
    </w:p>
    <w:p>
      <w:pPr>
        <w:pStyle w:val="BodyText"/>
      </w:pPr>
      <w:r>
        <w:rPr>
          <w:b/>
          <w:bCs/>
        </w:rPr>
        <w:t xml:space="preserve">Reporting guideline.</w:t>
      </w:r>
      <w:r>
        <w:t xml:space="preserve"> </w:t>
      </w:r>
      <w:r>
        <w:t xml:space="preserve">RECORD, an extension of STROBE for studies using routinely collected</w:t>
      </w:r>
      <w:r>
        <w:t xml:space="preserve"> </w:t>
      </w:r>
      <w:r>
        <w:t xml:space="preserve">health data. The completed checklist is in the supplementary file.</w:t>
      </w:r>
    </w:p>
    <w:bookmarkStart w:id="20" w:name="statements"/>
    <w:p>
      <w:pPr>
        <w:pStyle w:val="Heading2"/>
      </w:pPr>
      <w:r>
        <w:t xml:space="preserve">Statements</w:t>
      </w:r>
    </w:p>
    <w:p>
      <w:pPr>
        <w:pStyle w:val="FirstParagraph"/>
      </w:pPr>
      <w:r>
        <w:rPr>
          <w:b/>
          <w:bCs/>
        </w:rPr>
        <w:t xml:space="preserve">Funding.</w:t>
      </w:r>
      <w:r>
        <w:t xml:space="preserve"> </w:t>
      </w:r>
      <w:r>
        <w:t xml:space="preserve">This research received no specific grant from any funding agency in the public,</w:t>
      </w:r>
      <w:r>
        <w:t xml:space="preserve"> </w:t>
      </w:r>
      <w:r>
        <w:t xml:space="preserve">commercial or not-for-profit sectors.</w:t>
      </w:r>
    </w:p>
    <w:p>
      <w:pPr>
        <w:pStyle w:val="BodyText"/>
      </w:pPr>
      <w:r>
        <w:rPr>
          <w:b/>
          <w:bCs/>
        </w:rPr>
        <w:t xml:space="preserve">Competing interests.</w:t>
      </w:r>
      <w:r>
        <w:t xml:space="preserve"> </w:t>
      </w:r>
      <w:r>
        <w:t xml:space="preserve">None declared.</w:t>
      </w:r>
    </w:p>
    <w:p>
      <w:pPr>
        <w:pStyle w:val="BodyText"/>
      </w:pPr>
      <w:r>
        <w:rPr>
          <w:b/>
          <w:bCs/>
        </w:rPr>
        <w:t xml:space="preserve">Provenance and peer review.</w:t>
      </w:r>
      <w:r>
        <w:t xml:space="preserve"> </w:t>
      </w:r>
      <w:r>
        <w:t xml:space="preserve">Not commissioned; externally peer reviewed.</w:t>
      </w:r>
    </w:p>
    <w:p>
      <w:pPr>
        <w:pStyle w:val="BodyText"/>
      </w:pPr>
      <w:r>
        <w:rPr>
          <w:b/>
          <w:bCs/>
        </w:rPr>
        <w:t xml:space="preserve">Patient consent for publication.</w:t>
      </w:r>
      <w:r>
        <w:t xml:space="preserve"> </w:t>
      </w:r>
      <w:r>
        <w:t xml:space="preserve">Not applicable.</w:t>
      </w:r>
    </w:p>
    <w:p>
      <w:pPr>
        <w:pStyle w:val="BodyText"/>
      </w:pPr>
      <w:r>
        <w:rPr>
          <w:b/>
          <w:bCs/>
        </w:rPr>
        <w:t xml:space="preserve">Ethics approval.</w:t>
      </w:r>
      <w:r>
        <w:t xml:space="preserve"> </w:t>
      </w:r>
      <w:r>
        <w:t xml:space="preserve">Not applicable. All data are aggregate, openly published and anonymous, and no</w:t>
      </w:r>
      <w:r>
        <w:t xml:space="preserve"> </w:t>
      </w:r>
      <w:r>
        <w:t xml:space="preserve">individual-level records were used.</w:t>
      </w:r>
    </w:p>
    <w:p>
      <w:pPr>
        <w:pStyle w:val="BodyText"/>
      </w:pPr>
      <w:r>
        <w:rPr>
          <w:b/>
          <w:bCs/>
        </w:rPr>
        <w:t xml:space="preserve">Patient and public involvement.</w:t>
      </w:r>
      <w:r>
        <w:t xml:space="preserve"> </w:t>
      </w:r>
      <w:r>
        <w:t xml:space="preserve">Patients and the public were not involved in the design,</w:t>
      </w:r>
      <w:r>
        <w:t xml:space="preserve"> </w:t>
      </w:r>
      <w:r>
        <w:t xml:space="preserve">conduct, reporting or dissemination plans of this research, which used aggregate published</w:t>
      </w:r>
      <w:r>
        <w:t xml:space="preserve"> </w:t>
      </w:r>
      <w:r>
        <w:t xml:space="preserve">statistics.</w:t>
      </w:r>
    </w:p>
    <w:p>
      <w:pPr>
        <w:pStyle w:val="BodyText"/>
      </w:pPr>
      <w:r>
        <w:rPr>
          <w:b/>
          <w:bCs/>
        </w:rPr>
        <w:t xml:space="preserve">Data availability.</w:t>
      </w:r>
      <w:r>
        <w:t xml:space="preserve"> </w:t>
      </w:r>
      <w:r>
        <w:t xml:space="preserve">All data are publicly available: NHSBSA Open Data Portal (English</w:t>
      </w:r>
      <w:r>
        <w:t xml:space="preserve"> </w:t>
      </w:r>
      <w:r>
        <w:t xml:space="preserve">Prescribing Dataset; Secondary Care Medicines Data), NHS Digital practice-level prescribing and</w:t>
      </w:r>
      <w:r>
        <w:t xml:space="preserve"> </w:t>
      </w:r>
      <w:r>
        <w:t xml:space="preserve">patients registered at a GP practice by LSOA, UK Health Security Agency tuberculosis reports and</w:t>
      </w:r>
      <w:r>
        <w:t xml:space="preserve"> </w:t>
      </w:r>
      <w:r>
        <w:t xml:space="preserve">OHID Fingertips, OHID acute trust catchment populations, ONS/Nomis population and migration</w:t>
      </w:r>
      <w:r>
        <w:t xml:space="preserve"> </w:t>
      </w:r>
      <w:r>
        <w:t xml:space="preserve">estimates, Home Office asylum support statistics, NHS England Organisation Data Service, and MHCLG</w:t>
      </w:r>
      <w:r>
        <w:t xml:space="preserve"> </w:t>
      </w:r>
      <w:r>
        <w:t xml:space="preserve">English Indices of Deprivation. Analysis code, processed datasets, result files and the figures in</w:t>
      </w:r>
      <w:r>
        <w:t xml:space="preserve"> </w:t>
      </w:r>
      <w:r>
        <w:t xml:space="preserve">this paper are at https://github.com/drcjar/tb-prescribing-england.</w:t>
      </w:r>
    </w:p>
    <w:p>
      <w:pPr>
        <w:pStyle w:val="BodyText"/>
      </w:pPr>
      <w:r>
        <w:rPr>
          <w:b/>
          <w:bCs/>
        </w:rPr>
        <w:t xml:space="preserve">Author contributions.</w:t>
      </w:r>
      <w:r>
        <w:t xml:space="preserve"> </w:t>
      </w:r>
      <w:r>
        <w:t xml:space="preserve">[To be confirmed.] Suggested wording: CR and JC conceived the study. CR</w:t>
      </w:r>
      <w:r>
        <w:t xml:space="preserve"> </w:t>
      </w:r>
      <w:r>
        <w:t xml:space="preserve">obtained and processed the data and did the statistical analysis. JC and CR designed the control and</w:t>
      </w:r>
      <w:r>
        <w:t xml:space="preserve"> </w:t>
      </w:r>
      <w:r>
        <w:t xml:space="preserve">falsification analyses and interpreted the results. JC drafted the manuscript, and CR revised it</w:t>
      </w:r>
      <w:r>
        <w:t xml:space="preserve"> </w:t>
      </w:r>
      <w:r>
        <w:t xml:space="preserve">critically for important intellectual content. Both authors approved the final version and accept</w:t>
      </w:r>
      <w:r>
        <w:t xml:space="preserve"> </w:t>
      </w:r>
      <w:r>
        <w:t xml:space="preserve">accountability for all aspects of the work.</w:t>
      </w:r>
    </w:p>
    <w:p>
      <w:pPr>
        <w:pStyle w:val="BodyText"/>
      </w:pPr>
      <w:r>
        <w:rPr>
          <w:b/>
          <w:bCs/>
        </w:rPr>
        <w:t xml:space="preserve">Acknowledgements.</w:t>
      </w:r>
      <w:r>
        <w:t xml:space="preserve"> </w:t>
      </w:r>
      <w:r>
        <w:t xml:space="preserve">We thank the NHS Business Services Authority, NHS England, UKHSA, OHID and</w:t>
      </w:r>
      <w:r>
        <w:t xml:space="preserve"> </w:t>
      </w:r>
      <w:r>
        <w:t xml:space="preserve">ONS for publishing the data used here.</w:t>
      </w:r>
    </w:p>
    <w:p>
      <w:pPr>
        <w:pStyle w:val="BodyText"/>
      </w:pPr>
      <w:r>
        <w:rPr>
          <w:b/>
          <w:bCs/>
        </w:rPr>
        <w:t xml:space="preserve">Transparency statement.</w:t>
      </w:r>
      <w:r>
        <w:t xml:space="preserve"> </w:t>
      </w:r>
      <w:r>
        <w:t xml:space="preserve">The lead author affirms that this manuscript is an honest, accurate and</w:t>
      </w:r>
      <w:r>
        <w:t xml:space="preserve"> </w:t>
      </w:r>
      <w:r>
        <w:t xml:space="preserve">transparent account of the study being reported; that no important aspects of the study have been</w:t>
      </w:r>
      <w:r>
        <w:t xml:space="preserve"> </w:t>
      </w:r>
      <w:r>
        <w:t xml:space="preserve">omitted; and that any discrepancies from the study as originally planned have been explained. The</w:t>
      </w:r>
      <w:r>
        <w:t xml:space="preserve"> </w:t>
      </w:r>
      <w:r>
        <w:t xml:space="preserve">chronology of the analysis, including analyses added after initial null results, is described in</w:t>
      </w:r>
      <w:r>
        <w:t xml:space="preserve"> </w:t>
      </w:r>
      <w:r>
        <w:t xml:space="preserve">the Methods.</w:t>
      </w:r>
    </w:p>
    <w:bookmarkEnd w:id="20"/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Objectives.</w:t>
      </w:r>
      <w:r>
        <w:t xml:space="preserve"> </w:t>
      </w:r>
      <w:r>
        <w:t xml:space="preserve">To assess whether openly published English prescribing and tuberculosis (TB)</w:t>
      </w:r>
      <w:r>
        <w:t xml:space="preserve"> </w:t>
      </w:r>
      <w:r>
        <w:t xml:space="preserve">surveillance data can detect population-level associations between medicines and TB, and how large</w:t>
      </w:r>
      <w:r>
        <w:t xml:space="preserve"> </w:t>
      </w:r>
      <w:r>
        <w:t xml:space="preserve">an effect such designs could detect.</w:t>
      </w:r>
    </w:p>
    <w:p>
      <w:pPr>
        <w:pStyle w:val="BodyText"/>
      </w:pPr>
      <w:r>
        <w:rPr>
          <w:b/>
          <w:bCs/>
        </w:rPr>
        <w:t xml:space="preserve">Design.</w:t>
      </w:r>
      <w:r>
        <w:t xml:space="preserve"> </w:t>
      </w:r>
      <w:r>
        <w:t xml:space="preserve">Ecological study: Poisson panel models with area and year fixed effects, negative-control</w:t>
      </w:r>
      <w:r>
        <w:t xml:space="preserve"> </w:t>
      </w:r>
      <w:r>
        <w:t xml:space="preserve">exposures, falsification tests, a disease-specific positive control, minimum detectable effects and</w:t>
      </w:r>
      <w:r>
        <w:t xml:space="preserve"> </w:t>
      </w:r>
      <w:r>
        <w:t xml:space="preserve">a power simulation.</w:t>
      </w:r>
    </w:p>
    <w:p>
      <w:pPr>
        <w:pStyle w:val="BodyText"/>
      </w:pPr>
      <w:r>
        <w:rPr>
          <w:b/>
          <w:bCs/>
        </w:rPr>
        <w:t xml:space="preserve">Setting.</w:t>
      </w:r>
      <w:r>
        <w:t xml:space="preserve"> </w:t>
      </w:r>
      <w:r>
        <w:t xml:space="preserve">England: primary care prescribing 2011–2024, hospital medicines 2019–2024, TB</w:t>
      </w:r>
      <w:r>
        <w:t xml:space="preserve"> </w:t>
      </w:r>
      <w:r>
        <w:t xml:space="preserve">notifications 2014–2024.</w:t>
      </w:r>
    </w:p>
    <w:p>
      <w:pPr>
        <w:pStyle w:val="BodyText"/>
      </w:pPr>
      <w:r>
        <w:rPr>
          <w:b/>
          <w:bCs/>
        </w:rPr>
        <w:t xml:space="preserve">Data sources.</w:t>
      </w:r>
      <w:r>
        <w:t xml:space="preserve"> </w:t>
      </w:r>
      <w:r>
        <w:t xml:space="preserve">Prescribing apportioned to local authorities by patients’ area of residence;</w:t>
      </w:r>
      <w:r>
        <w:t xml:space="preserve"> </w:t>
      </w:r>
      <w:r>
        <w:t xml:space="preserve">hospital medicines in defined daily doses apportioned by trust catchment; UK Health Security Agency</w:t>
      </w:r>
      <w:r>
        <w:t xml:space="preserve"> </w:t>
      </w:r>
      <w:r>
        <w:t xml:space="preserve">TB notifications for 294 lower-tier and 151 upper-tier authorities.</w:t>
      </w:r>
    </w:p>
    <w:p>
      <w:pPr>
        <w:pStyle w:val="BodyText"/>
      </w:pPr>
      <w:r>
        <w:rPr>
          <w:b/>
          <w:bCs/>
        </w:rPr>
        <w:t xml:space="preserve">Primary and secondary outcome measures.</w:t>
      </w:r>
      <w:r>
        <w:t xml:space="preserve"> </w:t>
      </w:r>
      <w:r>
        <w:t xml:space="preserve">Annual TB notifications, as incidence rate ratios (IRR) per 10%</w:t>
      </w:r>
      <w:r>
        <w:t xml:space="preserve"> </w:t>
      </w:r>
      <w:r>
        <w:t xml:space="preserve">within-area increase in prescribing, and the minimum detectable effect versus effects expected from</w:t>
      </w:r>
      <w:r>
        <w:t xml:space="preserve"> </w:t>
      </w:r>
      <w:r>
        <w:t xml:space="preserve">published relative risks and recorded drug-associated TB.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The positive control, hospital treatment for active TB, tracked notifications between</w:t>
      </w:r>
      <w:r>
        <w:t xml:space="preserve"> </w:t>
      </w:r>
      <w:r>
        <w:t xml:space="preserve">areas (Spearman rho 0.81) and within areas in the same year (IRR 1.035, 95% CI 1.009 to 1.061),</w:t>
      </w:r>
      <w:r>
        <w:t xml:space="preserve"> </w:t>
      </w:r>
      <w:r>
        <w:t xml:space="preserve">elasticity only 0.36 to 0.40. After correction for multiple testing, no medicine was associated with</w:t>
      </w:r>
      <w:r>
        <w:t xml:space="preserve"> </w:t>
      </w:r>
      <w:r>
        <w:t xml:space="preserve">notifications in the following year: systemic oral glucocorticoids 0.969 (0.929 to 1.012). A</w:t>
      </w:r>
      <w:r>
        <w:t xml:space="preserve"> </w:t>
      </w:r>
      <w:r>
        <w:t xml:space="preserve">negative-control exposure and prescribing in the following year showed inverse associations of</w:t>
      </w:r>
      <w:r>
        <w:t xml:space="preserve"> </w:t>
      </w:r>
      <w:r>
        <w:t xml:space="preserve">similar size, indicating residual confounding by area trends. For oral glucocorticoids the minimum</w:t>
      </w:r>
      <w:r>
        <w:t xml:space="preserve"> </w:t>
      </w:r>
      <w:r>
        <w:t xml:space="preserve">detectable effect (6.3% per 10% increase) was 18 times the expected effect (0.34%) and 70 to 140</w:t>
      </w:r>
      <w:r>
        <w:t xml:space="preserve"> </w:t>
      </w:r>
      <w:r>
        <w:t xml:space="preserve">times that implied by recorded steroid-associated TB. In simulations, the published glucocorticoid</w:t>
      </w:r>
      <w:r>
        <w:t xml:space="preserve"> </w:t>
      </w:r>
      <w:r>
        <w:t xml:space="preserve">effect was detected no more often than no effect (8.3% versus 7.8%).</w:t>
      </w:r>
    </w:p>
    <w:p>
      <w:pPr>
        <w:pStyle w:val="BodyText"/>
      </w:pPr>
      <w:r>
        <w:rPr>
          <w:b/>
          <w:bCs/>
        </w:rPr>
        <w:t xml:space="preserve">Conclusions.</w:t>
      </w:r>
      <w:r>
        <w:t xml:space="preserve"> </w:t>
      </w:r>
      <w:r>
        <w:t xml:space="preserve">These data link only with heavy attenuation, and such designs cannot detect</w:t>
      </w:r>
      <w:r>
        <w:t xml:space="preserve"> </w:t>
      </w:r>
      <w:r>
        <w:t xml:space="preserve">plausible effects of medicines on TB; apparent associations are compatible with confounding or</w:t>
      </w:r>
      <w:r>
        <w:t xml:space="preserve"> </w:t>
      </w:r>
      <w:r>
        <w:t xml:space="preserve">chance. Causal questions need individual-level linked data; surveillance needs fuller recording of</w:t>
      </w:r>
      <w:r>
        <w:t xml:space="preserve"> </w:t>
      </w:r>
      <w:r>
        <w:t xml:space="preserve">immunosuppression.</w:t>
      </w:r>
    </w:p>
    <w:bookmarkEnd w:id="21"/>
    <w:bookmarkStart w:id="22" w:name="strengths-and-limitations-of-this-study"/>
    <w:p>
      <w:pPr>
        <w:pStyle w:val="Heading2"/>
      </w:pPr>
      <w:r>
        <w:t xml:space="preserve">Strengths and limitations of this study</w:t>
      </w:r>
    </w:p>
    <w:p>
      <w:pPr>
        <w:pStyle w:val="Compact"/>
        <w:numPr>
          <w:ilvl w:val="0"/>
          <w:numId w:val="1001"/>
        </w:numPr>
      </w:pPr>
      <w:r>
        <w:t xml:space="preserve">The study links every openly published source for this question: 14 years of practice-level</w:t>
      </w:r>
      <w:r>
        <w:t xml:space="preserve"> </w:t>
      </w:r>
      <w:r>
        <w:t xml:space="preserve">prescribing apportioned to where registered patients live, hospital medicines converted to</w:t>
      </w:r>
      <w:r>
        <w:t xml:space="preserve"> </w:t>
      </w:r>
      <w:r>
        <w:t xml:space="preserve">defined daily doses and apportioned by trust catchment, and annual local authority TB</w:t>
      </w:r>
      <w:r>
        <w:t xml:space="preserve"> </w:t>
      </w:r>
      <w:r>
        <w:t xml:space="preserve">notifications.</w:t>
      </w:r>
    </w:p>
    <w:p>
      <w:pPr>
        <w:pStyle w:val="Compact"/>
        <w:numPr>
          <w:ilvl w:val="0"/>
          <w:numId w:val="1001"/>
        </w:numPr>
      </w:pPr>
      <w:r>
        <w:t xml:space="preserve">A disease-specific positive control (hospital treatment for active TB), negative-control</w:t>
      </w:r>
      <w:r>
        <w:t xml:space="preserve"> </w:t>
      </w:r>
      <w:r>
        <w:t xml:space="preserve">exposures and falsification tests allow the validity of the linkage and residual confounding to</w:t>
      </w:r>
      <w:r>
        <w:t xml:space="preserve"> </w:t>
      </w:r>
      <w:r>
        <w:t xml:space="preserve">be examined rather than assumed.</w:t>
      </w:r>
    </w:p>
    <w:p>
      <w:pPr>
        <w:pStyle w:val="Compact"/>
        <w:numPr>
          <w:ilvl w:val="0"/>
          <w:numId w:val="1001"/>
        </w:numPr>
      </w:pPr>
      <w:r>
        <w:t xml:space="preserve">Detectability is quantified both analytically (minimum detectable effects and attributable</w:t>
      </w:r>
      <w:r>
        <w:t xml:space="preserve"> </w:t>
      </w:r>
      <w:r>
        <w:t xml:space="preserve">fractions) and by a permutation simulation that preserves the real notification counts, and is</w:t>
      </w:r>
      <w:r>
        <w:t xml:space="preserve"> </w:t>
      </w:r>
      <w:r>
        <w:t xml:space="preserve">compared with effects expected from published relative risks and from UKHSA records of</w:t>
      </w:r>
      <w:r>
        <w:t xml:space="preserve"> </w:t>
      </w:r>
      <w:r>
        <w:t xml:space="preserve">drug-associated TB.</w:t>
      </w:r>
    </w:p>
    <w:p>
      <w:pPr>
        <w:pStyle w:val="Compact"/>
        <w:numPr>
          <w:ilvl w:val="0"/>
          <w:numId w:val="1001"/>
        </w:numPr>
      </w:pPr>
      <w:r>
        <w:t xml:space="preserve">The design is ecological: associations are between areas and years rather than between people,</w:t>
      </w:r>
      <w:r>
        <w:t xml:space="preserve"> </w:t>
      </w:r>
      <w:r>
        <w:t xml:space="preserve">so cross-level bias cannot be excluded, and prescribing volume is only a proxy for the number of</w:t>
      </w:r>
      <w:r>
        <w:t xml:space="preserve"> </w:t>
      </w:r>
      <w:r>
        <w:t xml:space="preserve">people treated.</w:t>
      </w:r>
    </w:p>
    <w:p>
      <w:pPr>
        <w:pStyle w:val="Compact"/>
        <w:numPr>
          <w:ilvl w:val="0"/>
          <w:numId w:val="1001"/>
        </w:numPr>
      </w:pPr>
      <w:r>
        <w:t xml:space="preserve">Most analyses beyond the first pass were added after initial null results and are exploratory,</w:t>
      </w:r>
      <w:r>
        <w:t xml:space="preserve"> </w:t>
      </w:r>
      <w:r>
        <w:t xml:space="preserve">and no working positive control exists for primary care prescribing, so the validity of that</w:t>
      </w:r>
      <w:r>
        <w:t xml:space="preserve"> </w:t>
      </w:r>
      <w:r>
        <w:t xml:space="preserve">linkage is untested.</w:t>
      </w:r>
    </w:p>
    <w:bookmarkEnd w:id="22"/>
    <w:bookmarkStart w:id="23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Tuberculosis (TB) notifications in England fell by 44% between 2011 and 2018, rose again from 2021,</w:t>
      </w:r>
      <w:r>
        <w:t xml:space="preserve"> </w:t>
      </w:r>
      <w:r>
        <w:t xml:space="preserve">and reached 5,490 in 2024, of which 81.9% were in people born outside the UK [1]. For</w:t>
      </w:r>
      <w:r>
        <w:t xml:space="preserve"> </w:t>
      </w:r>
      <w:r>
        <w:t xml:space="preserve">2011–2015, most of the decline reflected falling TB rates across populations, with smaller</w:t>
      </w:r>
      <w:r>
        <w:t xml:space="preserve"> </w:t>
      </w:r>
      <w:r>
        <w:t xml:space="preserve">contributions from fewer recent non-EU migrants and from pre-entry screening [2,3].</w:t>
      </w:r>
    </w:p>
    <w:p>
      <w:pPr>
        <w:pStyle w:val="BodyText"/>
      </w:pPr>
      <w:r>
        <w:t xml:space="preserve">Several commonly prescribed medicines change individual TB risk. Current oral glucocorticoid use</w:t>
      </w:r>
      <w:r>
        <w:t xml:space="preserve"> </w:t>
      </w:r>
      <w:r>
        <w:t xml:space="preserve">carries an odds ratio of about 5 [4]; inhaled corticosteroids and conventional</w:t>
      </w:r>
      <w:r>
        <w:t xml:space="preserve"> </w:t>
      </w:r>
      <w:r>
        <w:t xml:space="preserve">disease-modifying antirheumatic drugs carry smaller increases [5,6,7]; TB associated with tumour necrosis factor (TNF) inhibitors typically presents</w:t>
      </w:r>
      <w:r>
        <w:t xml:space="preserve"> </w:t>
      </w:r>
      <w:r>
        <w:t xml:space="preserve">within months of starting treatment [8], and screening for latent infection before</w:t>
      </w:r>
      <w:r>
        <w:t xml:space="preserve"> </w:t>
      </w:r>
      <w:r>
        <w:t xml:space="preserve">treatment greatly reduces that risk [9,10]. Proton pump inhibitors have been</w:t>
      </w:r>
      <w:r>
        <w:t xml:space="preserve"> </w:t>
      </w:r>
      <w:r>
        <w:t xml:space="preserve">associated with higher risk [11], and statins and metformin with lower risk [12,13]. Many of these estimates come from high-incidence settings or from designs vulnerable</w:t>
      </w:r>
      <w:r>
        <w:t xml:space="preserve"> </w:t>
      </w:r>
      <w:r>
        <w:t xml:space="preserve">to confounding by indication and to protopathic bias.</w:t>
      </w:r>
    </w:p>
    <w:p>
      <w:pPr>
        <w:pStyle w:val="BodyText"/>
      </w:pPr>
      <w:r>
        <w:t xml:space="preserve">England publishes monthly prescribing for every general practice, hospital medicines issued by</w:t>
      </w:r>
      <w:r>
        <w:t xml:space="preserve"> </w:t>
      </w:r>
      <w:r>
        <w:t xml:space="preserve">every NHS trust, and TB notifications by local authority. Linking these openly published sources</w:t>
      </w:r>
      <w:r>
        <w:t xml:space="preserve"> </w:t>
      </w:r>
      <w:r>
        <w:t xml:space="preserve">would be a low-cost way to generate or test hypotheses about medicines and TB. Ecological analyses</w:t>
      </w:r>
      <w:r>
        <w:t xml:space="preserve"> </w:t>
      </w:r>
      <w:r>
        <w:t xml:space="preserve">of such data face well-recognised problems: confounding by area characteristics, cross-level bias</w:t>
      </w:r>
      <w:r>
        <w:t xml:space="preserve"> </w:t>
      </w:r>
      <w:r>
        <w:t xml:space="preserve">that covariate adjustment cannot remove when effects differ between groups [14,15], and limited power, which depends mainly on the number of areas [16].</w:t>
      </w:r>
      <w:r>
        <w:t xml:space="preserve"> </w:t>
      </w:r>
      <w:r>
        <w:t xml:space="preserve">The data carry further problems: practice list sizes are inflated in ways that track population</w:t>
      </w:r>
      <w:r>
        <w:t xml:space="preserve"> </w:t>
      </w:r>
      <w:r>
        <w:t xml:space="preserve">mobility [17,18]; practices are not where their patients live; prescribing</w:t>
      </w:r>
      <w:r>
        <w:t xml:space="preserve"> </w:t>
      </w:r>
      <w:r>
        <w:t xml:space="preserve">is patterned by deprivation and was disrupted by COVID-19 [19]; and hospital-prescribed</w:t>
      </w:r>
      <w:r>
        <w:t xml:space="preserve"> </w:t>
      </w:r>
      <w:r>
        <w:t xml:space="preserve">medicines are recorded separately from primary care [20].</w:t>
      </w:r>
    </w:p>
    <w:p>
      <w:pPr>
        <w:pStyle w:val="BodyText"/>
      </w:pPr>
      <w:r>
        <w:t xml:space="preserve">We found no previous study linking area-level prescribing to TB. In analogous settings, drugs with</w:t>
      </w:r>
      <w:r>
        <w:t xml:space="preserve"> </w:t>
      </w:r>
      <w:r>
        <w:t xml:space="preserve">large individual-level effects have produced weak population signals [21], and</w:t>
      </w:r>
      <w:r>
        <w:t xml:space="preserve"> </w:t>
      </w:r>
      <w:r>
        <w:t xml:space="preserve">between-area and within-area associations have had opposite signs [22].</w:t>
      </w:r>
    </w:p>
    <w:p>
      <w:pPr>
        <w:pStyle w:val="BodyText"/>
      </w:pPr>
      <w:r>
        <w:t xml:space="preserve">We therefore asked whether open English prescribing data can detect associations between medicines</w:t>
      </w:r>
      <w:r>
        <w:t xml:space="preserve"> </w:t>
      </w:r>
      <w:r>
        <w:t xml:space="preserve">and TB notifications at population level, and, if not, why. We combined cross-sectional and</w:t>
      </w:r>
      <w:r>
        <w:t xml:space="preserve"> </w:t>
      </w:r>
      <w:r>
        <w:t xml:space="preserve">fixed-effects panel designs at two geographic scales, with primary care prescribing apportioned to</w:t>
      </w:r>
      <w:r>
        <w:t xml:space="preserve"> </w:t>
      </w:r>
      <w:r>
        <w:t xml:space="preserve">where registered patients live, hospital medicines apportioned by trust catchment, a</w:t>
      </w:r>
      <w:r>
        <w:t xml:space="preserve"> </w:t>
      </w:r>
      <w:r>
        <w:t xml:space="preserve">disease-specific positive control, negative-control exposures and falsification tests</w:t>
      </w:r>
      <w:r>
        <w:t xml:space="preserve"> </w:t>
      </w:r>
      <w:r>
        <w:t xml:space="preserve">[23,24], and regional analyses by place of birth and age. We compared the</w:t>
      </w:r>
      <w:r>
        <w:t xml:space="preserve"> </w:t>
      </w:r>
      <w:r>
        <w:t xml:space="preserve">smallest effects these designs could detect, both analytically and by simulation, with the</w:t>
      </w:r>
      <w:r>
        <w:t xml:space="preserve"> </w:t>
      </w:r>
      <w:r>
        <w:t xml:space="preserve">population effects implied by published individual-level relative risks and by national</w:t>
      </w:r>
      <w:r>
        <w:t xml:space="preserve"> </w:t>
      </w:r>
      <w:r>
        <w:t xml:space="preserve">surveillance records of drug-associated TB.</w:t>
      </w:r>
    </w:p>
    <w:bookmarkEnd w:id="23"/>
    <w:bookmarkStart w:id="31" w:name="methods"/>
    <w:p>
      <w:pPr>
        <w:pStyle w:val="Heading2"/>
      </w:pPr>
      <w:r>
        <w:t xml:space="preserve">Methods</w:t>
      </w:r>
    </w:p>
    <w:bookmarkStart w:id="24" w:name="design-and-pre-specification"/>
    <w:p>
      <w:pPr>
        <w:pStyle w:val="Heading3"/>
      </w:pPr>
      <w:r>
        <w:t xml:space="preserve">Design and pre-specification</w:t>
      </w:r>
    </w:p>
    <w:p>
      <w:pPr>
        <w:pStyle w:val="FirstParagraph"/>
      </w:pPr>
      <w:r>
        <w:t xml:space="preserve">This study used aggregate, openly published data in three linked ecological designs: a</w:t>
      </w:r>
      <w:r>
        <w:t xml:space="preserve"> </w:t>
      </w:r>
      <w:r>
        <w:t xml:space="preserve">cross-sectional analysis, a longitudinal panel analysis of local authorities with area and year</w:t>
      </w:r>
      <w:r>
        <w:t xml:space="preserve"> </w:t>
      </w:r>
      <w:r>
        <w:t xml:space="preserve">fixed effects, and regional analyses by place of birth and age. It is reported following RECORD,</w:t>
      </w:r>
      <w:r>
        <w:t xml:space="preserve"> </w:t>
      </w:r>
      <w:r>
        <w:t xml:space="preserve">an extension of STROBE for routinely collected health data (supplementary file).</w:t>
      </w:r>
    </w:p>
    <w:p>
      <w:pPr>
        <w:pStyle w:val="BodyText"/>
      </w:pPr>
      <w:r>
        <w:t xml:space="preserve">The analysis developed in stages. Before any results were seen we specified the drug groups,</w:t>
      </w:r>
      <w:r>
        <w:t xml:space="preserve"> </w:t>
      </w:r>
      <w:r>
        <w:t xml:space="preserve">including a negative-control exposure (levothyroxine) and a positive control (primary care</w:t>
      </w:r>
      <w:r>
        <w:t xml:space="preserve"> </w:t>
      </w:r>
      <w:r>
        <w:t xml:space="preserve">antituberculosis prescribing), and the cross-sectional design. The pre-specified positive control</w:t>
      </w:r>
      <w:r>
        <w:t xml:space="preserve"> </w:t>
      </w:r>
      <w:r>
        <w:t xml:space="preserve">failed, because TB treatment in England is delivered by specialist services rather than general</w:t>
      </w:r>
      <w:r>
        <w:t xml:space="preserve"> </w:t>
      </w:r>
      <w:r>
        <w:t xml:space="preserve">practice, and was reclassified as descriptive. The first panel design, specified after the</w:t>
      </w:r>
      <w:r>
        <w:t xml:space="preserve"> </w:t>
      </w:r>
      <w:r>
        <w:t xml:space="preserve">cross-sectional results but before any panel results, used three-year rolling notifications.</w:t>
      </w:r>
      <w:r>
        <w:t xml:space="preserve"> </w:t>
      </w:r>
      <w:r>
        <w:t xml:space="preserve">Annual outcomes, lower-tier authorities, hospital medicines, regional analyses, the power</w:t>
      </w:r>
      <w:r>
        <w:t xml:space="preserve"> </w:t>
      </w:r>
      <w:r>
        <w:t xml:space="preserve">simulation and the spatial diagnostics were added after those analyses gave null results, and are</w:t>
      </w:r>
      <w:r>
        <w:t xml:space="preserve"> </w:t>
      </w:r>
      <w:r>
        <w:t xml:space="preserve">exploratory. Supplementary tables report the original design and all sensitivity analyses.</w:t>
      </w:r>
    </w:p>
    <w:p>
      <w:pPr>
        <w:pStyle w:val="BodyText"/>
      </w:pPr>
      <w:r>
        <w:t xml:space="preserve">Figure 1 shows the assumed causal structure: what area and year fixed effects absorb, what is</w:t>
      </w:r>
      <w:r>
        <w:t xml:space="preserve"> </w:t>
      </w:r>
      <w:r>
        <w:t xml:space="preserve">measured and adjusted for, and what remains unmeasured.</w:t>
      </w:r>
    </w:p>
    <w:bookmarkEnd w:id="24"/>
    <w:bookmarkStart w:id="25" w:name="patient-and-public-involvement"/>
    <w:p>
      <w:pPr>
        <w:pStyle w:val="Heading3"/>
      </w:pPr>
      <w:r>
        <w:t xml:space="preserve">Patient and public involvement</w:t>
      </w:r>
    </w:p>
    <w:p>
      <w:pPr>
        <w:pStyle w:val="FirstParagraph"/>
      </w:pPr>
      <w:r>
        <w:t xml:space="preserve">Patients and the public were not involved in the design, conduct, reporting or dissemination plans</w:t>
      </w:r>
      <w:r>
        <w:t xml:space="preserve"> </w:t>
      </w:r>
      <w:r>
        <w:t xml:space="preserve">of this research, which used only aggregate published statistics.</w:t>
      </w:r>
    </w:p>
    <w:bookmarkEnd w:id="25"/>
    <w:bookmarkStart w:id="26" w:name="tb-notifications"/>
    <w:p>
      <w:pPr>
        <w:pStyle w:val="Heading3"/>
      </w:pPr>
      <w:r>
        <w:t xml:space="preserve">TB notifications</w:t>
      </w:r>
    </w:p>
    <w:p>
      <w:pPr>
        <w:pStyle w:val="FirstParagraph"/>
      </w:pPr>
      <w:r>
        <w:t xml:space="preserve">TB notifications are cases reported to UK Health Security Agency surveillance (the Enhanced TB</w:t>
      </w:r>
      <w:r>
        <w:t xml:space="preserve"> </w:t>
      </w:r>
      <w:r>
        <w:t xml:space="preserve">Surveillance system until 2021, the National TB Surveillance System since), assigned to areas by</w:t>
      </w:r>
      <w:r>
        <w:t xml:space="preserve"> </w:t>
      </w:r>
      <w:r>
        <w:t xml:space="preserve">residential postcode and counted by year of notification. We used annual counts by local authority</w:t>
      </w:r>
      <w:r>
        <w:t xml:space="preserve"> </w:t>
      </w:r>
      <w:r>
        <w:t xml:space="preserve">for 2001–2024 from UKHSA regional reports, published on April 2023 boundaries, which combine the</w:t>
      </w:r>
      <w:r>
        <w:t xml:space="preserve"> </w:t>
      </w:r>
      <w:r>
        <w:t xml:space="preserve">City of London with Hackney and the Isles of Scilly with Cornwall; we merged population, covariate</w:t>
      </w:r>
      <w:r>
        <w:t xml:space="preserve"> </w:t>
      </w:r>
      <w:r>
        <w:t xml:space="preserve">and prescribing data in the same way, giving 294 lower-tier (LTLA) and 151 upper-tier (UTLA)</w:t>
      </w:r>
      <w:r>
        <w:t xml:space="preserve"> </w:t>
      </w:r>
      <w:r>
        <w:t xml:space="preserve">authorities. We also used national counts by region, place of birth and age, and national</w:t>
      </w:r>
      <w:r>
        <w:t xml:space="preserve"> </w:t>
      </w:r>
      <w:r>
        <w:t xml:space="preserve">notifications with recorded immunosuppression by cause for 2024. Summed over three years, local</w:t>
      </w:r>
      <w:r>
        <w:t xml:space="preserve"> </w:t>
      </w:r>
      <w:r>
        <w:t xml:space="preserve">authority counts matched the Fingertips three-year counts (r = 0.996). The fall in 2020 is thought</w:t>
      </w:r>
      <w:r>
        <w:t xml:space="preserve"> </w:t>
      </w:r>
      <w:r>
        <w:t xml:space="preserve">to reflect service disruption rather than less disease [25,26].</w:t>
      </w:r>
    </w:p>
    <w:bookmarkEnd w:id="26"/>
    <w:bookmarkStart w:id="27" w:name="primary-care-prescribing"/>
    <w:p>
      <w:pPr>
        <w:pStyle w:val="Heading3"/>
      </w:pPr>
      <w:r>
        <w:t xml:space="preserve">Primary care prescribing</w:t>
      </w:r>
    </w:p>
    <w:p>
      <w:pPr>
        <w:pStyle w:val="FirstParagraph"/>
      </w:pPr>
      <w:r>
        <w:t xml:space="preserve">We used HSCIC practice-level prescribing for 2011–2013 and the NHS Business Services Authority</w:t>
      </w:r>
      <w:r>
        <w:t xml:space="preserve"> </w:t>
      </w:r>
      <w:r>
        <w:t xml:space="preserve">English Prescribing Dataset for 2014–2024, aggregating each month to practice level with identical</w:t>
      </w:r>
      <w:r>
        <w:t xml:space="preserve"> </w:t>
      </w:r>
      <w:r>
        <w:t xml:space="preserve">presentation-level drug-group rules (supplementary file). Groups were systemic oral glucocorticoids</w:t>
      </w:r>
      <w:r>
        <w:t xml:space="preserve"> </w:t>
      </w:r>
      <w:r>
        <w:t xml:space="preserve">(prednisolone, prednisone, methylprednisolone, deflazacort and dexamethasone, excluding injectables</w:t>
      </w:r>
      <w:r>
        <w:t xml:space="preserve"> </w:t>
      </w:r>
      <w:r>
        <w:t xml:space="preserve">and hydrocortisone), inhaled corticosteroids, conventional DMARDs, transplant immunosuppressants,</w:t>
      </w:r>
      <w:r>
        <w:t xml:space="preserve"> </w:t>
      </w:r>
      <w:r>
        <w:t xml:space="preserve">proton pump inhibitors, statins, metformin, insulins, fluoroquinolones, all antibacterials, vitamin</w:t>
      </w:r>
      <w:r>
        <w:t xml:space="preserve"> </w:t>
      </w:r>
      <w:r>
        <w:t xml:space="preserve">D, and levothyroxine as the negative-control exposure.</w:t>
      </w:r>
    </w:p>
    <w:p>
      <w:pPr>
        <w:pStyle w:val="BodyText"/>
      </w:pPr>
      <w:r>
        <w:t xml:space="preserve">We restricted to standard general practices: those with NHS Organisation Data Service prescribing</w:t>
      </w:r>
      <w:r>
        <w:t xml:space="preserve"> </w:t>
      </w:r>
      <w:r>
        <w:t xml:space="preserve">setting RO76, plus practice codes absent from the current ODS file, which omits practices that</w:t>
      </w:r>
      <w:r>
        <w:t xml:space="preserve"> </w:t>
      </w:r>
      <w:r>
        <w:t xml:space="preserve">closed before 2017, that have the standard practice code format. Without this addition, prescribing</w:t>
      </w:r>
      <w:r>
        <w:t xml:space="preserve"> </w:t>
      </w:r>
      <w:r>
        <w:t xml:space="preserve">by practices that later closed would have been dropped unevenly over time (3.4% of items in 2011,</w:t>
      </w:r>
      <w:r>
        <w:t xml:space="preserve"> </w:t>
      </w:r>
      <w:r>
        <w:t xml:space="preserve">1.7% in 2014, none from 2016).</w:t>
      </w:r>
    </w:p>
    <w:p>
      <w:pPr>
        <w:pStyle w:val="BodyText"/>
      </w:pPr>
      <w:r>
        <w:t xml:space="preserve">Each practice’s annual prescribing was apportioned across local authority districts in proportion</w:t>
      </w:r>
      <w:r>
        <w:t xml:space="preserve"> </w:t>
      </w:r>
      <w:r>
        <w:t xml:space="preserve">to where its registered patients lived, using NHS Digital counts of patients registered at each</w:t>
      </w:r>
      <w:r>
        <w:t xml:space="preserve"> </w:t>
      </w:r>
      <w:r>
        <w:t xml:space="preserve">practice by lower-layer super output area (April releases 2014–2024, each practice-year taking that</w:t>
      </w:r>
      <w:r>
        <w:t xml:space="preserve"> </w:t>
      </w:r>
      <w:r>
        <w:t xml:space="preserve">practice’s nearest release in time). Practices in no release were assigned to the district of their</w:t>
      </w:r>
      <w:r>
        <w:t xml:space="preserve"> </w:t>
      </w:r>
      <w:r>
        <w:t xml:space="preserve">postcode. Exposure was expressed as items per 1,000 residents per year, with</w:t>
      </w:r>
      <w:r>
        <w:t xml:space="preserve"> </w:t>
      </w:r>
      <w:r>
        <w:t xml:space="preserve">prednisolone-equivalent milligrams and average daily quantities as alternative measures.</w:t>
      </w:r>
      <w:r>
        <w:t xml:space="preserve"> </w:t>
      </w:r>
      <w:r>
        <w:t xml:space="preserve">Denominators were ONS mid-year population estimates.</w:t>
      </w:r>
    </w:p>
    <w:bookmarkEnd w:id="27"/>
    <w:bookmarkStart w:id="28" w:name="hospital-medicines"/>
    <w:p>
      <w:pPr>
        <w:pStyle w:val="Heading3"/>
      </w:pPr>
      <w:r>
        <w:t xml:space="preserve">Hospital medicines</w:t>
      </w:r>
    </w:p>
    <w:p>
      <w:pPr>
        <w:pStyle w:val="FirstParagraph"/>
      </w:pPr>
      <w:r>
        <w:t xml:space="preserve">We used NHS Secondary Care Medicines Data for January 2019 to December 2024, classified by</w:t>
      </w:r>
      <w:r>
        <w:t xml:space="preserve"> </w:t>
      </w:r>
      <w:r>
        <w:t xml:space="preserve">mechanism and converted to defined daily dose (DDD)-years: TNF inhibitors, interleukin-6 inhibitors</w:t>
      </w:r>
      <w:r>
        <w:t xml:space="preserve"> </w:t>
      </w:r>
      <w:r>
        <w:t xml:space="preserve">and abatacept, rheumatology JAK inhibitors, rituximab, calcineurin and mTOR inhibitors,</w:t>
      </w:r>
      <w:r>
        <w:t xml:space="preserve"> </w:t>
      </w:r>
      <w:r>
        <w:t xml:space="preserve">antiproliferatives, and systemic glucocorticoids in prednisolone-equivalent milligrams</w:t>
      </w:r>
      <w:r>
        <w:t xml:space="preserve"> </w:t>
      </w:r>
      <w:r>
        <w:t xml:space="preserve">(dexamethasone and hydrocortisone reported separately, and a sensitivity analysis restricted to</w:t>
      </w:r>
      <w:r>
        <w:t xml:space="preserve"> </w:t>
      </w:r>
      <w:r>
        <w:t xml:space="preserve">oral forms). The positive control was treatment for active TB, measured as pyrazinamide DDD from</w:t>
      </w:r>
      <w:r>
        <w:t xml:space="preserve"> </w:t>
      </w:r>
      <w:r>
        <w:t xml:space="preserve">all pyrazinamide-containing products including fixed-dose combinations; rifamycin and isoniazid</w:t>
      </w:r>
      <w:r>
        <w:t xml:space="preserve"> </w:t>
      </w:r>
      <w:r>
        <w:t xml:space="preserve">products, which are also used for latent infection, were reported separately. Negative-control</w:t>
      </w:r>
      <w:r>
        <w:t xml:space="preserve"> </w:t>
      </w:r>
      <w:r>
        <w:t xml:space="preserve">exposures were low-TB-risk biologics and levetiracetam. Trusts that merged were reassigned to their</w:t>
      </w:r>
      <w:r>
        <w:t xml:space="preserve"> </w:t>
      </w:r>
      <w:r>
        <w:t xml:space="preserve">successors, after which 98–100% of DDD in every drug group and year (95% for levetiracetam) came</w:t>
      </w:r>
      <w:r>
        <w:t xml:space="preserve"> </w:t>
      </w:r>
      <w:r>
        <w:t xml:space="preserve">from trusts with catchment data. Trust quantities were apportioned to local authorities using OHID</w:t>
      </w:r>
      <w:r>
        <w:t xml:space="preserve"> </w:t>
      </w:r>
      <w:r>
        <w:t xml:space="preserve">acute trust catchment populations, with elective-admission catchments as a sensitivity analysis.</w:t>
      </w:r>
    </w:p>
    <w:bookmarkEnd w:id="28"/>
    <w:bookmarkStart w:id="29" w:name="covariates"/>
    <w:p>
      <w:pPr>
        <w:pStyle w:val="Heading3"/>
      </w:pPr>
      <w:r>
        <w:t xml:space="preserve">Covariates</w:t>
      </w:r>
    </w:p>
    <w:p>
      <w:pPr>
        <w:pStyle w:val="FirstParagraph"/>
      </w:pPr>
      <w:r>
        <w:t xml:space="preserve">Time-varying covariates were the percentages of residents aged 65 and over and aged 15–44,</w:t>
      </w:r>
      <w:r>
        <w:t xml:space="preserve"> </w:t>
      </w:r>
      <w:r>
        <w:t xml:space="preserve">international in-migration per 1,000, diagnosed HIV prevalence, QOF diabetes prevalence, an</w:t>
      </w:r>
      <w:r>
        <w:t xml:space="preserve"> </w:t>
      </w:r>
      <w:r>
        <w:t xml:space="preserve">indicator of latent TB infection programme activity for new migrants mapped from clinical</w:t>
      </w:r>
      <w:r>
        <w:t xml:space="preserve"> </w:t>
      </w:r>
      <w:r>
        <w:t xml:space="preserve">commissioning groups to local authorities, and people receiving asylum support per 1,000. Diabetes</w:t>
      </w:r>
      <w:r>
        <w:t xml:space="preserve"> </w:t>
      </w:r>
      <w:r>
        <w:t xml:space="preserve">prevalence was not adjusted for in the metformin and insulin models. Cross-sectional analyses used</w:t>
      </w:r>
      <w:r>
        <w:t xml:space="preserve"> </w:t>
      </w:r>
      <w:r>
        <w:t xml:space="preserve">the 2021 Census percentage born outside the UK.</w:t>
      </w:r>
    </w:p>
    <w:bookmarkEnd w:id="29"/>
    <w:bookmarkStart w:id="30" w:name="statistical-analysis"/>
    <w:p>
      <w:pPr>
        <w:pStyle w:val="Heading3"/>
      </w:pPr>
      <w:r>
        <w:t xml:space="preserve">Statistical analysis</w:t>
      </w:r>
    </w:p>
    <w:p>
      <w:pPr>
        <w:pStyle w:val="FirstParagraph"/>
      </w:pPr>
      <w:r>
        <w:t xml:space="preserve">We fitted Poisson pseudo-maximum-likelihood models [27] of annual notifications with</w:t>
      </w:r>
      <w:r>
        <w:t xml:space="preserve"> </w:t>
      </w:r>
      <w:r>
        <w:t xml:space="preserve">area and year fixed effects, a log population offset and standard errors clustered by area. The</w:t>
      </w:r>
      <w:r>
        <w:t xml:space="preserve"> </w:t>
      </w:r>
      <w:r>
        <w:t xml:space="preserve">primary exposure was log prescribing in year</w:t>
      </w:r>
      <w:r>
        <w:t xml:space="preserve"> </w:t>
      </w:r>
      <w:r>
        <w:rPr>
          <w:i/>
          <w:iCs/>
        </w:rPr>
        <w:t xml:space="preserve">t</w:t>
      </w:r>
      <w:r>
        <w:t xml:space="preserve">−1, because drug-associated TB typically presents</w:t>
      </w:r>
      <w:r>
        <w:t xml:space="preserve"> </w:t>
      </w:r>
      <w:r>
        <w:t xml:space="preserve">within months [8] and same-year prescribing may be prescribing for undiagnosed TB.</w:t>
      </w:r>
      <w:r>
        <w:t xml:space="preserve"> </w:t>
      </w:r>
      <w:r>
        <w:t xml:space="preserve">Outcome years were 2014–2024. Effects are reported as incidence rate ratios (IRR) per 10%</w:t>
      </w:r>
      <w:r>
        <w:t xml:space="preserve"> </w:t>
      </w:r>
      <w:r>
        <w:t xml:space="preserve">within-area increase in prescribing, with Benjamini–Hochberg false discovery rate correction across</w:t>
      </w:r>
      <w:r>
        <w:t xml:space="preserve"> </w:t>
      </w:r>
      <w:r>
        <w:t xml:space="preserve">the 13 non-control drug groups. Falsification tests estimated prescribing in years</w:t>
      </w:r>
      <w:r>
        <w:t xml:space="preserve"> </w:t>
      </w:r>
      <w:r>
        <w:rPr>
          <w:i/>
          <w:iCs/>
        </w:rPr>
        <w:t xml:space="preserve">t</w:t>
      </w:r>
      <w:r>
        <w:t xml:space="preserve">−1 and</w:t>
      </w:r>
      <w:r>
        <w:t xml:space="preserve"> </w:t>
      </w:r>
      <w:r>
        <w:rPr>
          <w:i/>
          <w:iCs/>
        </w:rPr>
        <w:t xml:space="preserve">t</w:t>
      </w:r>
      <w:r>
        <w:t xml:space="preserve">+1</w:t>
      </w:r>
      <w:r>
        <w:t xml:space="preserve"> </w:t>
      </w:r>
      <w:r>
        <w:t xml:space="preserve">jointly, and again with year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added, with a Wald test of the difference. Sensitivity analyses</w:t>
      </w:r>
      <w:r>
        <w:t xml:space="preserve"> </w:t>
      </w:r>
      <w:r>
        <w:t xml:space="preserve">covered alternative covariate sets, exposure windows, area-specific trends, COVID-affected years,</w:t>
      </w:r>
      <w:r>
        <w:t xml:space="preserve"> </w:t>
      </w:r>
      <w:r>
        <w:t xml:space="preserve">NTBS-era outcome years, alternative exposure measures and geography (supplementary file). Spatial</w:t>
      </w:r>
      <w:r>
        <w:t xml:space="preserve"> </w:t>
      </w:r>
      <w:r>
        <w:t xml:space="preserve">dependence was assessed with year-specific Moran’s I of Pearson residuals. Regional analyses used</w:t>
      </w:r>
      <w:r>
        <w:t xml:space="preserve"> </w:t>
      </w:r>
      <w:r>
        <w:t xml:space="preserve">nine regions with cluster-robust</w:t>
      </w:r>
      <w:r>
        <w:t xml:space="preserve"> </w:t>
      </w:r>
      <w:r>
        <w:rPr>
          <w:i/>
          <w:iCs/>
        </w:rPr>
        <w:t xml:space="preserve">t</w:t>
      </w:r>
      <w:r>
        <w:t xml:space="preserve">(8) intervals and randomisation inference, permuting whole</w:t>
      </w:r>
      <w:r>
        <w:t xml:space="preserve"> </w:t>
      </w:r>
      <w:r>
        <w:t xml:space="preserve">regional exposure histories across regions.</w:t>
      </w:r>
    </w:p>
    <w:p>
      <w:pPr>
        <w:pStyle w:val="BodyText"/>
      </w:pPr>
      <w:r>
        <w:t xml:space="preserve">For each drug we calculated the minimum detectable effect (MDE) as exp(2.80 × standard error), the</w:t>
      </w:r>
      <w:r>
        <w:t xml:space="preserve"> </w:t>
      </w:r>
      <w:r>
        <w:t xml:space="preserve">corresponding minimum detectable population attributable fraction, and the largest attributable or</w:t>
      </w:r>
      <w:r>
        <w:t xml:space="preserve"> </w:t>
      </w:r>
      <w:r>
        <w:t xml:space="preserve">prevented fraction compatible with the 90% confidence limits. Expected population effects were</w:t>
      </w:r>
      <w:r>
        <w:t xml:space="preserve"> </w:t>
      </w:r>
      <w:r>
        <w:t xml:space="preserve">calculated as [1 + 1.1</w:t>
      </w:r>
      <w:r>
        <w:rPr>
          <w:i/>
          <w:iCs/>
        </w:rPr>
        <w:t xml:space="preserve">p</w:t>
      </w:r>
      <w:r>
        <w:t xml:space="preserve">(RR − 1)] / [1 +</w:t>
      </w:r>
      <w:r>
        <w:t xml:space="preserve"> </w:t>
      </w:r>
      <w:r>
        <w:rPr>
          <w:i/>
          <w:iCs/>
        </w:rPr>
        <w:t xml:space="preserve">p</w:t>
      </w:r>
      <w:r>
        <w:t xml:space="preserve">(RR − 1)], where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is prevalence of use and RR the</w:t>
      </w:r>
      <w:r>
        <w:t xml:space="preserve"> </w:t>
      </w:r>
      <w:r>
        <w:t xml:space="preserve">individual-level relative risk, assuming that prevalence scales with prescribing, that additional</w:t>
      </w:r>
      <w:r>
        <w:t xml:space="preserve"> </w:t>
      </w:r>
      <w:r>
        <w:t xml:space="preserve">prescribing reaches new users, homogeneous baseline risk and aligned timing. Alternative benchmarks</w:t>
      </w:r>
      <w:r>
        <w:t xml:space="preserve"> </w:t>
      </w:r>
      <w:r>
        <w:t xml:space="preserve">used UKHSA records of drug-associated TB converted to attributable fractions, age-stratified</w:t>
      </w:r>
      <w:r>
        <w:t xml:space="preserve"> </w:t>
      </w:r>
      <w:r>
        <w:t xml:space="preserve">prevalence of use, and SCMD-derived prevalence for hospital drugs. A permutation-based simulation</w:t>
      </w:r>
      <w:r>
        <w:t xml:space="preserve"> </w:t>
      </w:r>
      <w:r>
        <w:t xml:space="preserve">kept the real notification counts, permuted whole exposure trajectories across areas and injected</w:t>
      </w:r>
      <w:r>
        <w:t xml:space="preserve"> </w:t>
      </w:r>
      <w:r>
        <w:t xml:space="preserve">known effects, with 500 null and 300 effect replicates per scenario; analytic power at the</w:t>
      </w:r>
      <w:r>
        <w:t xml:space="preserve"> </w:t>
      </w:r>
      <w:r>
        <w:t xml:space="preserve">real-data standard error is reported alongside.</w:t>
      </w:r>
    </w:p>
    <w:p>
      <w:pPr>
        <w:pStyle w:val="BodyText"/>
      </w:pPr>
      <w:r>
        <w:t xml:space="preserve">Analyses used Python 3.14 with pandas and statsmodels. Code and outputs are openly available.</w:t>
      </w:r>
    </w:p>
    <w:bookmarkEnd w:id="30"/>
    <w:bookmarkEnd w:id="31"/>
    <w:bookmarkStart w:id="36" w:name="results"/>
    <w:p>
      <w:pPr>
        <w:pStyle w:val="Heading2"/>
      </w:pPr>
      <w:r>
        <w:t xml:space="preserve">Results</w:t>
      </w:r>
    </w:p>
    <w:bookmarkStart w:id="32" w:name="prescribing-and-notifications"/>
    <w:p>
      <w:pPr>
        <w:pStyle w:val="Heading3"/>
      </w:pPr>
      <w:r>
        <w:t xml:space="preserve">Prescribing and notifications</w:t>
      </w:r>
    </w:p>
    <w:p>
      <w:pPr>
        <w:pStyle w:val="FirstParagraph"/>
      </w:pPr>
      <w:r>
        <w:t xml:space="preserve">England recorded 6,474 TB notifications in 2014, 4,123 in 2020 and 5,490 in 2024. The primary</w:t>
      </w:r>
      <w:r>
        <w:t xml:space="preserve"> </w:t>
      </w:r>
      <w:r>
        <w:t xml:space="preserve">analysis covered 294 lower-tier authorities and 3,233 area-years for outcome years 2014–2024.</w:t>
      </w:r>
    </w:p>
    <w:p>
      <w:pPr>
        <w:pStyle w:val="BodyText"/>
      </w:pPr>
      <w:r>
        <w:t xml:space="preserve">Once prescribing was apportioned to where patients live, it varied little within areas over time.</w:t>
      </w:r>
      <w:r>
        <w:t xml:space="preserve"> </w:t>
      </w:r>
      <w:r>
        <w:t xml:space="preserve">For systemic oral glucocorticoids, the standard deviation of the log rate after removing area and</w:t>
      </w:r>
      <w:r>
        <w:t xml:space="preserve"> </w:t>
      </w:r>
      <w:r>
        <w:t xml:space="preserve">year means was 0.042, against 0.29 between areas, and 95% of area-years lay within 9% of their area</w:t>
      </w:r>
      <w:r>
        <w:t xml:space="preserve"> </w:t>
      </w:r>
      <w:r>
        <w:t xml:space="preserve">and year means (figure 2). Proton pump inhibitors (0.036), metformin (0.041) and levothyroxine</w:t>
      </w:r>
      <w:r>
        <w:t xml:space="preserve"> </w:t>
      </w:r>
      <w:r>
        <w:t xml:space="preserve">(0.042) were similar, and prednisolone-equivalent milligrams and average daily quantities varied as</w:t>
      </w:r>
      <w:r>
        <w:t xml:space="preserve"> </w:t>
      </w:r>
      <w:r>
        <w:t xml:space="preserve">little as items. A 10% within-area change in prescribing is therefore at the edge of the observed</w:t>
      </w:r>
      <w:r>
        <w:t xml:space="preserve"> </w:t>
      </w:r>
      <w:r>
        <w:t xml:space="preserve">data.</w:t>
      </w:r>
    </w:p>
    <w:bookmarkEnd w:id="32"/>
    <w:bookmarkStart w:id="33" w:name="X845572c17123007ca4ac7d193ea63fed69a85ae"/>
    <w:p>
      <w:pPr>
        <w:pStyle w:val="Heading3"/>
      </w:pPr>
      <w:r>
        <w:t xml:space="preserve">Primary care prescribing and notifications</w:t>
      </w:r>
    </w:p>
    <w:p>
      <w:pPr>
        <w:pStyle w:val="FirstParagraph"/>
      </w:pPr>
      <w:r>
        <w:t xml:space="preserve">No drug group was associated with notifications in the following year after correction for multiple</w:t>
      </w:r>
      <w:r>
        <w:t xml:space="preserve"> </w:t>
      </w:r>
      <w:r>
        <w:t xml:space="preserve">testing (table 1; all q ≥ 0.51). For systemic oral glucocorticoids the IRR was 0.969 (95% CI 0.929</w:t>
      </w:r>
      <w:r>
        <w:t xml:space="preserve"> </w:t>
      </w:r>
      <w:r>
        <w:t xml:space="preserve">to 1.012) per 10% within-area increase. Metformin (0.966, 0.934 to 0.998) and the negative-control</w:t>
      </w:r>
      <w:r>
        <w:t xml:space="preserve"> </w:t>
      </w:r>
      <w:r>
        <w:t xml:space="preserve">exposure levothyroxine (0.962, 0.933 to 0.992) were both nominally inverse and of similar size,</w:t>
      </w:r>
      <w:r>
        <w:t xml:space="preserve"> </w:t>
      </w:r>
      <w:r>
        <w:t xml:space="preserve">which is the pattern expected from shared area trends rather than drug effects.</w:t>
      </w:r>
    </w:p>
    <w:p>
      <w:pPr>
        <w:pStyle w:val="BodyText"/>
      </w:pPr>
      <w:r>
        <w:t xml:space="preserve">Upper-tier geography (0.974, 0.928 to 1.023 for oral glucocorticoids), assigning prescribing by</w:t>
      </w:r>
      <w:r>
        <w:t xml:space="preserve"> </w:t>
      </w:r>
      <w:r>
        <w:t xml:space="preserve">practice postcode (0.974, 0.939 to 1.010), and sensitivity analyses covering exposure windows,</w:t>
      </w:r>
      <w:r>
        <w:t xml:space="preserve"> </w:t>
      </w:r>
      <w:r>
        <w:t xml:space="preserve">area-specific trends, alternative covariates, COVID-affected years, NTBS-era outcome years and</w:t>
      </w:r>
      <w:r>
        <w:t xml:space="preserve"> </w:t>
      </w:r>
      <w:r>
        <w:t xml:space="preserve">alternative exposure measures all gave similar results (supplementary tables). Inhaled</w:t>
      </w:r>
      <w:r>
        <w:t xml:space="preserve"> </w:t>
      </w:r>
      <w:r>
        <w:t xml:space="preserve">corticosteroids were nominally inverse in several sensitivity analyses, the direction opposite to</w:t>
      </w:r>
      <w:r>
        <w:t xml:space="preserve"> </w:t>
      </w:r>
      <w:r>
        <w:t xml:space="preserve">any plausible harmful effect.</w:t>
      </w:r>
    </w:p>
    <w:p>
      <w:pPr>
        <w:pStyle w:val="BodyText"/>
      </w:pPr>
      <w:r>
        <w:t xml:space="preserve">The data were compatible with an attributable fraction of at most 5% for oral glucocorticoids, 18%</w:t>
      </w:r>
      <w:r>
        <w:t xml:space="preserve"> </w:t>
      </w:r>
      <w:r>
        <w:t xml:space="preserve">for conventional DMARDs and 4% for transplant immunosuppressants. These bounds depend on point</w:t>
      </w:r>
      <w:r>
        <w:t xml:space="preserve"> </w:t>
      </w:r>
      <w:r>
        <w:t xml:space="preserve">estimates that happened to fall below 1: dividing each upper limit by the negative-control estimate,</w:t>
      </w:r>
      <w:r>
        <w:t xml:space="preserve"> </w:t>
      </w:r>
      <w:r>
        <w:t xml:space="preserve">as if its bias applied to every drug, raised them to 44%, 58% and 44%, close to the minimum</w:t>
      </w:r>
      <w:r>
        <w:t xml:space="preserve"> </w:t>
      </w:r>
      <w:r>
        <w:t xml:space="preserve">detectable attributable fractions.</w:t>
      </w:r>
    </w:p>
    <w:p>
      <w:pPr>
        <w:pStyle w:val="BodyText"/>
      </w:pPr>
      <w:r>
        <w:t xml:space="preserve">In falsification tests, prescribing in the following year was inversely associated with</w:t>
      </w:r>
      <w:r>
        <w:t xml:space="preserve"> </w:t>
      </w:r>
      <w:r>
        <w:t xml:space="preserve">notifications for inhaled corticosteroids (0.879, 0.840 to 0.921), insulins (0.921, 0.866 to 0.980)</w:t>
      </w:r>
      <w:r>
        <w:t xml:space="preserve"> </w:t>
      </w:r>
      <w:r>
        <w:t xml:space="preserve">and oral glucocorticoids (0.952, 0.912 to 0.994) (figure 3). When same-year prescribing was added,</w:t>
      </w:r>
      <w:r>
        <w:t xml:space="preserve"> </w:t>
      </w:r>
      <w:r>
        <w:t xml:space="preserve">the previous-year and following-year estimates became almost uncorrelated (−0.23 to +0.17) but the</w:t>
      </w:r>
      <w:r>
        <w:t xml:space="preserve"> </w:t>
      </w:r>
      <w:r>
        <w:t xml:space="preserve">inverse following-year associations persisted, so they are not an artefact of collinearity between</w:t>
      </w:r>
      <w:r>
        <w:t xml:space="preserve"> </w:t>
      </w:r>
      <w:r>
        <w:t xml:space="preserve">adjacent years. Of 277 estimates across all lower-tier specifications, 30 were nominally</w:t>
      </w:r>
      <w:r>
        <w:t xml:space="preserve"> </w:t>
      </w:r>
      <w:r>
        <w:t xml:space="preserve">significant; these are overlapping specifications of the same data, and the test rejected in 7.8% of</w:t>
      </w:r>
      <w:r>
        <w:t xml:space="preserve"> </w:t>
      </w:r>
      <w:r>
        <w:t xml:space="preserve">simulated replicates when there was no effect, so this count cannot be compared with a nominal 5%.</w:t>
      </w:r>
      <w:r>
        <w:t xml:space="preserve"> </w:t>
      </w:r>
      <w:r>
        <w:t xml:space="preserve">Nominal results were concentrated in the negative control, metformin and inhaled corticosteroids.</w:t>
      </w:r>
    </w:p>
    <w:p>
      <w:pPr>
        <w:pStyle w:val="BodyText"/>
      </w:pPr>
      <w:r>
        <w:t xml:space="preserve">Raw notification rates were strongly spatially clustered in every year (Moran’s I 0.25 to 0.39),</w:t>
      </w:r>
      <w:r>
        <w:t xml:space="preserve"> </w:t>
      </w:r>
      <w:r>
        <w:t xml:space="preserve">but residual dependence after the primary model was weak (median I 0.026) and concentrated in 2014,</w:t>
      </w:r>
      <w:r>
        <w:t xml:space="preserve"> </w:t>
      </w:r>
      <w:r>
        <w:t xml:space="preserve">the only outcome year whose previous-year exposure comes from the earlier prescribing series.</w:t>
      </w:r>
    </w:p>
    <w:bookmarkEnd w:id="33"/>
    <w:bookmarkStart w:id="34" w:name="hospital-medicines-1"/>
    <w:p>
      <w:pPr>
        <w:pStyle w:val="Heading3"/>
      </w:pPr>
      <w:r>
        <w:t xml:space="preserve">Hospital medicines</w:t>
      </w:r>
    </w:p>
    <w:p>
      <w:pPr>
        <w:pStyle w:val="FirstParagraph"/>
      </w:pPr>
      <w:r>
        <w:t xml:space="preserve">Hospital treatment for active TB, the positive control, tracked notifications between areas</w:t>
      </w:r>
      <w:r>
        <w:t xml:space="preserve"> </w:t>
      </w:r>
      <w:r>
        <w:t xml:space="preserve">(Spearman rho 0.81) and within areas in the same year (1.035, 1.009 to 1.061 per 10% increase;</w:t>
      </w:r>
      <w:r>
        <w:t xml:space="preserve"> </w:t>
      </w:r>
      <w:r>
        <w:t xml:space="preserve">figure 4). Its within-area elasticity was 0.36 (95% CI 0.10 to 0.62) at upper-tier and 0.40 (0.14 to</w:t>
      </w:r>
      <w:r>
        <w:t xml:space="preserve"> </w:t>
      </w:r>
      <w:r>
        <w:t xml:space="preserve">0.66) at lower-tier level, so even a drug used almost exclusively for the outcome was recovered with</w:t>
      </w:r>
      <w:r>
        <w:t xml:space="preserve"> </w:t>
      </w:r>
      <w:r>
        <w:t xml:space="preserve">heavy attenuation. Rifamycin and isoniazid products, which are also used for latent infection, had a</w:t>
      </w:r>
      <w:r>
        <w:t xml:space="preserve"> </w:t>
      </w:r>
      <w:r>
        <w:t xml:space="preserve">similar elasticity (0.37, 0.22 to 0.51), suggesting that drug specificity is not the main source of</w:t>
      </w:r>
      <w:r>
        <w:t xml:space="preserve"> </w:t>
      </w:r>
      <w:r>
        <w:t xml:space="preserve">that attenuation. Estimates for the previous year (1.001, 0.993 to 1.010) and the following year</w:t>
      </w:r>
      <w:r>
        <w:t xml:space="preserve"> </w:t>
      </w:r>
      <w:r>
        <w:t xml:space="preserve">(0.997, 0.986 to 1.007) were null, as expected when treatment follows diagnosis.</w:t>
      </w:r>
    </w:p>
    <w:p>
      <w:pPr>
        <w:pStyle w:val="BodyText"/>
      </w:pPr>
      <w:r>
        <w:t xml:space="preserve">No candidate drug group was robustly associated with notifications in the following year</w:t>
      </w:r>
      <w:r>
        <w:t xml:space="preserve"> </w:t>
      </w:r>
      <w:r>
        <w:t xml:space="preserve">(supplementary tables): TNF inhibitors 0.989 (0.972 to 1.007), interleukin-6 inhibitors and</w:t>
      </w:r>
      <w:r>
        <w:t xml:space="preserve"> </w:t>
      </w:r>
      <w:r>
        <w:t xml:space="preserve">abatacept 1.001 (0.992 to 1.009), JAK inhibitors 0.994 (0.987 to 1.002), rituximab 0.998 (0.984 to</w:t>
      </w:r>
      <w:r>
        <w:t xml:space="preserve"> </w:t>
      </w:r>
      <w:r>
        <w:t xml:space="preserve">1.012), calcineurin and mTOR inhibitors 1.008 (0.996 to 1.020) and antiproliferatives 0.996 (0.978</w:t>
      </w:r>
      <w:r>
        <w:t xml:space="preserve"> </w:t>
      </w:r>
      <w:r>
        <w:t xml:space="preserve">to 1.014). Hospital systemic glucocorticoids showed a small nominal association (1.024, 1.001 to</w:t>
      </w:r>
      <w:r>
        <w:t xml:space="preserve"> </w:t>
      </w:r>
      <w:r>
        <w:t xml:space="preserve">1.046) that was not robust to clustering by principal trust (0.999 to 1.049), was similar but</w:t>
      </w:r>
      <w:r>
        <w:t xml:space="preserve"> </w:t>
      </w:r>
      <w:r>
        <w:t xml:space="preserve">imprecise when COVID-affected outcome years were excluded, and was absent when the exposure was</w:t>
      </w:r>
      <w:r>
        <w:t xml:space="preserve"> </w:t>
      </w:r>
      <w:r>
        <w:t xml:space="preserve">restricted to oral forms (1.011, 0.991 to 1.032). It would imply that hospital glucocorticoids</w:t>
      </w:r>
      <w:r>
        <w:t xml:space="preserve"> </w:t>
      </w:r>
      <w:r>
        <w:t xml:space="preserve">account for about a quarter of all notifications, whereas steroid-associated immunosuppression was</w:t>
      </w:r>
      <w:r>
        <w:t xml:space="preserve"> </w:t>
      </w:r>
      <w:r>
        <w:t xml:space="preserve">recorded for 0.5% of notifications in 2024 [1]. Negative-control exposures were null.</w:t>
      </w:r>
      <w:r>
        <w:t xml:space="preserve"> </w:t>
      </w:r>
      <w:r>
        <w:t xml:space="preserve">Across 260 within-area hospital estimates at both geographic levels, 22 were nominally significant,</w:t>
      </w:r>
      <w:r>
        <w:t xml:space="preserve"> </w:t>
      </w:r>
      <w:r>
        <w:t xml:space="preserve">12 of them the expected same-year associations for the two TB treatment groups.</w:t>
      </w:r>
    </w:p>
    <w:bookmarkEnd w:id="34"/>
    <w:bookmarkStart w:id="35" w:name="X8ef038c16537b5215364c75c720404e0d8ae7e7"/>
    <w:p>
      <w:pPr>
        <w:pStyle w:val="Heading3"/>
      </w:pPr>
      <w:r>
        <w:t xml:space="preserve">National trends, regional analyses and detectability</w:t>
      </w:r>
    </w:p>
    <w:p>
      <w:pPr>
        <w:pStyle w:val="FirstParagraph"/>
      </w:pPr>
      <w:r>
        <w:t xml:space="preserve">Nationally, systemic oral glucocorticoid items rose from 119 to 132 per 1,000 residents between</w:t>
      </w:r>
      <w:r>
        <w:t xml:space="preserve"> </w:t>
      </w:r>
      <w:r>
        <w:t xml:space="preserve">2011 and 2016 and fell to 111 by 2024, while the prednisolone-equivalent dose per item fell from</w:t>
      </w:r>
      <w:r>
        <w:t xml:space="preserve"> </w:t>
      </w:r>
      <w:r>
        <w:t xml:space="preserve">225 mg to 192 mg. National notification rates and prescribing were not correlated in levels</w:t>
      </w:r>
      <w:r>
        <w:t xml:space="preserve"> </w:t>
      </w:r>
      <w:r>
        <w:t xml:space="preserve">(r = 0.33), and year-on-year changes were not correlated at lags of 0 to 2 years.</w:t>
      </w:r>
    </w:p>
    <w:p>
      <w:pPr>
        <w:pStyle w:val="BodyText"/>
      </w:pPr>
      <w:r>
        <w:t xml:space="preserve">Regional models, with nine regions, were very imprecise: minimum detectable effects for</w:t>
      </w:r>
      <w:r>
        <w:t xml:space="preserve"> </w:t>
      </w:r>
      <w:r>
        <w:t xml:space="preserve">glucocorticoid exposures were 46% to 98% per 10% increase for UK-born notifications and 54% to 119%</w:t>
      </w:r>
      <w:r>
        <w:t xml:space="preserve"> </w:t>
      </w:r>
      <w:r>
        <w:t xml:space="preserve">at age 65 and over, far above the 10% maximum attainable under the model used for expected effects,</w:t>
      </w:r>
      <w:r>
        <w:t xml:space="preserve"> </w:t>
      </w:r>
      <w:r>
        <w:t xml:space="preserve">so any nominally significant regional estimate must reflect chance or bias. Of 81 adjusted regional</w:t>
      </w:r>
      <w:r>
        <w:t xml:space="preserve"> </w:t>
      </w:r>
      <w:r>
        <w:t xml:space="preserve">estimates, 4 had randomisation p ≤ 0.05, all of them falsification terms. Prednisolone-equivalent</w:t>
      </w:r>
      <w:r>
        <w:t xml:space="preserve"> </w:t>
      </w:r>
      <w:r>
        <w:t xml:space="preserve">milligrams were imprecisely associated with UK-born notifications (joint lag estimate 1.45), but</w:t>
      </w:r>
      <w:r>
        <w:t xml:space="preserve"> </w:t>
      </w:r>
      <w:r>
        <w:t xml:space="preserve">this was not significant by randomisation inference (p = 0.23) and fell to 1.12 when London was</w:t>
      </w:r>
      <w:r>
        <w:t xml:space="preserve"> </w:t>
      </w:r>
      <w:r>
        <w:t xml:space="preserve">excluded.</w:t>
      </w:r>
    </w:p>
    <w:p>
      <w:pPr>
        <w:pStyle w:val="BodyText"/>
      </w:pPr>
      <w:r>
        <w:t xml:space="preserve">Table 2 compares detectable with expected effects. For oral glucocorticoids the minimum detectable</w:t>
      </w:r>
      <w:r>
        <w:t xml:space="preserve"> </w:t>
      </w:r>
      <w:r>
        <w:t xml:space="preserve">effect was 6.3% per 10% increase, against an expected 0.34% from published relative risks, 0.29%</w:t>
      </w:r>
      <w:r>
        <w:t xml:space="preserve"> </w:t>
      </w:r>
      <w:r>
        <w:t xml:space="preserve">after age stratification, and 0.043% to 0.087% from recorded steroid-associated notifications: a gap</w:t>
      </w:r>
      <w:r>
        <w:t xml:space="preserve"> </w:t>
      </w:r>
      <w:r>
        <w:t xml:space="preserve">of 18 to 140 times. The design could only detect a drug responsible for 63% of all notifications.</w:t>
      </w:r>
      <w:r>
        <w:t xml:space="preserve"> </w:t>
      </w:r>
      <w:r>
        <w:t xml:space="preserve">For other primary care groups, minimum detectable effects exceeded expected effects by 11 to 272</w:t>
      </w:r>
      <w:r>
        <w:t xml:space="preserve"> </w:t>
      </w:r>
      <w:r>
        <w:t xml:space="preserve">times, and for hospital drugs, where detectable effects were smaller (1.0% to 2.9%), by 26 to 520</w:t>
      </w:r>
      <w:r>
        <w:t xml:space="preserve"> </w:t>
      </w:r>
      <w:r>
        <w:t xml:space="preserve">times before any allowance for attenuation.</w:t>
      </w:r>
    </w:p>
    <w:p>
      <w:pPr>
        <w:pStyle w:val="BodyText"/>
      </w:pPr>
      <w:r>
        <w:t xml:space="preserve">In simulations that preserved the real notification counts, the test rejected in 7.8% of replicates</w:t>
      </w:r>
      <w:r>
        <w:t xml:space="preserve"> </w:t>
      </w:r>
      <w:r>
        <w:t xml:space="preserve">when there was no effect. The published glucocorticoid relative risk was detected in 8.3% of</w:t>
      </w:r>
      <w:r>
        <w:t xml:space="preserve"> </w:t>
      </w:r>
      <w:r>
        <w:t xml:space="preserve">replicates, no more often than no effect at all. Power reached 83% only for a direct effect of 5%</w:t>
      </w:r>
      <w:r>
        <w:t xml:space="preserve"> </w:t>
      </w:r>
      <w:r>
        <w:t xml:space="preserve">more notifications per 10% more prescribing, and analytic power at the real-data standard error for</w:t>
      </w:r>
      <w:r>
        <w:t xml:space="preserve"> </w:t>
      </w:r>
      <w:r>
        <w:t xml:space="preserve">the same effect was 65%.</w:t>
      </w:r>
    </w:p>
    <w:bookmarkEnd w:id="35"/>
    <w:bookmarkEnd w:id="36"/>
    <w:bookmarkStart w:id="42" w:name="discussion"/>
    <w:p>
      <w:pPr>
        <w:pStyle w:val="Heading2"/>
      </w:pPr>
      <w:r>
        <w:t xml:space="preserve">Discussion</w:t>
      </w:r>
    </w:p>
    <w:bookmarkStart w:id="37" w:name="principal-findings"/>
    <w:p>
      <w:pPr>
        <w:pStyle w:val="Heading3"/>
      </w:pPr>
      <w:r>
        <w:t xml:space="preserve">Principal findings</w:t>
      </w:r>
    </w:p>
    <w:p>
      <w:pPr>
        <w:pStyle w:val="FirstParagraph"/>
      </w:pPr>
      <w:r>
        <w:t xml:space="preserve">We linked openly published English prescribing and TB surveillance data in several ecological</w:t>
      </w:r>
      <w:r>
        <w:t xml:space="preserve"> </w:t>
      </w:r>
      <w:r>
        <w:t xml:space="preserve">designs at two geographic scales. The linkage worked only partly, and no medicine plausibly</w:t>
      </w:r>
      <w:r>
        <w:t xml:space="preserve"> </w:t>
      </w:r>
      <w:r>
        <w:t xml:space="preserve">affecting TB risk was robustly associated with subsequent notifications. The designs could detect</w:t>
      </w:r>
      <w:r>
        <w:t xml:space="preserve"> </w:t>
      </w:r>
      <w:r>
        <w:t xml:space="preserve">only effects roughly 10 to several hundred times larger than those implied by published relative</w:t>
      </w:r>
      <w:r>
        <w:t xml:space="preserve"> </w:t>
      </w:r>
      <w:r>
        <w:t xml:space="preserve">risks or by national records of drug-associated TB.</w:t>
      </w:r>
    </w:p>
    <w:bookmarkEnd w:id="37"/>
    <w:bookmarkStart w:id="38" w:name="why-plausible-effects-are-undetectable"/>
    <w:p>
      <w:pPr>
        <w:pStyle w:val="Heading3"/>
      </w:pPr>
      <w:r>
        <w:t xml:space="preserve">Why plausible effects are undetectable</w:t>
      </w:r>
    </w:p>
    <w:p>
      <w:pPr>
        <w:pStyle w:val="FirstParagraph"/>
      </w:pPr>
      <w:r>
        <w:t xml:space="preserve">Three features explain this. First, expected population effects are small: oral glucocorticoids</w:t>
      </w:r>
      <w:r>
        <w:t xml:space="preserve"> </w:t>
      </w:r>
      <w:r>
        <w:t xml:space="preserve">carry an odds ratio of about 5 [4] but are used by about 1% of people at any time</w:t>
      </w:r>
      <w:r>
        <w:t xml:space="preserve"> </w:t>
      </w:r>
      <w:r>
        <w:t xml:space="preserve">[28,29], so a 10% change in use should change notifications by about 0.3%, and</w:t>
      </w:r>
      <w:r>
        <w:t xml:space="preserve"> </w:t>
      </w:r>
      <w:r>
        <w:t xml:space="preserve">recorded steroid-associated immunosuppression implies less [1]. Screening for latent</w:t>
      </w:r>
      <w:r>
        <w:t xml:space="preserve"> </w:t>
      </w:r>
      <w:r>
        <w:t xml:space="preserve">infection before anti-TNF therapy has been standard since 2005 [9] and largely removes the</w:t>
      </w:r>
      <w:r>
        <w:t xml:space="preserve"> </w:t>
      </w:r>
      <w:r>
        <w:t xml:space="preserve">excess risk [10], so the risk relevant to a marginal increase in biologic use is small.</w:t>
      </w:r>
      <w:r>
        <w:t xml:space="preserve"> </w:t>
      </w:r>
      <w:r>
        <w:t xml:space="preserve">Second, the data carry little information: within-area variation in prescribing was very small</w:t>
      </w:r>
      <w:r>
        <w:t xml:space="preserve"> </w:t>
      </w:r>
      <w:r>
        <w:t xml:space="preserve">against between-area variation, and fixed effects remove the between-area variation where most</w:t>
      </w:r>
      <w:r>
        <w:t xml:space="preserve"> </w:t>
      </w:r>
      <w:r>
        <w:t xml:space="preserve">information lies [30], while power in aggregate studies depends mainly on the number of</w:t>
      </w:r>
      <w:r>
        <w:t xml:space="preserve"> </w:t>
      </w:r>
      <w:r>
        <w:t xml:space="preserve">areas [16], which cannot be increased. Third, the linkage attenuates: the positive</w:t>
      </w:r>
      <w:r>
        <w:t xml:space="preserve"> </w:t>
      </w:r>
      <w:r>
        <w:t xml:space="preserve">control, a drug used almost exclusively for the outcome, was recovered with an elasticity of only</w:t>
      </w:r>
      <w:r>
        <w:t xml:space="preserve"> </w:t>
      </w:r>
      <w:r>
        <w:t xml:space="preserve">0.36 to 0.40, and a similar elasticity for less specific TB drugs suggests apportionment rather than</w:t>
      </w:r>
      <w:r>
        <w:t xml:space="preserve"> </w:t>
      </w:r>
      <w:r>
        <w:t xml:space="preserve">drug specificity as the main cause. No equivalent positive control exists for primary care</w:t>
      </w:r>
      <w:r>
        <w:t xml:space="preserve"> </w:t>
      </w:r>
      <w:r>
        <w:t xml:space="preserve">prescribing, so the validity of that linkage remains untested.</w:t>
      </w:r>
    </w:p>
    <w:bookmarkEnd w:id="38"/>
    <w:bookmarkStart w:id="39" w:name="Xe4bb212fae5c022a8778b7961f916abbc004630"/>
    <w:p>
      <w:pPr>
        <w:pStyle w:val="Heading3"/>
      </w:pPr>
      <w:r>
        <w:t xml:space="preserve">Residual confounding and the nominal associations</w:t>
      </w:r>
    </w:p>
    <w:p>
      <w:pPr>
        <w:pStyle w:val="FirstParagraph"/>
      </w:pPr>
      <w:r>
        <w:t xml:space="preserve">Two patterns indicate residual confounding rather than drug effects. The negative-control exposure,</w:t>
      </w:r>
      <w:r>
        <w:t xml:space="preserve"> </w:t>
      </w:r>
      <w:r>
        <w:t xml:space="preserve">which has no plausible effect on TB, was inversely associated with notifications to the same degree</w:t>
      </w:r>
      <w:r>
        <w:t xml:space="preserve"> </w:t>
      </w:r>
      <w:r>
        <w:t xml:space="preserve">as metformin; and prescribing in the following year was inversely associated with notifications for</w:t>
      </w:r>
      <w:r>
        <w:t xml:space="preserve"> </w:t>
      </w:r>
      <w:r>
        <w:t xml:space="preserve">several groups, which persisted when same-year prescribing was added and the estimates were almost</w:t>
      </w:r>
      <w:r>
        <w:t xml:space="preserve"> </w:t>
      </w:r>
      <w:r>
        <w:t xml:space="preserve">uncorrelated. Both are expected when prescribing and notifications share area-specific trends, for</w:t>
      </w:r>
      <w:r>
        <w:t xml:space="preserve"> </w:t>
      </w:r>
      <w:r>
        <w:t xml:space="preserve">example migration-driven changes in population age and origin, accompanying changes in practice</w:t>
      </w:r>
      <w:r>
        <w:t xml:space="preserve"> </w:t>
      </w:r>
      <w:r>
        <w:t xml:space="preserve">registration, and changes in diagnostic activity. Year fixed effects cannot remove such trends.</w:t>
      </w:r>
      <w:r>
        <w:t xml:space="preserve"> </w:t>
      </w:r>
      <w:r>
        <w:t xml:space="preserve">Area-level adjustment also cannot remove cross-level bias [14,15]: people</w:t>
      </w:r>
      <w:r>
        <w:t xml:space="preserve"> </w:t>
      </w:r>
      <w:r>
        <w:t xml:space="preserve">prescribed glucocorticoids are mostly older and UK-born, whereas most notifications are in younger</w:t>
      </w:r>
      <w:r>
        <w:t xml:space="preserve"> </w:t>
      </w:r>
      <w:r>
        <w:t xml:space="preserve">people born abroad. Protopathic prescribing for undiagnosed TB, and glucocorticoids used in treating</w:t>
      </w:r>
      <w:r>
        <w:t xml:space="preserve"> </w:t>
      </w:r>
      <w:r>
        <w:t xml:space="preserve">TB meningitis and pericarditis [31], further complicate same-year associations, which is</w:t>
      </w:r>
      <w:r>
        <w:t xml:space="preserve"> </w:t>
      </w:r>
      <w:r>
        <w:t xml:space="preserve">why the primary exposure was the previous year.</w:t>
      </w:r>
    </w:p>
    <w:p>
      <w:pPr>
        <w:pStyle w:val="BodyText"/>
      </w:pPr>
      <w:r>
        <w:t xml:space="preserve">The one nominal candidate association, for hospital systemic glucocorticoids, illustrates the</w:t>
      </w:r>
      <w:r>
        <w:t xml:space="preserve"> </w:t>
      </w:r>
      <w:r>
        <w:t xml:space="preserve">argument rather than contradicting it. It did not survive clustering by trust, disappeared when</w:t>
      </w:r>
      <w:r>
        <w:t xml:space="preserve"> </w:t>
      </w:r>
      <w:r>
        <w:t xml:space="preserve">intravenous methylprednisolone pulses were excluded, and would imply an attributable fraction some</w:t>
      </w:r>
      <w:r>
        <w:t xml:space="preserve"> </w:t>
      </w:r>
      <w:r>
        <w:t xml:space="preserve">50 times larger than surveillance records support. The same applies to the regional association</w:t>
      </w:r>
      <w:r>
        <w:t xml:space="preserve"> </w:t>
      </w:r>
      <w:r>
        <w:t xml:space="preserve">between prednisolone dose and UK-born TB: it exceeded the maximum attainable under any relative</w:t>
      </w:r>
      <w:r>
        <w:t xml:space="preserve"> </w:t>
      </w:r>
      <w:r>
        <w:t xml:space="preserve">risk, was not significant by randomisation inference, and depended on one region.</w:t>
      </w:r>
    </w:p>
    <w:bookmarkEnd w:id="39"/>
    <w:bookmarkStart w:id="40" w:name="strengths-and-limitations"/>
    <w:p>
      <w:pPr>
        <w:pStyle w:val="Heading3"/>
      </w:pPr>
      <w:r>
        <w:t xml:space="preserve">Strengths and limitations</w:t>
      </w:r>
    </w:p>
    <w:p>
      <w:pPr>
        <w:pStyle w:val="FirstParagraph"/>
      </w:pPr>
      <w:r>
        <w:t xml:space="preserve">This study has limitations beyond those in the summary box. Exposure was prescribing volume per</w:t>
      </w:r>
      <w:r>
        <w:t xml:space="preserve"> </w:t>
      </w:r>
      <w:r>
        <w:t xml:space="preserve">resident, not people treated, and additional volume may lengthen existing courses rather than reach</w:t>
      </w:r>
      <w:r>
        <w:t xml:space="preserve"> </w:t>
      </w:r>
      <w:r>
        <w:t xml:space="preserve">new users. Apportionment used annual registration snapshots, and hospital quantities were</w:t>
      </w:r>
      <w:r>
        <w:t xml:space="preserve"> </w:t>
      </w:r>
      <w:r>
        <w:t xml:space="preserve">apportioned with 2024 catchments applied to earlier years. Prescriptions written in hospital and</w:t>
      </w:r>
      <w:r>
        <w:t xml:space="preserve"> </w:t>
      </w:r>
      <w:r>
        <w:t xml:space="preserve">dispensed in the community were excluded by the restriction to general practices. The outcome is</w:t>
      </w:r>
      <w:r>
        <w:t xml:space="preserve"> </w:t>
      </w:r>
      <w:r>
        <w:t xml:space="preserve">notified TB, subject to diagnostic delay and to the 2021 change of surveillance system. Social risk</w:t>
      </w:r>
      <w:r>
        <w:t xml:space="preserve"> </w:t>
      </w:r>
      <w:r>
        <w:t xml:space="preserve">factors and the area-level share of recent arrivals were not available as consistent annual series.</w:t>
      </w:r>
    </w:p>
    <w:bookmarkEnd w:id="40"/>
    <w:bookmarkStart w:id="41" w:name="X1e1bfc5af9f94b0ed2043b708c6da1d96e9397c"/>
    <w:p>
      <w:pPr>
        <w:pStyle w:val="Heading3"/>
      </w:pPr>
      <w:r>
        <w:t xml:space="preserve">Implications for research and for TB programmes</w:t>
      </w:r>
    </w:p>
    <w:p>
      <w:pPr>
        <w:pStyle w:val="FirstParagraph"/>
      </w:pPr>
      <w:r>
        <w:t xml:space="preserve">Open prescribing data are valuable for describing prescribing and its variation [20,32], but they cannot estimate the effects of medicines on a rare outcome such as</w:t>
      </w:r>
      <w:r>
        <w:t xml:space="preserve"> </w:t>
      </w:r>
      <w:r>
        <w:t xml:space="preserve">TB. Ecological studies of rare outcomes should report the minimum detectable effect, a positive</w:t>
      </w:r>
      <w:r>
        <w:t xml:space="preserve"> </w:t>
      </w:r>
      <w:r>
        <w:t xml:space="preserve">control with its elasticity, negative controls and falsification tests alongside any association;</w:t>
      </w:r>
      <w:r>
        <w:t xml:space="preserve"> </w:t>
      </w:r>
      <w:r>
        <w:t xml:space="preserve">had we reported only the primary estimates, several nominal associations here could have been</w:t>
      </w:r>
      <w:r>
        <w:t xml:space="preserve"> </w:t>
      </w:r>
      <w:r>
        <w:t xml:space="preserve">over-interpreted. Causal questions need individual-level linked data analysed as a target trial</w:t>
      </w:r>
      <w:r>
        <w:t xml:space="preserve"> </w:t>
      </w:r>
      <w:r>
        <w:t xml:space="preserve">emulation, and even national cohorts give wide intervals for modest relative risks [33];</w:t>
      </w:r>
      <w:r>
        <w:t xml:space="preserve"> </w:t>
      </w:r>
      <w:r>
        <w:t xml:space="preserve">the only drug–TB target trial emulation we identified concerned DPP-4 inhibitors [34].</w:t>
      </w:r>
    </w:p>
    <w:p>
      <w:pPr>
        <w:pStyle w:val="BodyText"/>
      </w:pPr>
      <w:r>
        <w:t xml:space="preserve">These null results do not mean the drugs are safe. Glucocorticoids, biologics and JAK inhibitors</w:t>
      </w:r>
      <w:r>
        <w:t xml:space="preserve"> </w:t>
      </w:r>
      <w:r>
        <w:t xml:space="preserve">remain important treatments, and drug-associated TB is serious, often extrapulmonary [8]</w:t>
      </w:r>
      <w:r>
        <w:t xml:space="preserve"> </w:t>
      </w:r>
      <w:r>
        <w:t xml:space="preserve">and largely preventable. Monitoring is better served by more complete recording of immunosuppression</w:t>
      </w:r>
      <w:r>
        <w:t xml:space="preserve"> </w:t>
      </w:r>
      <w:r>
        <w:t xml:space="preserve">in the National TB Surveillance System, including drug class, time since starting and whether latent</w:t>
      </w:r>
      <w:r>
        <w:t xml:space="preserve"> </w:t>
      </w:r>
      <w:r>
        <w:t xml:space="preserve">infection screening was done, than by ecological analysis of prescribing. The practical lever is</w:t>
      </w:r>
      <w:r>
        <w:t xml:space="preserve"> </w:t>
      </w:r>
      <w:r>
        <w:t xml:space="preserve">auditing screening before biologics, JAK inhibitors and prolonged high-dose glucocorticoids.</w:t>
      </w:r>
    </w:p>
    <w:bookmarkEnd w:id="41"/>
    <w:bookmarkEnd w:id="42"/>
    <w:bookmarkStart w:id="43" w:name="conclusions"/>
    <w:p>
      <w:pPr>
        <w:pStyle w:val="Heading2"/>
      </w:pPr>
      <w:r>
        <w:t xml:space="preserve">Conclusions</w:t>
      </w:r>
    </w:p>
    <w:p>
      <w:pPr>
        <w:pStyle w:val="FirstParagraph"/>
      </w:pPr>
      <w:r>
        <w:t xml:space="preserve">Open English prescribing and TB notification data can be linked, but hospital</w:t>
      </w:r>
      <w:r>
        <w:t xml:space="preserve"> </w:t>
      </w:r>
      <w:r>
        <w:t xml:space="preserve">medicines only with heavy attenuation and primary care prescribing without any means of validation.</w:t>
      </w:r>
      <w:r>
        <w:t xml:space="preserve"> </w:t>
      </w:r>
      <w:r>
        <w:t xml:space="preserve">Ecological analyses of these data cannot detect the population-level effects of medicines on TB:</w:t>
      </w:r>
      <w:r>
        <w:t xml:space="preserve"> </w:t>
      </w:r>
      <w:r>
        <w:t xml:space="preserve">plausible effects lie one to several hundred times below what the designs can resolve, and the</w:t>
      </w:r>
      <w:r>
        <w:t xml:space="preserve"> </w:t>
      </w:r>
      <w:r>
        <w:t xml:space="preserve">associations that do arise are compatible with residual confounding, chance or measurement error.</w:t>
      </w:r>
    </w:p>
    <w:bookmarkEnd w:id="43"/>
    <w:bookmarkStart w:id="44" w:name="tables"/>
    <w:p>
      <w:pPr>
        <w:pStyle w:val="Heading2"/>
      </w:pPr>
      <w:r>
        <w:t xml:space="preserve">Tables</w:t>
      </w:r>
    </w:p>
    <w:p>
      <w:pPr>
        <w:pStyle w:val="FirstParagraph"/>
      </w:pPr>
      <w:r>
        <w:rPr>
          <w:b/>
          <w:bCs/>
        </w:rPr>
        <w:t xml:space="preserve">Table 1. Primary care prescribing and TB notifications: incidence rate ratio per 10% within-area increase (95% CI)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Drug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Previous year: LTLA, residence (294 areas, 2014-2024)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Previous year: UTLA, residence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Previous year: LTLA, practice postcode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Joint model: previous year (t−1)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Joint model: following year (t+1)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p, t−1 vs t+1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Largest compatible PAF / prevented fraction (PAF after negative-control shift)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Antituberculosis (descriptive)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(0.997–1.003)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(0.996–1.004)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(0.998–1.003)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(0.996–1.003)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 (0.998–1.005)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3% / 2% (42%)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Systemic oral 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 (0.929–1.012)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 (0.928–1.023)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 (0.939–1.010)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 (0.941–1.041)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 (0.912–0.994)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 / 39% (44%)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Oral hydrocortisone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 (0.985–1.011)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 (0.985–1.014)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 (0.987–1.011)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 (0.978–1.012)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 (0.991–1.023)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9% / 11% (49%)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Oral dexamethasone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 (0.992–1.014)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 (0.992–1.016)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(0.991–1.011)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 (0.991–1.013)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 (0.993–1.013)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12% / 6% (52%)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Inhaled corticosteroids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 (0.920–1.014)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 (0.916–1.017)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 (0.934–1.014)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1.058 (0.995–1.126)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0.879 (0.840–0.921)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7% / 42% (46%)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 DMARDs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 (0.983–1.021)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(0.978–1.023)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 (0.987–1.021)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 (0.982–1.042)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 (0.954–1.024)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18% / 13% (58%)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Transplant immunosuppressants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 (0.993–1.005)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 (0.992–1.005)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(0.995–1.006)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 (0.990–1.009)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 (0.992–1.006)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4% / 6% (44%)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Proton pump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 (0.955–1.039)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 (0.953–1.043)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 (0.955–1.029)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1.033 (0.979–1.090)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 (0.900–1.037)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32% / 28% (72%)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 (0.952–1.034)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 (0.943–1.030)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 (0.954–1.025)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 (0.940–1.055)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 (0.922–1.068)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27% / 29% (68%)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Metformin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 (0.934–0.998)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 (0.924–0.992)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 (0.935–0.994)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 (0.913–1.024)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 (0.939–1.062)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 / 38% (32%)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Insulins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 (0.929–1.005)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 (0.929–1.014)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 (0.940–1.005)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1.028 (0.974–1.085)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0.921 (0.866–0.980)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 / 39% (38%)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Fluoroquinolones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 (0.992–1.017)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 (0.991–1.018)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 (0.991–1.016)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1.010 (0.995–1.026)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 (0.979–1.009)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 / 6% (55%)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antibacterials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 (0.955–1.039)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 (0.957–1.052)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 (0.958–1.033)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(0.957–1.045)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 (0.967–1.031)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32% / 28% (73%)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Vitamin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 (0.987–1.027)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 (0.987–1.031)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 (0.988–1.025)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 (0.975–1.028)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 (0.980–1.033)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24% / 9% (64%)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Levothyroxine (negative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 (0.933–0.992)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 (0.926–0.988)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 (0.939–0.993)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 (0.928–1.042)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 (0.908–1.040)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 / 38% (26%)</w:t>
            </w:r>
          </w:p>
        </w:tc>
      </w:tr>
    </w:tbl>
    <w:p>
      <w:pPr>
        <w:pStyle w:val="BodyText"/>
      </w:pPr>
      <w:r>
        <w:t xml:space="preserve">Poisson PML with area and year fixed effects, adjusted for age structure, international in-migration, HIV and diabetes prevalence (diabetes not adjusted for metformin and insulins); SEs clustered by area. Joint model: prescribing in t−1 and t+1 in one model on a common sample; their estimates can be negatively correlated (Table S2b gives the correlation and the model with year t added). PAF, largest population attributable fraction compatible with the upper 90% confidence limit; prevented fraction, the same from the lower 90% limit; in brackets, the PAF after dividing the upper limit by the negative control (levothyroxine) estimate, as if its bias applied to every drug.</w:t>
      </w:r>
    </w:p>
    <w:p>
      <w:pPr>
        <w:pStyle w:val="BodyText"/>
      </w:pPr>
      <w:r>
        <w:rPr>
          <w:b/>
          <w:bCs/>
        </w:rPr>
        <w:t xml:space="preserve">Table 2. Minimum detectable effects (LTLA panel, residence apportionment, exposure t−1) versus expected population effects of a 10% increase in use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Drug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Individual RR/OR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Prevalence of 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PAF (negative: prevented fraction)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 of log IRR per 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Expected 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MDE ÷ expected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Minimum detectable PAF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RR for 80% 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Systemic oral glucocorticoids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Inhaled corticosteroids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 DMARDs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Transplant immunosuppressants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Proton pump inhibitors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attainable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Metformin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attainable</w:t>
            </w:r>
          </w:p>
        </w:tc>
      </w:tr>
    </w:tbl>
    <w:p>
      <w:pPr>
        <w:pStyle w:val="BodyText"/>
      </w:pPr>
      <w:r>
        <w:t xml:space="preserve">Expected changes use published individual-level relative risks (ORs for oral glucocorticoids and PPIs) and UK prevalence of use, assuming that prevalence of use scales with prescribing, that extra prescribing reaches new users, a homogeneous baseline risk and aligned timing. Negative PAF values are prevented fractions. MDE = exp(2.80 × SE) − 1. The ratio of MDE to expected change is essentially independent of the 10% contrast, because for small changes both scale in proportion to it. Power is one-sided power to detect the expected effect in the correct direction. Benchmarks: recorded cases (steroids), UKHSA 2024, 100% recorded, RR 4.9: 0.043%; recorded cases (steroids), UKHSA 2024, 50% recorded, RR 4.9: 0.087%; recorded cases (biological_therapy), UKHSA 2024, 100% recorded, RR 4.9: 0.078%; recorded cases (biological_therapy), UKHSA 2024, 50% recorded, RR 4.9: 0.157%; age-stratified (oral corticosteroids, RR 4.9): 0.293%; homogeneous (oral corticosteroids, RR 4.9, prevalence 0.9%): 0.339%.</w:t>
      </w:r>
    </w:p>
    <w:bookmarkEnd w:id="44"/>
    <w:bookmarkStart w:id="45" w:name="figure-legends"/>
    <w:p>
      <w:pPr>
        <w:pStyle w:val="Heading2"/>
      </w:pPr>
      <w:r>
        <w:t xml:space="preserve">Figure legends</w:t>
      </w:r>
    </w:p>
    <w:p>
      <w:pPr>
        <w:pStyle w:val="FirstParagraph"/>
      </w:pPr>
      <w:r>
        <w:rPr>
          <w:b/>
          <w:bCs/>
        </w:rPr>
        <w:t xml:space="preserve">Figure 1.</w:t>
      </w:r>
      <w:r>
        <w:t xml:space="preserve"> </w:t>
      </w:r>
      <w:r>
        <w:t xml:space="preserve">Assumed causal structure for area-level prescribing and TB notifications. Area fixed effects absorb stable area characteristics; year fixed effects absorb national shocks; time-varying measured factors are adjusted for; dashed nodes are unmeasured.</w:t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Within-area versus between-area variation in log prescribing rates, 294 lower-tier local authorities, 2014-2024. Orange line: a 10% increase.</w:t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Primary care prescribing and TB notifications, lower-tier local authorities, prescribing apportioned by patient residence. Blue: prescribing in the previous year (primary analysis). Orange: prescribing in the following year, estimated jointly (falsification test).</w:t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w:r>
        <w:t xml:space="preserve">Positive control: hospital treatment for active TB (pyrazinamide DDD-years per 1,000 residents) and TB notifications, between areas (left) and within areas over time (right).</w:t>
      </w:r>
    </w:p>
    <w:bookmarkEnd w:id="45"/>
    <w:bookmarkStart w:id="4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UK Health Security Agency. Tuberculosis in England: 2025 report (data up to end of 2024), chapter 1 and supplementary tables 5, 12 and 22; and TB regional reports 2024, supplementary data. London: UKHSA; first published 8 October 2025 (GOV.UK change history; the content API timestamp reads 9 October 2025 BST), last updated 15 July 2026. https://www.gov.uk/government/publications/tuberculosis-in-england-2025-report</w:t>
      </w:r>
    </w:p>
    <w:p>
      <w:pPr>
        <w:pStyle w:val="Compact"/>
        <w:numPr>
          <w:ilvl w:val="0"/>
          <w:numId w:val="1002"/>
        </w:numPr>
      </w:pPr>
      <w:r>
        <w:t xml:space="preserve">Thomas HL, Harris RJ, Muzyamba MC, et al. Reduction in tuberculosis incidence in the UK from 2011 to 2015: a population-based study.</w:t>
      </w:r>
      <w:r>
        <w:t xml:space="preserve"> </w:t>
      </w:r>
      <w:r>
        <w:rPr>
          <w:i/>
          <w:iCs/>
        </w:rPr>
        <w:t xml:space="preserve">Thorax</w:t>
      </w:r>
      <w:r>
        <w:t xml:space="preserve"> </w:t>
      </w:r>
      <w:r>
        <w:t xml:space="preserve">2018;73(8):769–75. doi:10.1136/thoraxjnl-2017-211074. PMID 29674389</w:t>
      </w:r>
    </w:p>
    <w:p>
      <w:pPr>
        <w:pStyle w:val="Compact"/>
        <w:numPr>
          <w:ilvl w:val="0"/>
          <w:numId w:val="1002"/>
        </w:numPr>
      </w:pPr>
      <w:r>
        <w:t xml:space="preserve">Aldridge RW, Zenner D, White PJ, et al. Tuberculosis in migrants moving from high-incidence to low-incidence countries: a population-based cohort study of 519 955 migrants screened before entry to England, Wales, and Northern Ireland.</w:t>
      </w:r>
      <w:r>
        <w:t xml:space="preserve"> </w:t>
      </w:r>
      <w:r>
        <w:rPr>
          <w:i/>
          <w:iCs/>
        </w:rPr>
        <w:t xml:space="preserve">Lancet</w:t>
      </w:r>
      <w:r>
        <w:t xml:space="preserve"> </w:t>
      </w:r>
      <w:r>
        <w:t xml:space="preserve">2016;388(10059):2510–8. doi:10.1016/S0140-6736(16)31008-X. PMID 27742165</w:t>
      </w:r>
    </w:p>
    <w:p>
      <w:pPr>
        <w:pStyle w:val="Compact"/>
        <w:numPr>
          <w:ilvl w:val="0"/>
          <w:numId w:val="1002"/>
        </w:numPr>
      </w:pPr>
      <w:r>
        <w:t xml:space="preserve">Jick SS, Lieberman ES, Rahman MU, Choi HK. Glucocorticoid use, other associated factors, and the risk of tuberculosis.</w:t>
      </w:r>
      <w:r>
        <w:t xml:space="preserve"> </w:t>
      </w:r>
      <w:r>
        <w:rPr>
          <w:i/>
          <w:iCs/>
        </w:rPr>
        <w:t xml:space="preserve">Arthritis Rheum</w:t>
      </w:r>
      <w:r>
        <w:t xml:space="preserve"> </w:t>
      </w:r>
      <w:r>
        <w:t xml:space="preserve">2006;55(1):19–26. doi:10.1002/art.21705. PMID 16463407</w:t>
      </w:r>
    </w:p>
    <w:p>
      <w:pPr>
        <w:pStyle w:val="Compact"/>
        <w:numPr>
          <w:ilvl w:val="0"/>
          <w:numId w:val="1002"/>
        </w:numPr>
      </w:pPr>
      <w:r>
        <w:t xml:space="preserve">Brassard P, Suissa S, Kezouh A, Ernst P. Inhaled corticosteroids and risk of tuberculosis in patients with respiratory diseases.</w:t>
      </w:r>
      <w:r>
        <w:t xml:space="preserve"> </w:t>
      </w:r>
      <w:r>
        <w:rPr>
          <w:i/>
          <w:iCs/>
        </w:rPr>
        <w:t xml:space="preserve">Am J Respir Crit Care Med</w:t>
      </w:r>
      <w:r>
        <w:t xml:space="preserve"> </w:t>
      </w:r>
      <w:r>
        <w:t xml:space="preserve">2011;183(5):675–8. doi:10.1164/rccm.201007-1099OC. PMID 20889902</w:t>
      </w:r>
    </w:p>
    <w:p>
      <w:pPr>
        <w:pStyle w:val="Compact"/>
        <w:numPr>
          <w:ilvl w:val="0"/>
          <w:numId w:val="1002"/>
        </w:numPr>
      </w:pPr>
      <w:r>
        <w:t xml:space="preserve">Castellana G, Castellana M, Castellana C, et al. Inhaled corticosteroids and risk of tuberculosis in patients with obstructive lung diseases: a systematic review and meta-analysis of non-randomized studies.</w:t>
      </w:r>
      <w:r>
        <w:t xml:space="preserve"> </w:t>
      </w:r>
      <w:r>
        <w:rPr>
          <w:i/>
          <w:iCs/>
        </w:rPr>
        <w:t xml:space="preserve">Int J Chron Obstruct Pulmon Dis</w:t>
      </w:r>
      <w:r>
        <w:t xml:space="preserve"> </w:t>
      </w:r>
      <w:r>
        <w:t xml:space="preserve">2019;14:2219–27. doi:10.2147/COPD.S209273. PMID 31576118</w:t>
      </w:r>
    </w:p>
    <w:p>
      <w:pPr>
        <w:pStyle w:val="Compact"/>
        <w:numPr>
          <w:ilvl w:val="0"/>
          <w:numId w:val="1002"/>
        </w:numPr>
      </w:pPr>
      <w:r>
        <w:t xml:space="preserve">Brassard P, Kezouh A, Suissa S. Antirheumatic drugs and the risk of tuberculosis.</w:t>
      </w:r>
      <w:r>
        <w:t xml:space="preserve"> </w:t>
      </w:r>
      <w:r>
        <w:rPr>
          <w:i/>
          <w:iCs/>
        </w:rPr>
        <w:t xml:space="preserve">Clin Infect Dis</w:t>
      </w:r>
      <w:r>
        <w:t xml:space="preserve"> </w:t>
      </w:r>
      <w:r>
        <w:t xml:space="preserve">2006;43(6):717–22. doi:10.1086/506935. PMID 16912945</w:t>
      </w:r>
    </w:p>
    <w:p>
      <w:pPr>
        <w:pStyle w:val="Compact"/>
        <w:numPr>
          <w:ilvl w:val="0"/>
          <w:numId w:val="1002"/>
        </w:numPr>
      </w:pPr>
      <w:r>
        <w:t xml:space="preserve">Keane J, Gershon S, Wise RP, et al. Tuberculosis associated with infliximab, a tumor necrosis factor α-neutralizing agent.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 </w:t>
      </w:r>
      <w:r>
        <w:t xml:space="preserve">2001;345(15):1098–104. doi:10.1056/NEJMoa011110. PMID 11596589</w:t>
      </w:r>
    </w:p>
    <w:p>
      <w:pPr>
        <w:pStyle w:val="Compact"/>
        <w:numPr>
          <w:ilvl w:val="0"/>
          <w:numId w:val="1002"/>
        </w:numPr>
      </w:pPr>
      <w:r>
        <w:t xml:space="preserve">British Thoracic Society Standards of Care Committee. BTS recommendations for assessing risk and for managing</w:t>
      </w:r>
      <w:r>
        <w:t xml:space="preserve"> </w:t>
      </w:r>
      <w:r>
        <w:rPr>
          <w:i/>
          <w:iCs/>
        </w:rPr>
        <w:t xml:space="preserve">Mycobacterium tuberculosis</w:t>
      </w:r>
      <w:r>
        <w:t xml:space="preserve"> </w:t>
      </w:r>
      <w:r>
        <w:t xml:space="preserve">infection and disease in patients due to start anti-TNF-α treatment.</w:t>
      </w:r>
      <w:r>
        <w:t xml:space="preserve"> </w:t>
      </w:r>
      <w:r>
        <w:rPr>
          <w:i/>
          <w:iCs/>
        </w:rPr>
        <w:t xml:space="preserve">Thorax</w:t>
      </w:r>
      <w:r>
        <w:t xml:space="preserve"> </w:t>
      </w:r>
      <w:r>
        <w:t xml:space="preserve">2005;60(10):800–5. doi:10.1136/thx.2005.046797. PMID 16055611</w:t>
      </w:r>
    </w:p>
    <w:p>
      <w:pPr>
        <w:pStyle w:val="Compact"/>
        <w:numPr>
          <w:ilvl w:val="0"/>
          <w:numId w:val="1002"/>
        </w:numPr>
      </w:pPr>
      <w:r>
        <w:t xml:space="preserve">Carmona L, Gómez-Reino JJ, Rodríguez-Valverde V, et al. Effectiveness of recommendations to prevent reactivation of latent tuberculosis infection in patients treated with tumor necrosis factor antagonists.</w:t>
      </w:r>
      <w:r>
        <w:t xml:space="preserve"> </w:t>
      </w:r>
      <w:r>
        <w:rPr>
          <w:i/>
          <w:iCs/>
        </w:rPr>
        <w:t xml:space="preserve">Arthritis Rheum</w:t>
      </w:r>
      <w:r>
        <w:t xml:space="preserve"> </w:t>
      </w:r>
      <w:r>
        <w:t xml:space="preserve">2005;52(6):1766–72. doi:10.1002/art.21043. PMID 15934089</w:t>
      </w:r>
    </w:p>
    <w:p>
      <w:pPr>
        <w:pStyle w:val="Compact"/>
        <w:numPr>
          <w:ilvl w:val="0"/>
          <w:numId w:val="1002"/>
        </w:numPr>
      </w:pPr>
      <w:r>
        <w:t xml:space="preserve">Song HJ, Park H, Park S, Kwon JW. The association between proton pump inhibitor use and the risk of tuberculosis: a case-control study.</w:t>
      </w:r>
      <w:r>
        <w:t xml:space="preserve"> </w:t>
      </w:r>
      <w:r>
        <w:rPr>
          <w:i/>
          <w:iCs/>
        </w:rPr>
        <w:t xml:space="preserve">Pharmacoepidemiol Drug Saf</w:t>
      </w:r>
      <w:r>
        <w:t xml:space="preserve"> </w:t>
      </w:r>
      <w:r>
        <w:t xml:space="preserve">2019;28(6):830–9. doi:10.1002/pds.4773. PMID 30920070</w:t>
      </w:r>
    </w:p>
    <w:p>
      <w:pPr>
        <w:pStyle w:val="Compact"/>
        <w:numPr>
          <w:ilvl w:val="0"/>
          <w:numId w:val="1002"/>
        </w:numPr>
      </w:pPr>
      <w:r>
        <w:t xml:space="preserve">Li X, Sheng L, Lou L. Statin use may be associated with reduced active tuberculosis infection: a meta-analysis of observational studies.</w:t>
      </w:r>
      <w:r>
        <w:t xml:space="preserve"> </w:t>
      </w:r>
      <w:r>
        <w:rPr>
          <w:i/>
          <w:iCs/>
        </w:rPr>
        <w:t xml:space="preserve">Front Med (Lausanne)</w:t>
      </w:r>
      <w:r>
        <w:t xml:space="preserve"> </w:t>
      </w:r>
      <w:r>
        <w:t xml:space="preserve">2020;7:121. doi:10.3389/fmed.2020.00121. PMID 32391364</w:t>
      </w:r>
    </w:p>
    <w:p>
      <w:pPr>
        <w:pStyle w:val="Compact"/>
        <w:numPr>
          <w:ilvl w:val="0"/>
          <w:numId w:val="1002"/>
        </w:numPr>
      </w:pPr>
      <w:r>
        <w:t xml:space="preserve">Zhang M, He JQ. Impacts of metformin on tuberculosis incidence and clinical outcomes in patients with diabetes: a systematic review and meta-analysis.</w:t>
      </w:r>
      <w:r>
        <w:t xml:space="preserve"> </w:t>
      </w:r>
      <w:r>
        <w:rPr>
          <w:i/>
          <w:iCs/>
        </w:rPr>
        <w:t xml:space="preserve">Eur J Clin Pharmacol</w:t>
      </w:r>
      <w:r>
        <w:t xml:space="preserve"> </w:t>
      </w:r>
      <w:r>
        <w:t xml:space="preserve">2020;76(2):149–59. doi:10.1007/s00228-019-02786-y. PMID 31786617</w:t>
      </w:r>
    </w:p>
    <w:p>
      <w:pPr>
        <w:pStyle w:val="Compact"/>
        <w:numPr>
          <w:ilvl w:val="0"/>
          <w:numId w:val="1002"/>
        </w:numPr>
      </w:pPr>
      <w:r>
        <w:t xml:space="preserve">Greenland S, Morgenstern H. Ecological bias, confounding, and effect modification.</w:t>
      </w:r>
      <w:r>
        <w:t xml:space="preserve"> </w:t>
      </w:r>
      <w:r>
        <w:rPr>
          <w:i/>
          <w:iCs/>
        </w:rPr>
        <w:t xml:space="preserve">Int J Epidemiol</w:t>
      </w:r>
      <w:r>
        <w:t xml:space="preserve"> </w:t>
      </w:r>
      <w:r>
        <w:t xml:space="preserve">1989;18(1):269–74. doi:10.1093/ije/18.1.269. PMID 2656561</w:t>
      </w:r>
    </w:p>
    <w:p>
      <w:pPr>
        <w:pStyle w:val="Compact"/>
        <w:numPr>
          <w:ilvl w:val="0"/>
          <w:numId w:val="1002"/>
        </w:numPr>
      </w:pPr>
      <w:r>
        <w:t xml:space="preserve">Morgenstern H. Ecologic studies in epidemiology: concepts, principles, and methods.</w:t>
      </w:r>
      <w:r>
        <w:t xml:space="preserve"> </w:t>
      </w:r>
      <w:r>
        <w:rPr>
          <w:i/>
          <w:iCs/>
        </w:rPr>
        <w:t xml:space="preserve">Annu Rev Public Health</w:t>
      </w:r>
      <w:r>
        <w:t xml:space="preserve"> </w:t>
      </w:r>
      <w:r>
        <w:t xml:space="preserve">1995;16:61–81. doi:10.1146/annurev.pu.16.050195.000425. PMID 7639884</w:t>
      </w:r>
    </w:p>
    <w:p>
      <w:pPr>
        <w:pStyle w:val="Compact"/>
        <w:numPr>
          <w:ilvl w:val="0"/>
          <w:numId w:val="1002"/>
        </w:numPr>
      </w:pPr>
      <w:r>
        <w:t xml:space="preserve">Sheppard L, Prentice RL, Rossing MA. Design considerations for estimation of exposure effects on disease risk, using aggregate data studies.</w:t>
      </w:r>
      <w:r>
        <w:t xml:space="preserve"> </w:t>
      </w:r>
      <w:r>
        <w:rPr>
          <w:i/>
          <w:iCs/>
        </w:rPr>
        <w:t xml:space="preserve">Stat Med</w:t>
      </w:r>
      <w:r>
        <w:t xml:space="preserve"> </w:t>
      </w:r>
      <w:r>
        <w:t xml:space="preserve">1996;15(17-18):1849–58. doi:10.1002/(SICI)1097-0258(19960915)15:17&lt;1849::AID-SIM396&gt;3.0.CO;2-4. PMID 8888477</w:t>
      </w:r>
    </w:p>
    <w:p>
      <w:pPr>
        <w:pStyle w:val="Compact"/>
        <w:numPr>
          <w:ilvl w:val="0"/>
          <w:numId w:val="1002"/>
        </w:numPr>
      </w:pPr>
      <w:r>
        <w:t xml:space="preserve">Hudson SM, Hudson C. Is GP practice bowel, breast and cervical cancer screening coverage correlated with GP practice list inflation?</w:t>
      </w:r>
      <w:r>
        <w:t xml:space="preserve"> </w:t>
      </w:r>
      <w:r>
        <w:rPr>
          <w:i/>
          <w:iCs/>
        </w:rPr>
        <w:t xml:space="preserve">J Med Screen</w:t>
      </w:r>
      <w:r>
        <w:t xml:space="preserve"> </w:t>
      </w:r>
      <w:r>
        <w:t xml:space="preserve">2026;33(1):1–8 (epub 17 June 2025). doi:10.1177/09691413251347408. PMID 40525516</w:t>
      </w:r>
    </w:p>
    <w:p>
      <w:pPr>
        <w:pStyle w:val="Compact"/>
        <w:numPr>
          <w:ilvl w:val="0"/>
          <w:numId w:val="1002"/>
        </w:numPr>
      </w:pPr>
      <w:r>
        <w:t xml:space="preserve">Venkatesan S, et al. Correcting for the inflated adult population denominator in an English nationwide health care cohort: database analysis study.</w:t>
      </w:r>
      <w:r>
        <w:t xml:space="preserve"> </w:t>
      </w:r>
      <w:r>
        <w:rPr>
          <w:i/>
          <w:iCs/>
        </w:rPr>
        <w:t xml:space="preserve">JMIR Public Health Surveill</w:t>
      </w:r>
      <w:r>
        <w:t xml:space="preserve"> </w:t>
      </w:r>
      <w:r>
        <w:t xml:space="preserve">2025;11:e64788. doi:10.2196/64788. PMID 41144579</w:t>
      </w:r>
    </w:p>
    <w:p>
      <w:pPr>
        <w:pStyle w:val="Compact"/>
        <w:numPr>
          <w:ilvl w:val="0"/>
          <w:numId w:val="1002"/>
        </w:numPr>
      </w:pPr>
      <w:r>
        <w:t xml:space="preserve">Richards TC, et al. Using OpenPrescribing.net to evaluate neighbourhood-level prescribing of inhalers for asthma and COPD.</w:t>
      </w:r>
      <w:r>
        <w:t xml:space="preserve"> </w:t>
      </w:r>
      <w:r>
        <w:rPr>
          <w:i/>
          <w:iCs/>
        </w:rPr>
        <w:t xml:space="preserve">Sci Rep</w:t>
      </w:r>
      <w:r>
        <w:t xml:space="preserve"> </w:t>
      </w:r>
      <w:r>
        <w:t xml:space="preserve">2025;15:18089. doi:10.1038/s41598-025-02969-x. PMID 40413267</w:t>
      </w:r>
    </w:p>
    <w:p>
      <w:pPr>
        <w:pStyle w:val="Compact"/>
        <w:numPr>
          <w:ilvl w:val="0"/>
          <w:numId w:val="1002"/>
        </w:numPr>
      </w:pPr>
      <w:r>
        <w:t xml:space="preserve">Bacon S, Goldacre B. Barriers to working with National Health Service England’s open data.</w:t>
      </w:r>
      <w:r>
        <w:t xml:space="preserve"> </w:t>
      </w:r>
      <w:r>
        <w:rPr>
          <w:i/>
          <w:iCs/>
        </w:rPr>
        <w:t xml:space="preserve">J Med Internet Res</w:t>
      </w:r>
      <w:r>
        <w:t xml:space="preserve"> </w:t>
      </w:r>
      <w:r>
        <w:t xml:space="preserve">2020;22(1):e15603. doi:10.2196/15603. PMID 31929101</w:t>
      </w:r>
    </w:p>
    <w:p>
      <w:pPr>
        <w:pStyle w:val="Compact"/>
        <w:numPr>
          <w:ilvl w:val="0"/>
          <w:numId w:val="1002"/>
        </w:numPr>
      </w:pPr>
      <w:r>
        <w:t xml:space="preserve">Hermans S, Boulle A, Caldwell J, et al. Temporal trends in TB notification rates during ART scale-up in Cape Town: an ecological analysis.</w:t>
      </w:r>
      <w:r>
        <w:t xml:space="preserve"> </w:t>
      </w:r>
      <w:r>
        <w:rPr>
          <w:i/>
          <w:iCs/>
        </w:rPr>
        <w:t xml:space="preserve">J Int AIDS Soc</w:t>
      </w:r>
      <w:r>
        <w:t xml:space="preserve"> </w:t>
      </w:r>
      <w:r>
        <w:t xml:space="preserve">2015;18(1):20240. doi:10.7448/IAS.18.1.20240. PMID 26411694</w:t>
      </w:r>
    </w:p>
    <w:p>
      <w:pPr>
        <w:pStyle w:val="Compact"/>
        <w:numPr>
          <w:ilvl w:val="0"/>
          <w:numId w:val="1002"/>
        </w:numPr>
      </w:pPr>
      <w:r>
        <w:t xml:space="preserve">Költringer FA, et al. The social determinants of national tuberculosis incidence rates in 116 countries: a longitudinal ecological study between 2005–2015.</w:t>
      </w:r>
      <w:r>
        <w:t xml:space="preserve"> </w:t>
      </w:r>
      <w:r>
        <w:rPr>
          <w:i/>
          <w:iCs/>
        </w:rPr>
        <w:t xml:space="preserve">BMC Public Health</w:t>
      </w:r>
      <w:r>
        <w:t xml:space="preserve"> </w:t>
      </w:r>
      <w:r>
        <w:t xml:space="preserve">2023;23:337. doi:10.1186/s12889-023-15213-w. PMID 36793018</w:t>
      </w:r>
    </w:p>
    <w:p>
      <w:pPr>
        <w:pStyle w:val="Compact"/>
        <w:numPr>
          <w:ilvl w:val="0"/>
          <w:numId w:val="1002"/>
        </w:numPr>
      </w:pPr>
      <w:r>
        <w:t xml:space="preserve">Lipsitch M, Tchetgen Tchetgen E, Cohen T. Negative controls: a tool for detecting confounding and bias in observational studies.</w:t>
      </w:r>
      <w:r>
        <w:t xml:space="preserve"> </w:t>
      </w:r>
      <w:r>
        <w:rPr>
          <w:i/>
          <w:iCs/>
        </w:rPr>
        <w:t xml:space="preserve">Epidemiology</w:t>
      </w:r>
      <w:r>
        <w:t xml:space="preserve"> </w:t>
      </w:r>
      <w:r>
        <w:t xml:space="preserve">2010;21(3):383–8. doi:10.1097/EDE.0b013e3181d61eeb. PMID 20335814</w:t>
      </w:r>
    </w:p>
    <w:p>
      <w:pPr>
        <w:pStyle w:val="Compact"/>
        <w:numPr>
          <w:ilvl w:val="0"/>
          <w:numId w:val="1002"/>
        </w:numPr>
      </w:pPr>
      <w:r>
        <w:t xml:space="preserve">Prasad V, Jena AB. Prespecified falsification end points: can they validate true observational associations?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2013;309(3):241–2. doi:10.1001/jama.2012.96867. PMID 23321761</w:t>
      </w:r>
    </w:p>
    <w:p>
      <w:pPr>
        <w:pStyle w:val="Compact"/>
        <w:numPr>
          <w:ilvl w:val="0"/>
          <w:numId w:val="1002"/>
        </w:numPr>
      </w:pPr>
      <w:r>
        <w:t xml:space="preserve">UK Health Security Agency. Tuberculosis in England: 2021 report (presenting data to end of 2020). London: UKHSA; 2021 (added to GOV.UK 28 October 2021; corrected PDF 30 March 2022). https://assets.publishing.service.gov.uk/media/62441310e90e075f124018e8/TB_annual-report-2021.pdf</w:t>
      </w:r>
    </w:p>
    <w:p>
      <w:pPr>
        <w:pStyle w:val="Compact"/>
        <w:numPr>
          <w:ilvl w:val="0"/>
          <w:numId w:val="1002"/>
        </w:numPr>
      </w:pPr>
      <w:r>
        <w:t xml:space="preserve">Morrison H, et al. Impact of COVID-19 on NHS tuberculosis services: results of a UK-wide survey.</w:t>
      </w:r>
      <w:r>
        <w:t xml:space="preserve"> </w:t>
      </w:r>
      <w:r>
        <w:rPr>
          <w:i/>
          <w:iCs/>
        </w:rPr>
        <w:t xml:space="preserve">J Infect</w:t>
      </w:r>
      <w:r>
        <w:t xml:space="preserve"> </w:t>
      </w:r>
      <w:r>
        <w:t xml:space="preserve">2023;87(1):59–61. doi:10.1016/j.jinf.2023.04.004. PMID 37044162</w:t>
      </w:r>
    </w:p>
    <w:p>
      <w:pPr>
        <w:pStyle w:val="Compact"/>
        <w:numPr>
          <w:ilvl w:val="0"/>
          <w:numId w:val="1002"/>
        </w:numPr>
      </w:pPr>
      <w:r>
        <w:t xml:space="preserve">Santos Silva JMC, Tenreyro S. The log of gravity.</w:t>
      </w:r>
      <w:r>
        <w:t xml:space="preserve"> </w:t>
      </w:r>
      <w:r>
        <w:rPr>
          <w:i/>
          <w:iCs/>
        </w:rPr>
        <w:t xml:space="preserve">Rev Econ Stat</w:t>
      </w:r>
      <w:r>
        <w:t xml:space="preserve"> </w:t>
      </w:r>
      <w:r>
        <w:t xml:space="preserve">2006;88(4):641–58. doi:10.1162/rest.88.4.641 (not indexed in PubMed)</w:t>
      </w:r>
    </w:p>
    <w:p>
      <w:pPr>
        <w:pStyle w:val="Compact"/>
        <w:numPr>
          <w:ilvl w:val="0"/>
          <w:numId w:val="1002"/>
        </w:numPr>
      </w:pPr>
      <w:r>
        <w:t xml:space="preserve">van Staa TP, Leufkens HG, Abenhaim L, et al. Use of oral corticosteroids in the United Kingdom.</w:t>
      </w:r>
      <w:r>
        <w:t xml:space="preserve"> </w:t>
      </w:r>
      <w:r>
        <w:rPr>
          <w:i/>
          <w:iCs/>
        </w:rPr>
        <w:t xml:space="preserve">QJM</w:t>
      </w:r>
      <w:r>
        <w:t xml:space="preserve"> </w:t>
      </w:r>
      <w:r>
        <w:t xml:space="preserve">2000;93(2):105–11. doi:10.1093/qjmed/93.2.105. PMID 10700481</w:t>
      </w:r>
    </w:p>
    <w:p>
      <w:pPr>
        <w:pStyle w:val="Compact"/>
        <w:numPr>
          <w:ilvl w:val="0"/>
          <w:numId w:val="1002"/>
        </w:numPr>
      </w:pPr>
      <w:r>
        <w:t xml:space="preserve">Fardet L, Petersen I, Nazareth I. Prevalence of long-term oral glucocorticoid prescriptions in the UK over the past 20 years.</w:t>
      </w:r>
      <w:r>
        <w:t xml:space="preserve"> </w:t>
      </w:r>
      <w:r>
        <w:rPr>
          <w:i/>
          <w:iCs/>
        </w:rPr>
        <w:t xml:space="preserve">Rheumatology (Oxford)</w:t>
      </w:r>
      <w:r>
        <w:t xml:space="preserve"> </w:t>
      </w:r>
      <w:r>
        <w:t xml:space="preserve">2011;50(11):1982–90. doi:10.1093/rheumatology/ker017. PMID 21393338</w:t>
      </w:r>
    </w:p>
    <w:p>
      <w:pPr>
        <w:pStyle w:val="Compact"/>
        <w:numPr>
          <w:ilvl w:val="0"/>
          <w:numId w:val="1002"/>
        </w:numPr>
      </w:pPr>
      <w:r>
        <w:t xml:space="preserve">Gunasekara FI, Richardson K, Carter K, Blakely T. Fixed effects analysis of repeated measures data.</w:t>
      </w:r>
      <w:r>
        <w:t xml:space="preserve"> </w:t>
      </w:r>
      <w:r>
        <w:rPr>
          <w:i/>
          <w:iCs/>
        </w:rPr>
        <w:t xml:space="preserve">Int J Epidemiol</w:t>
      </w:r>
      <w:r>
        <w:t xml:space="preserve"> </w:t>
      </w:r>
      <w:r>
        <w:t xml:space="preserve">2014;43(1):264–9. doi:10.1093/ije/dyt221. PMID 24366487</w:t>
      </w:r>
    </w:p>
    <w:p>
      <w:pPr>
        <w:pStyle w:val="Compact"/>
        <w:numPr>
          <w:ilvl w:val="0"/>
          <w:numId w:val="1002"/>
        </w:numPr>
      </w:pPr>
      <w:r>
        <w:t xml:space="preserve">Thwaites GE, Nguyen DB, Nguyen HD, et al. Dexamethasone for the treatment of tuberculous meningitis in adolescents and adults.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 </w:t>
      </w:r>
      <w:r>
        <w:t xml:space="preserve">2004;351(17):1741–51. doi:10.1056/NEJMoa040573. PMID 15496623</w:t>
      </w:r>
    </w:p>
    <w:p>
      <w:pPr>
        <w:pStyle w:val="Compact"/>
        <w:numPr>
          <w:ilvl w:val="0"/>
          <w:numId w:val="1002"/>
        </w:numPr>
      </w:pPr>
      <w:r>
        <w:t xml:space="preserve">OpenPrescribing.net, Bennett Institute for Applied Data Science, University of Oxford. Frequently asked questions. 2026. https://openprescribing.net/faq/ Accessed 14 September 2026.</w:t>
      </w:r>
    </w:p>
    <w:p>
      <w:pPr>
        <w:pStyle w:val="Compact"/>
        <w:numPr>
          <w:ilvl w:val="0"/>
          <w:numId w:val="1002"/>
        </w:numPr>
      </w:pPr>
      <w:r>
        <w:t xml:space="preserve">Pealing L, Wing K, Mathur R, et al. Risk of tuberculosis in patients with diabetes: population based cohort study using the UK Clinical Practice Research Datalink.</w:t>
      </w:r>
      <w:r>
        <w:t xml:space="preserve"> </w:t>
      </w:r>
      <w:r>
        <w:rPr>
          <w:i/>
          <w:iCs/>
        </w:rPr>
        <w:t xml:space="preserve">BMC Med</w:t>
      </w:r>
      <w:r>
        <w:t xml:space="preserve"> </w:t>
      </w:r>
      <w:r>
        <w:t xml:space="preserve">2015;13:135. doi:10.1186/s12916-015-0381-9. PMID 26048371</w:t>
      </w:r>
    </w:p>
    <w:p>
      <w:pPr>
        <w:pStyle w:val="Compact"/>
        <w:numPr>
          <w:ilvl w:val="0"/>
          <w:numId w:val="1002"/>
        </w:numPr>
      </w:pPr>
      <w:r>
        <w:t xml:space="preserve">Chen YG, et al. Target trial emulation of DPP-4 inhibitors in patients with T2DM for pulmonary tuberculosis: a nationwide observational data.</w:t>
      </w:r>
      <w:r>
        <w:t xml:space="preserve"> </w:t>
      </w:r>
      <w:r>
        <w:rPr>
          <w:i/>
          <w:iCs/>
        </w:rPr>
        <w:t xml:space="preserve">BMC Med</w:t>
      </w:r>
      <w:r>
        <w:t xml:space="preserve"> </w:t>
      </w:r>
      <w:r>
        <w:t xml:space="preserve">2025;23:587. doi:10.1186/s12916-025-04423-1. PMID 41137015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2026-09-19T10:07:23Z</dcterms:created>
  <dcterms:modified xsi:type="dcterms:W3CDTF">2026-09-19T10:07:23Z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