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upplementary-material"/>
    <w:p>
      <w:pPr>
        <w:pStyle w:val="Heading1"/>
      </w:pPr>
      <w:r>
        <w:t xml:space="preserve">Supplementary material</w:t>
      </w:r>
    </w:p>
    <w:p>
      <w:pPr>
        <w:pStyle w:val="FirstParagraph"/>
      </w:pPr>
      <w:r>
        <w:t xml:space="preserve">Study: Can open prescribing data detect effects of medicines on tuberculosis? An ecological study of primary care and hospital prescribing and TB notifications in England, 2011-2024.</w:t>
      </w:r>
    </w:p>
    <w:bookmarkStart w:id="20" w:name="supplementary-tables"/>
    <w:p>
      <w:pPr>
        <w:pStyle w:val="Heading2"/>
      </w:pPr>
      <w:r>
        <w:t xml:space="preserve">Supplementary tables</w:t>
      </w:r>
    </w:p>
    <w:p>
      <w:pPr>
        <w:pStyle w:val="FirstParagraph"/>
      </w:pPr>
      <w:r>
        <w:rPr>
          <w:b/>
          <w:bCs/>
        </w:rPr>
        <w:t xml:space="preserve">Table 3. Hospital medicines (SCMD) and TB notifications, 2019–2024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Drug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Cross-sectional, adjusted (per 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Within-area, same year (per 10%)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Elasticity (same year)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Within-area, previous year (per 10%)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Previous year, SE clustered by principal trust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Following year (joint with previous)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Active-TB treatment (pyrazinamide DDD, including fixed-dose combinations; positive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1.225 (1.101–1.362)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 (1.009–1.061)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(0.993–1.010)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(0.993–1.010)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 (0.986–1.007)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Rifamycin/isoniazid (active and latent TB, other infections)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1.158 (1.038–1.292)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1.036 (1.021–1.050)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(0.993–1.018)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(0.993–1.018)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 (0.996–1.041)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TNF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 (0.907–1.010)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(0.979–1.013)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 (0.972–1.007)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 (0.970–1.009)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 (0.949–1.008)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IL-6 inhibitors and abatacept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 (0.923–1.022)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(0.990–1.010)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(0.992–1.009)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(0.993–1.009)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(0.984–1.018)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JAK inhibitors (rheumatology)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 (0.916–1.031)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(0.987–0.999)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(0.987–1.002)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(0.986–1.003)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(0.984–1.011)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Rituximab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 (0.886–1.002)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(0.978–1.005)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(0.984–1.012)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(0.987–1.009)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 (0.989–1.024)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Calcineurin/mTOR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1.049 (0.995–1.106)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(0.985–1.004)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(0.996–1.020)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(0.996–1.020)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 (0.966–1.005)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Antiproliferatives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 (0.970–1.082)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(0.978–1.008)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(0.978–1.014)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(0.979–1.013)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(0.974–1.012)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Systemic glucocorticoids without dexamethasone/hydrocortisone (prednisolone-equivalent mg)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 (0.929–1.012)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 (0.986–1.032)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1.024 (1.001–1.046)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1.024 (0.999–1.049)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 (0.953–1.030)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Dexamethasone and hydrocortisone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 (0.893–0.976)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(0.977–1.034)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(0.980–1.036)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(0.979–1.037)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(0.943–1.047)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Low-TB-risk biologics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 (0.961–1.070)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(0.990–1.019)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(0.986–1.018)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(0.983–1.021)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 (0.982–1.040)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Levetiracetam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 (0.970–1.066)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(0.975–1.021)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 (0.986–1.042)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 (0.986–1.042)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 (0.948–1.028)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Active-TB treatment (pyrazinamide DDD, including fixed-dose combinations; positive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1.154 (1.080–1.232)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 (1.013–1.065)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(0.991–1.008)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(0.992–1.008)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 (0.985–1.005)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Rifamycin/isoniazid (active and latent TB, other infections)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 (1.000–1.135)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 (1.025–1.052)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(0.992–1.016)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(0.992–1.016)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 (0.997–1.040)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TNF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 (0.927–1.012)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(0.979–1.010)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(0.976–1.008)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(0.976–1.008)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 (0.946–1.006)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IL-6 inhibitors and abatacept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 (0.906–0.984)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(0.991–1.011)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(0.993–1.010)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(0.993–1.010)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 (0.981–1.013)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JAK inhibitors (rheumatology)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 (0.905–0.992)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(0.988–0.999)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 (0.989–1.002)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 (0.988–1.003)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(0.984–1.012)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Rituximab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 (0.929–1.021)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 (0.976–1.004)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(0.986–1.016)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(0.988–1.014)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(0.988–1.023)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Calcineurin/mTOR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(0.959–1.046)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(0.985–1.003)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(0.997–1.020)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(0.998–1.019)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 (0.961–1.005)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Antiproliferatives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 (0.936–1.031)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 (0.983–1.012)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 (0.982–1.013)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 (0.980–1.015)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(0.974–1.012)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Systemic glucocorticoids without dexamethasone/hydrocortisone (prednisolone-equivalent mg)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 (0.945–1.008)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(0.990–1.026)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1.021 (1.000–1.043)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1.021 (0.999–1.044)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 (0.952–1.020)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Dexamethasone and hydrocortisone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 (0.938–1.019)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(0.980–1.037)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 (0.984–1.036)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 (0.982–1.037)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 (0.940–1.041)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Low-TB-risk biologics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 (0.948–1.036)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(0.991–1.019)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(0.988–1.019)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(0.988–1.019)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1.012 (0.985–1.040)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Levetiracetam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 (0.979–1.054)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(0.981–1.025)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 (0.988–1.039)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 (0.989–1.037)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(0.955–1.031)</w:t>
            </w:r>
          </w:p>
        </w:tc>
      </w:tr>
    </w:tbl>
    <w:p>
      <w:pPr>
        <w:pStyle w:val="BodyText"/>
      </w:pPr>
      <w:r>
        <w:t xml:space="preserve">Exposure: DDD-years per 1,000 residents (positive control: pyrazinamide DDD including fixed-dose combinations; systemic glucocorticoids: prednisolone-equivalent mg, without dexamethasone and hydrocortisone), apportioned by 2024 acute trust catchments. Cross-sectional: negative binomial regression of 2019–24 notifications on the standardised log mean rate (per SD), adjusted for % born outside the UK, age structure, in-migration, HIV and diabetes prevalence. Within-area: Poisson PML with area and year fixed effects and time-varying covariates, per 10% increase; SEs clustered by area unless stated. Elasticity: log IRR per log unit of exposure in the same-year model, shown for all groups but interpretable as linkage attenuation only for the positive control. Following year: for the positive control an association is possible because treatment continues into the next year; for candidate drugs it is a falsification test.</w:t>
      </w:r>
    </w:p>
    <w:p>
      <w:pPr>
        <w:pStyle w:val="BodyText"/>
      </w:pPr>
      <w:r>
        <w:rPr>
          <w:b/>
          <w:bCs/>
        </w:rPr>
        <w:t xml:space="preserve">Table S1. Sensitivity analyses, LTLA panel (residence apportionment): IRR per 10% increase (95% CI)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Drug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primary (t-1)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 only (t-1)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 3 years (t-3..t-1)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 area trends (t-1)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population covariate (t-1)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 LTBI programme (t-1)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 asylum support (t-1)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exclude COVID years (t-1)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outcome years 2018-2024 (t-1)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EPD exposure only (t-1)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ADQ measure (t-1)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Antituberculosis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(0.997–1.003)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(0.998–1.005)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(0.997–1.006)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(0.996–1.003)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(0.997–1.004)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(0.997–1.003)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(0.997–1.004)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(0.996–1.004)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(0.998–1.005)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(0.997–1.004)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oral 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 (0.929–1.012)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 (0.917–1.014)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 (0.930–1.025)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 (0.932–1.042)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 (0.931–1.014)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 (0.929–1.015)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 (0.938–1.028)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 (0.932–1.018)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 (0.941–1.028)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 (0.939–1.021)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Oral hydrocortisone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(0.985–1.011)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 (0.980–1.010)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 (0.979–1.012)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(0.982–1.017)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(0.987–1.012)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(0.986–1.011)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(0.979–1.006)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 (0.982–1.012)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(0.978–1.011)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(0.982–1.006)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Oral dexamethasone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(0.992–1.014)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(0.993–1.018)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 (0.992–1.022)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 (0.985–1.005)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(0.992–1.014)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(0.993–1.014)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(0.991–1.014)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 (0.996–1.018)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(0.986–1.010)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(0.992–1.013)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Inhaled corticosteroids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 (0.920–1.014)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 (0.892–0.990)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 (0.929–1.039)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1.033 (0.981–1.087)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 (0.922–1.018)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 (0.921–1.016)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 (0.905–0.993)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 (0.916–1.009)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 (0.892–0.985)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 (0.912–0.997)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 (0.951–0.993)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DMARDs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(0.983–1.021)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(0.983–1.024)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(0.982–1.024)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 (0.979–1.053)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(0.982–1.020)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(0.983–1.021)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(0.979–1.014)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(0.985–1.023)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(0.979–1.026)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(0.983–1.016)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Transplant immunosuppressants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(0.993–1.005)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 (0.991–1.003)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(0.993–1.007)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(0.993–1.008)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(0.993–1.005)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(0.993–1.004)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(0.993–1.005)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(0.994–1.007)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(0.994–1.008)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(0.994–1.006)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Proton pump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(0.955–1.039)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 (0.921–1.018)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 (0.954–1.042)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 (0.903–1.024)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(0.955–1.042)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(0.960–1.046)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 (0.939–1.027)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(0.952–1.035)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 (0.885–0.991)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 (0.943–1.028)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 (0.917–1.047)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(0.952–1.034)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 (0.924–1.013)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(0.950–1.037)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 (0.919–1.029)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 (0.951–1.033)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(0.957–1.040)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(0.956–1.045)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 (0.944–1.024)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 (0.929–1.047)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(0.958–1.041)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 (0.946–1.023)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Metformin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 (0.934–0.998)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 (0.914–0.981)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 (0.934–1.007)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 (0.906–0.990)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 (0.935–0.999)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 (0.938–1.005)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 (0.935–1.009)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 (0.932–0.994)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 (0.926–1.027)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 (0.937–1.005)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 (0.931–1.037)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 (0.929–1.005)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 (0.923–1.007)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 (0.931–1.018)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 (0.945–1.093)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 (0.931–1.013)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 (0.930–1.008)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 (0.921–1.017)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 (0.923–1.002)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 (0.912–1.051)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 (0.930–1.017)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Fluoroquinolones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(0.992–1.017)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(0.994–1.023)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 (0.993–1.020)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 (0.991–1.020)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 (0.993–1.019)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(0.992–1.017)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(0.990–1.017)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(0.987–1.013)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(0.973–1.012)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(0.989–1.015)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(0.988–1.013)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antibacterials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(0.955–1.039)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(0.952–1.052)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 (0.963–1.058)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 (0.940–1.020)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(0.959–1.041)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(0.950–1.037)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 (0.950–1.033)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 (0.965–1.059)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 (0.909–0.995)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(0.953–1.033)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 (0.952–1.029)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Vitamin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 (0.987–1.027)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 (0.988–1.033)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(0.987–1.029)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 (0.959–1.007)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 (0.990–1.029)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(0.984–1.025)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 (0.983–1.030)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 (0.995–1.037)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 (0.959–1.021)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(0.985–1.026)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Levothyroxine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 (0.933–0.992)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 (0.914–0.973)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 (0.933–0.995)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 (0.902–1.009)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 (0.930–0.990)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 (0.936–1.000)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 (0.935–1.002)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 (0.928–0.994)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 (0.924–1.014)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 (0.936–1.001)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 (0.909–0.994)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S2. Distributed lag model (t, t−1, t−2 in one model), LTLA residence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Drug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 (same year)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t−1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t−2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Antituberculosis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(0.996–1.003)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(0.997–1.004)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(0.997–1.003)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oral 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 (0.933–1.016)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 (0.933–1.038)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 (0.961–1.053)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Oral hydrocortisone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 (0.993–1.026)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 (0.970–1.010)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(0.982–1.019)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Oral dexamethasone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(0.991–1.009)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(0.993–1.013)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(0.990–1.010)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Inhaled corticosteroids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 (0.874–0.973)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(0.927–1.082)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1.037 (0.962–1.118)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DMARDs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 (0.978–1.053)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 (0.924–1.041)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 (0.966–1.054)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Transplant immunosuppressants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(0.990–1.011)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 (0.983–1.008)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(0.995–1.013)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Proton pump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(0.926–1.084)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1.012 (0.928–1.103)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 (0.905–1.063)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 (0.946–1.118)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 (0.892–1.073)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 (0.920–1.064)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Metformin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1.021 (0.952–1.096)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 (0.885–1.031)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(0.940–1.049)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 (0.901–1.035)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 (0.907–1.076)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 (0.943–1.076)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Fluoroquinolones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(0.986–1.019)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(0.981–1.016)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(0.990–1.020)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antibacterials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1.032 (0.998–1.066)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 (0.908–0.994)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1.030 (0.982–1.080)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Vitamin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 (0.981–1.054)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 (0.937–1.030)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 (0.979–1.044)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Levothyroxine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 (0.934–1.084)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 (0.894–1.072)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 (0.905–1.053)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S2b. Previous, same and following year in one model, LTLA residence: IRR per 10% (95% CI)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Drug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t−1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 (same year)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p, t−1 vs t+1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Correlation of t−1 and t+1 estimates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Antituberculosis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(0.997–1.004)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(0.995–1.003)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(0.999–1.006)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oral 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 (0.926–1.036)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1.021 (0.971–1.073)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 (0.898–0.990)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Oral hydrocortisone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 (0.969–1.010)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1.012 (0.990–1.034)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(0.982–1.020)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Oral dexamethasone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(0.991–1.012)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(0.991–1.011)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(0.993–1.012)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Inhaled corticosteroids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1.036 (0.965–1.111)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1.043 (0.965–1.127)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 (0.809–0.917)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DMARDs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 (0.949–1.022)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1.051 (1.005–1.100)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 (0.920–1.010)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Transplant immunosuppressants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(0.988–1.011)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(0.990–1.010)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(0.990–1.008)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Proton pump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 (0.911–1.041)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1.128 (1.035–1.229)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 (0.835–0.991)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 (0.891–1.026)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 (0.999–1.179)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 (0.874–1.039)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Metformin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 (0.883–1.012)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1.047 (0.971–1.128)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 (0.904–1.053)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 (0.924–1.062)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1.079 (1.000–1.164)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 (0.829–0.950)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Fluoroquinolones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(0.984–1.019)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 (0.999–1.039)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 (0.968–1.001)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antibacterials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 (0.924–1.015)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 (1.012–1.122)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 (0.926–1.010)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Vitamin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 (0.961–1.030)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1.012 (0.966–1.061)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(0.963–1.038)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Levothyroxine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 (0.897–1.015)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 (0.973–1.166)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 (0.856–1.034)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S3. Hospital medicines: minimum detectable effects (previous-year exposure) versus illustrative expected effects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Drug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Scenario (illustrative RR)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Prevalence (SCMD DDD-years per resident)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change per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MDE ÷ expected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MDE ÷ expected, attenuated by positive-control elasticity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TNF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4 (illustrative, before LTBI screening)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TNF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1.5 (illustrative, with LTBI screening; probably nearer 1, so favours detection)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IL-6 inhibitors and abatacept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JAK inhibitors (rheumatology)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Rituximab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Calcineurin/mTOR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10 (solid organ transplant)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Antiproliferatives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TNF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4 (illustrative, before LTBI screening)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TNF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1.5 (illustrative, with LTBI screening; probably nearer 1, so favours detection)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IL-6 inhibitors and abatacept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JAK inhibitors (rheumatology)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Rituximab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Calcineurin/mTOR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10 (solid organ transplant)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Antiproliferatives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</w:t>
            </w:r>
          </w:p>
        </w:tc>
      </w:tr>
    </w:tbl>
    <w:p>
      <w:pPr>
        <w:pStyle w:val="BodyText"/>
      </w:pPr>
      <w:r>
        <w:t xml:space="preserve">Relative risks are illustrative values, not estimates. DDD-years per resident approximate the proportion treated only for continuous maintenance therapy. The attenuated column divides the expected effect by the positive control’s same-year elasticity (UTLA 0.36, 95% CI 0.10–0.62; LTLA 0.40, 95% CI 0.14–0.66). This assumes the same linkage attenuation for previous-year exposure and for drugs with other supply routes (homecare, specialist centres), and the elasticity also reflects variation in drug volume per person treated, so the attenuated ratios are illustrative.</w:t>
      </w:r>
    </w:p>
    <w:p>
      <w:pPr>
        <w:pStyle w:val="BodyText"/>
      </w:pPr>
      <w:r>
        <w:rPr>
          <w:b/>
          <w:bCs/>
        </w:rPr>
        <w:t xml:space="preserve">Table S3b. Hospital medicines: sensitivity analyses, IRR per 10% increase (95% CI)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Drug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 (t-1)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 (t-1), excluding outcome years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 (t-1), elective catchments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concurrent (t)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concurrent (t), clustered by principal trust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concurrent (t), elective catchments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Active-TB treatment (pyrazinamide DDD, including fixed-dose combinations; positive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(0.993–1.010)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(0.986–1.013)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(0.993–1.010)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 (1.009–1.061)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 (1.009–1.062)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 (1.009–1.062)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Rifamycin/isoniazid (active and latent TB, other infections)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(0.993–1.018)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(0.979–1.022)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 (0.993–1.019)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1.036 (1.021–1.050)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1.036 (1.020–1.051)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1.036 (1.022–1.050)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TNF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 (0.972–1.007)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 (0.928–1.013)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 (0.972–1.008)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(0.979–1.013)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(0.980–1.012)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(0.979–1.013)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IL-6 inhibitors and abatacept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(0.992–1.009)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(0.976–1.011)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(0.993–1.009)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(0.990–1.010)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(0.991–1.009)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(0.990–1.010)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JAK inhibitors (rheumatology)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(0.987–1.002)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 (0.961–0.996)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 (0.987–1.002)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(0.987–0.999)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(0.987–1.000)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(0.987–0.999)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Rituximab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(0.984–1.012)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 (0.959–1.015)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(0.985–1.013)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(0.978–1.005)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(0.979–1.004)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(0.979–1.006)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Calcineurin/mTOR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(0.996–1.020)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1.012 (0.989–1.035)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(0.996–1.020)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(0.985–1.004)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(0.985–1.004)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(0.985–1.004)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Antiproliferatives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(0.978–1.014)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(0.973–1.036)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(0.978–1.015)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(0.978–1.008)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(0.978–1.008)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(0.978–1.009)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Systemic glucocorticoids without dexamethasone/hydrocortisone (prednisolone-equivalent mg)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1.024 (1.001–1.046)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 (0.969–1.069)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 (1.003–1.048)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 (0.986–1.032)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 (0.985–1.033)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 (0.987–1.034)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Systemic glucocorticoids, oral forms only (sensitivity)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 (0.991–1.032)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 (0.965–1.065)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 (0.992–1.034)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 (0.979–1.016)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 (0.979–1.016)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(0.980–1.018)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Dexamethasone and hydrocortisone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(0.980–1.036)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1.021 (0.963–1.082)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 (0.981–1.039)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(0.977–1.034)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(0.975–1.036)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(0.979–1.038)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Low-TB-risk biologics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(0.986–1.018)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(0.958–1.042)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(0.985–1.018)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(0.990–1.019)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(0.990–1.019)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(0.989–1.019)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Levetiracetam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 (0.986–1.042)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 (0.978–1.096)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 (0.986–1.044)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(0.975–1.021)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(0.974–1.022)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(0.976–1.022)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Active-TB treatment (pyrazinamide DDD, including fixed-dose combinations; positive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(0.991–1.008)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(0.984–1.012)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(0.991–1.009)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 (1.013–1.065)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 (1.012–1.066)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 (1.013–1.066)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Rifamycin/isoniazid (active and latent TB, other infections)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(0.992–1.016)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(0.976–1.016)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(0.992–1.017)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 (1.025–1.052)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 (1.023–1.054)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 (1.026–1.052)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TNF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(0.976–1.008)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 (0.935–1.019)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(0.977–1.009)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(0.979–1.010)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(0.979–1.009)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 (0.979–1.011)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IL-6 inhibitors and abatacept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(0.993–1.010)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(0.980–1.012)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(0.994–1.010)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(0.991–1.011)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(0.991–1.011)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(0.991–1.011)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JAK inhibitors (rheumatology)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 (0.989–1.002)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 (0.963–0.998)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(0.989–1.003)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(0.988–0.999)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(0.988–1.000)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(0.989–1.000)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Rituximab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(0.986–1.016)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 (0.963–1.016)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(0.986–1.017)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 (0.976–1.004)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 (0.977–1.003)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 (0.977–1.005)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Calcineurin/mTOR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(0.997–1.020)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 (0.994–1.036)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(0.997–1.020)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(0.985–1.003)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(0.985–1.003)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 (0.985–1.003)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Antiproliferatives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 (0.982–1.013)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(0.982–1.035)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 (0.981–1.013)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 (0.983–1.012)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 (0.986–1.009)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(0.983–1.013)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Systemic glucocorticoids without dexamethasone/hydrocortisone (prednisolone-equivalent mg)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1.021 (1.000–1.043)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1.022 (0.979–1.068)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1.022 (1.001–1.044)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(0.990–1.026)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(0.988–1.027)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 (0.991–1.028)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Systemic glucocorticoids, oral forms only (sensitivity)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 (0.994–1.036)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1.023 (0.975–1.073)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 (0.996–1.038)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(0.982–1.019)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(0.981–1.020)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(0.983–1.021)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Dexamethasone and hydrocortisone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 (0.984–1.036)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 (0.970–1.070)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 (0.984–1.039)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(0.980–1.037)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(0.979–1.038)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 (0.982–1.040)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Low-TB-risk biologics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(0.988–1.019)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(0.959–1.036)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(0.988–1.019)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(0.991–1.019)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(0.989–1.020)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(0.991–1.018)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Levetiracetam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 (0.988–1.039)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1.021 (0.970–1.074)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 (0.988–1.040)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(0.981–1.025)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(0.980–1.027)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(0.982–1.027)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S4. Permutation-based power simulation (systemic oral glucocorticoids, exposure t−1)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Replicates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Two-sided rejection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Power, correct direction (95% MC interval)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Analytic power at real-data 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estimated IRR per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replicate 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Null empirical 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Real-data 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3.8% (±1.7)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Published RR 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6.0% (±2.7)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17.7% (±4.3)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71.0% (±5.1)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 1.02 per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21.7% (±4.7)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 1.05 per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83.0% (±4.3)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 1.10 per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 (±0.0)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 1.05 per 10%, acting via concurrent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61.7% (±5.5)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 1.10 per 10%, acting via concurrent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99.3% (±0.9)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4.0% (±1.7)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Published RR 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6.7% (±2.8)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19.3% (±4.5)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66.7% (±5.3)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 1.02 per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24.7% (±4.9)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 1.05 per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78.0% (±4.7)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 1.10 per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 (±0.0)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 1.05 per 10%, acting via concurrent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65.7% (±5.4)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 1.10 per 10%, acting via concurrent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99.3% (±0.9)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</w:tr>
    </w:tbl>
    <w:p>
      <w:pPr>
        <w:pStyle w:val="BodyText"/>
      </w:pPr>
      <w:r>
        <w:t xml:space="preserve">Within the simulation, replicate SEs matched the spread of null estimates, so the test was approximately calibrated (slightly anti-conservative). Real-data SEs were larger than in the simulation, probably because permuting exposure trajectories across areas breaks their alignment with each area’s own notification trends; simulated power is therefore optimistic. Analytic power uses the median simulated estimate as the effect and the real-data SE.</w:t>
      </w:r>
    </w:p>
    <w:p>
      <w:pPr>
        <w:pStyle w:val="BodyText"/>
      </w:pPr>
      <w:r>
        <w:rPr>
          <w:b/>
          <w:bCs/>
        </w:rPr>
        <w:t xml:space="preserve">Table S5. Regional models (9 regions): TB notifications by place of birth and age vs primary care prescribing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 (years; negative = lead)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 per 10% (t(8) 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(cluster t8)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(randomisation)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MDE per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 (0.87–1.62)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 (0.80–1.80)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 (0.67–1.79)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 (0.87–1.63)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 (0.80–1.80)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 (0.67–1.78)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 (0.78–1.84)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 (0.67–1.78)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 (0.83–1.44)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 (0.95–1.65)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 (0.96–1.84)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 (0.94–1.89)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 (0.94–1.72)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 (0.97–1.80)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 (0.91–1.85)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 (0.85–1.60)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 (0.70–1.19)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 (0.82–1.03)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 (0.85–1.08)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 (0.80–1.03)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 (0.77–1.04)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 (0.84–1.08)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 (0.80–1.04)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 (0.76–1.05)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 (0.81–1.07)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 (0.82–1.14)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 (0.80–1.15)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 (0.72–1.25)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 (0.81–1.23)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 (0.83–1.28)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 (0.72–1.32)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 (0.84–1.26)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 (0.86–1.32)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 (0.88–1.44)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 (1.00–1.76)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 (1.17–1.89)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 (0.77–1.26)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 (0.91–1.27)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 (0.94–1.30)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 (0.78–1.33)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 (0.92–1.26)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 (0.94–1.35)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 (0.91–1.46)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 (0.94–1.83)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 (1.03–1.60)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 (0.90–1.16)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 (0.88–1.17)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 (0.88–1.17)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 (0.90–1.16)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 (0.88–1.17)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 (0.88–1.17)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 (0.86–1.15)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 (0.88–1.16)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 (0.91–1.31)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 (0.75–1.46)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 (0.75–1.50)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 (0.48–1.51)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 (0.80–1.49)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 (0.79–1.53)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 (0.53–1.45)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 (0.88–1.85)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 (1.04–2.70)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 (0.93–2.54)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 (0.76–1.48)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 (0.83–1.54)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 (0.56–1.58)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 (0.77–1.61)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 (0.80–1.56)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 (0.49–1.60)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 (0.89–1.85)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 (0.92–2.73)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 (0.78–2.19)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 (1.00–1.51)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 (0.95–1.48)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 (0.89–1.27)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 (0.99–1.50)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 (0.96–1.50)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excluding 2020-21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 (0.91–1.30)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 (1.05–1.80)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 (0.85–1.71)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 (0.85–1.97)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79%</w:t>
            </w:r>
          </w:p>
        </w:tc>
      </w:tr>
    </w:tbl>
    <w:p>
      <w:pPr>
        <w:pStyle w:val="BodyText"/>
      </w:pPr>
      <w:r>
        <w:t xml:space="preserve">Randomisation p-values compare the cluster-robust t statistic with 499 permutations of whole regional exposure histories across regions, valid under exchangeability of those histories; p = (1 + count)/(1 + 499), so the minimum is 0.002.</w:t>
      </w:r>
    </w:p>
    <w:p>
      <w:pPr>
        <w:pStyle w:val="BodyText"/>
      </w:pPr>
      <w:r>
        <w:rPr>
          <w:b/>
          <w:bCs/>
        </w:rPr>
        <w:t xml:space="preserve">Table S6. Regional models: lag 2 and lead 2 estimated jointly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Regions excluded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 lag (per 10%)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 lead (per 10%)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 ÷ lead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difference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randomisation (lag)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2013-2022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London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2013-2022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2013-2022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London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2013-2022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2013-2022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London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2013-2022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2013-2022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2013-2022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Non-UK 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2013-2022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oral_glucocorticoids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2013-2022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mg_pred_equivalent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2013-2022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TB, UK born aged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levothyroxine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2013-2022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S7. Hospital medicines: share of DDD from trusts matched to catchments directly, via successor trusts, or unmatched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Drug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Antiproliferatives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Antiproliferatives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Antiproliferatives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Antiproliferatives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Antiproliferatives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Antiproliferatives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Active-TB treatment (pyrazinamide DDD, including fixed-dose combinations; positive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Active-TB treatment (pyrazinamide DDD, including fixed-dose combinations; positive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Active-TB treatment (pyrazinamide DDD, including fixed-dose combinations; positive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Active-TB treatment (pyrazinamide DDD, including fixed-dose combinations; positive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Active-TB treatment (pyrazinamide DDD, including fixed-dose combinations; positive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Active-TB treatment (pyrazinamide DDD, including fixed-dose combinations; positive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Rifamycin/isoniazid (active and latent TB, other infections)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Rifamycin/isoniazid (active and latent TB, other infections)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Rifamycin/isoniazid (active and latent TB, other infections)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Rifamycin/isoniazid (active and latent TB, other infections)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Rifamycin/isoniazid (active and latent TB, other infections)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Rifamycin/isoniazid (active and latent TB, other infections)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Dexamethasone and hydrocortisone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Dexamethasone and hydrocortisone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Dexamethasone and hydrocortisone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Dexamethasone and hydrocortisone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Dexamethasone and hydrocortisone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Dexamethasone and hydrocortisone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IL-6 inhibitors and abatacept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IL-6 inhibitors and abatacept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IL-6 inhibitors and abatacept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IL-6 inhibitors and abatacept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IL-6 inhibitors and abatacept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IL-6 inhibitors and abatacept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 inhibitors (rheumatology)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 inhibitors (rheumatology)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 inhibitors (rheumatology)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 inhibitors (rheumatology)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 inhibitors (rheumatology)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 inhibitors (rheumatology)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Low-TB-risk biologics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Low-TB-risk biologics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Low-TB-risk biologics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Low-TB-risk biologics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Low-TB-risk biologics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Low-TB-risk biologics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Levetiracetam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Levetiracetam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Levetiracetam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Levetiracetam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Levetiracetam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Levetiracetam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Rituximab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Rituximab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Rituximab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Rituximab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Rituximab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Rituximab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glucocorticoids without dexamethasone/hydrocortisone (prednisolone-equivalent mg)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glucocorticoids without dexamethasone/hydrocortisone (prednisolone-equivalent mg)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glucocorticoids without dexamethasone/hydrocortisone (prednisolone-equivalent mg)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glucocorticoids without dexamethasone/hydrocortisone (prednisolone-equivalent mg)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glucocorticoids without dexamethasone/hydrocortisone (prednisolone-equivalent mg)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glucocorticoids without dexamethasone/hydrocortisone (prednisolone-equivalent mg)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glucocorticoids, oral forms only (sensitivity)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glucocorticoids, oral forms only (sensitivity)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glucocorticoids, oral forms only (sensitivity)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glucocorticoids, oral forms only (sensitivity)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glucocorticoids, oral forms only (sensitivity)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glucocorticoids, oral forms only (sensitivity)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TNF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TNF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TNF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TNF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TNF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TNF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Calcineurin/mTOR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Calcineurin/mTOR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Calcineurin/mTOR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Calcineurin/mTOR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Calcineurin/mTOR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Calcineurin/mTOR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S8. Original panel design (UTLA; Fingertips three-year notification windows; practice-postcode assignment; original drug groups): IRR per 10% increase (95% CI)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Drug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primary: t-5..t-3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lag: t-3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concurrent: t-2..t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 (falsification): t+1..t+3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Antituberculosis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 (0.999–1.012)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(0.998–1.005)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(0.996–1.004)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(0.994–1.005)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oral_corticosteroids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(0.951–1.055)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(0.958–1.040)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 (0.931–1.028)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(0.946–1.040)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Inhaled corticosteroids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 (0.944–1.086)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 (0.962–1.064)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 (0.918–1.011)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 (0.916–1.029)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immunosuppressants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 (0.978–1.034)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 (0.987–1.027)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 (0.988–1.031)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(0.976–1.030)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Proton pump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 (0.941–1.077)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(0.957–1.048)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(0.953–1.049)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1.040 (0.985–1.098)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1.031 (0.963–1.104)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(0.963–1.055)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(0.956–1.049)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1.022 (0.966–1.082)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Metformin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(0.940–1.060)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 (0.933–1.018)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 (0.933–1.007)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 (0.960–1.063)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 (0.973–1.114)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 (0.965–1.056)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 (0.927–1.018)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 (0.908–1.020)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Fluoroquinolones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 (0.996–1.032)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(0.992–1.018)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(0.984–1.016)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 (0.971–1.009)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antibacterials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1.030 (0.983–1.080)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 (0.983–1.052)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(0.958–1.031)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(0.971–1.047)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Vitamin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 (0.993–1.044)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 (0.988–1.028)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(0.981–1.025)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 (1.002–1.055)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Levothyroxine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 (0.942–1.024)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 (0.939–1.006)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 (0.928–1.000)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 (0.932–1.029)</w:t>
            </w:r>
          </w:p>
        </w:tc>
      </w:tr>
    </w:tbl>
    <w:p>
      <w:pPr>
        <w:pStyle w:val="BodyText"/>
      </w:pPr>
      <w:r>
        <w:t xml:space="preserve">Poisson PML with area and year fixed effects and time-varying covariates. Drug groups follow the original definitions, before revision after peer review, so they are not directly comparable with Table 1.</w:t>
      </w:r>
    </w:p>
    <w:p>
      <w:pPr>
        <w:pStyle w:val="BodyText"/>
      </w:pPr>
      <w:r>
        <w:rPr>
          <w:b/>
          <w:bCs/>
        </w:rPr>
        <w:t xml:space="preserve">Table S9. Primary care drug group definitions (regular expressions applied to BNF chemical substance names and BNF codes; drug_groups.py)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Drug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Antituberculosis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code:</w:t>
            </w:r>
            <w:r>
              <w:t xml:space="preserve"> </w:t>
            </w:r>
            <w:r>
              <w:rPr>
                <w:rStyle w:val="VerbatimChar"/>
              </w:rPr>
              <w:t xml:space="preserve">^0501090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oral 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code:</w:t>
            </w:r>
            <w:r>
              <w:t xml:space="preserve"> </w:t>
            </w:r>
            <w:r>
              <w:rPr>
                <w:rStyle w:val="VerbatimChar"/>
              </w:rPr>
              <w:t xml:space="preserve">^0603020</w:t>
            </w:r>
            <w:r>
              <w:t xml:space="preserve">; name:</w:t>
            </w:r>
            <w:r>
              <w:t xml:space="preserve"> </w:t>
            </w:r>
            <w:r>
              <w:rPr>
                <w:rStyle w:val="VerbatimChar"/>
              </w:rPr>
              <w:t xml:space="preserve">^(?:prednisolone\|prednisone\|methylprednisolone\|deflazacort\|dexamethasone)</w:t>
            </w:r>
            <w:r>
              <w:t xml:space="preserve">; exclude:</w:t>
            </w:r>
            <w:r>
              <w:t xml:space="preserve"> </w:t>
            </w:r>
            <w:r>
              <w:rPr>
                <w:rStyle w:val="VerbatimChar"/>
              </w:rPr>
              <w:t xml:space="preserve">inj\|infusion\|amp\|vial\|syringe\|pre-filled\|prefilled\|intra-articular\|suspension for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Oral hydrocortisone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code:</w:t>
            </w:r>
            <w:r>
              <w:t xml:space="preserve"> </w:t>
            </w:r>
            <w:r>
              <w:rPr>
                <w:rStyle w:val="VerbatimChar"/>
              </w:rPr>
              <w:t xml:space="preserve">^0603020</w:t>
            </w:r>
            <w:r>
              <w:t xml:space="preserve">; name:</w:t>
            </w:r>
            <w:r>
              <w:t xml:space="preserve"> </w:t>
            </w:r>
            <w:r>
              <w:rPr>
                <w:rStyle w:val="VerbatimChar"/>
              </w:rPr>
              <w:t xml:space="preserve">^hydrocortisone</w:t>
            </w:r>
            <w:r>
              <w:t xml:space="preserve">; exclude:</w:t>
            </w:r>
            <w:r>
              <w:t xml:space="preserve"> </w:t>
            </w:r>
            <w:r>
              <w:rPr>
                <w:rStyle w:val="VerbatimChar"/>
              </w:rPr>
              <w:t xml:space="preserve">inj\|infusion\|amp\|vial\|syringe\|pre-filled\|prefilled\|intra-articular\|suspension for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Oral dexamethasone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code:</w:t>
            </w:r>
            <w:r>
              <w:t xml:space="preserve"> </w:t>
            </w:r>
            <w:r>
              <w:rPr>
                <w:rStyle w:val="VerbatimChar"/>
              </w:rPr>
              <w:t xml:space="preserve">^0603020</w:t>
            </w:r>
            <w:r>
              <w:t xml:space="preserve">; name:</w:t>
            </w:r>
            <w:r>
              <w:t xml:space="preserve"> </w:t>
            </w:r>
            <w:r>
              <w:rPr>
                <w:rStyle w:val="VerbatimChar"/>
              </w:rPr>
              <w:t xml:space="preserve">^dexamethasone</w:t>
            </w:r>
            <w:r>
              <w:t xml:space="preserve">; exclude:</w:t>
            </w:r>
            <w:r>
              <w:t xml:space="preserve"> </w:t>
            </w:r>
            <w:r>
              <w:rPr>
                <w:rStyle w:val="VerbatimChar"/>
              </w:rPr>
              <w:t xml:space="preserve">inj\|infusion\|amp\|vial\|syringe\|pre-filled\|prefilled\|intra-articular\|suspension for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Inhaled corticosteroids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code:</w:t>
            </w:r>
            <w:r>
              <w:t xml:space="preserve"> </w:t>
            </w:r>
            <w:r>
              <w:rPr>
                <w:rStyle w:val="VerbatimChar"/>
              </w:rPr>
              <w:t xml:space="preserve">^0302000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DMARDs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name:</w:t>
            </w:r>
            <w:r>
              <w:t xml:space="preserve"> </w:t>
            </w:r>
            <w:r>
              <w:rPr>
                <w:rStyle w:val="VerbatimChar"/>
              </w:rPr>
              <w:t xml:space="preserve">^(?:methotrexate\|leflunomide\|azathioprine\|mercaptopurine)</w:t>
            </w:r>
            <w:r>
              <w:t xml:space="preserve">; code:</w:t>
            </w:r>
            <w:r>
              <w:t xml:space="preserve"> </w:t>
            </w:r>
            <w:r>
              <w:rPr>
                <w:rStyle w:val="VerbatimChar"/>
              </w:rPr>
              <w:t xml:space="preserve">^(?:1001030\|0802010\|0801030L0)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Transplant immunosuppressants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name:</w:t>
            </w:r>
            <w:r>
              <w:t xml:space="preserve"> </w:t>
            </w:r>
            <w:r>
              <w:rPr>
                <w:rStyle w:val="VerbatimChar"/>
              </w:rPr>
              <w:t xml:space="preserve">^(?:tacrolimus\|ciclosporin\|mycophenol\|sirolimus\|everolimus)</w:t>
            </w:r>
            <w:r>
              <w:t xml:space="preserve">; code:</w:t>
            </w:r>
            <w:r>
              <w:t xml:space="preserve"> </w:t>
            </w:r>
            <w:r>
              <w:rPr>
                <w:rStyle w:val="VerbatimChar"/>
              </w:rPr>
              <w:t xml:space="preserve">^0802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Proton pump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code:</w:t>
            </w:r>
            <w:r>
              <w:t xml:space="preserve"> </w:t>
            </w:r>
            <w:r>
              <w:rPr>
                <w:rStyle w:val="VerbatimChar"/>
              </w:rPr>
              <w:t xml:space="preserve">^0103050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code:</w:t>
            </w:r>
            <w:r>
              <w:t xml:space="preserve"> </w:t>
            </w:r>
            <w:r>
              <w:rPr>
                <w:rStyle w:val="VerbatimChar"/>
              </w:rPr>
              <w:t xml:space="preserve">^0212000</w:t>
            </w:r>
            <w:r>
              <w:t xml:space="preserve">; name:</w:t>
            </w:r>
            <w:r>
              <w:t xml:space="preserve"> </w:t>
            </w:r>
            <w:r>
              <w:rPr>
                <w:rStyle w:val="VerbatimChar"/>
              </w:rPr>
              <w:t xml:space="preserve">statin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Metformin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name:</w:t>
            </w:r>
            <w:r>
              <w:t xml:space="preserve"> </w:t>
            </w:r>
            <w:r>
              <w:rPr>
                <w:rStyle w:val="VerbatimChar"/>
              </w:rPr>
              <w:t xml:space="preserve">metformin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code:</w:t>
            </w:r>
            <w:r>
              <w:t xml:space="preserve"> </w:t>
            </w:r>
            <w:r>
              <w:rPr>
                <w:rStyle w:val="VerbatimChar"/>
              </w:rPr>
              <w:t xml:space="preserve">^060101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Fluoroquinolones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name:</w:t>
            </w:r>
            <w:r>
              <w:t xml:space="preserve"> </w:t>
            </w:r>
            <w:r>
              <w:rPr>
                <w:rStyle w:val="VerbatimChar"/>
              </w:rPr>
              <w:t xml:space="preserve">^(?:ciprofloxacin\|levofloxacin\|moxifloxacin\|ofloxacin)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antibacterials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code:</w:t>
            </w:r>
            <w:r>
              <w:t xml:space="preserve"> </w:t>
            </w:r>
            <w:r>
              <w:rPr>
                <w:rStyle w:val="VerbatimChar"/>
              </w:rPr>
              <w:t xml:space="preserve">^0501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Vitamin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name:</w:t>
            </w:r>
            <w:r>
              <w:t xml:space="preserve"> </w:t>
            </w:r>
            <w:r>
              <w:rPr>
                <w:rStyle w:val="VerbatimChar"/>
              </w:rPr>
              <w:t xml:space="preserve">^(?:colecalciferol\|ergocalciferol)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Levothyroxine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name:</w:t>
            </w:r>
            <w:r>
              <w:t xml:space="preserve"> </w:t>
            </w:r>
            <w:r>
              <w:rPr>
                <w:rStyle w:val="VerbatimChar"/>
              </w:rPr>
              <w:t xml:space="preserve">^levothyroxine</w:t>
            </w:r>
          </w:p>
        </w:tc>
      </w:tr>
    </w:tbl>
    <w:p>
      <w:pPr>
        <w:pStyle w:val="BodyText"/>
      </w:pPr>
      <w:r>
        <w:t xml:space="preserve">BNF chapters 11–13 (eye, ear and nose, skin) are excluded unless a code rule applies; injectable presentations are excluded from oral groups. Prednisolone-equivalent factors: prednisolone and prednisone 1, methylprednisolone 1.25, deflazacort 0.83, dexamethasone 6.67. The SCMD product classification with DDDs is in outputs/hospital/vmp_classification.csv.</w:t>
      </w:r>
    </w:p>
    <w:bookmarkEnd w:id="20"/>
    <w:bookmarkStart w:id="27" w:name="supplementary-figures"/>
    <w:p>
      <w:pPr>
        <w:pStyle w:val="Heading2"/>
      </w:pPr>
      <w:r>
        <w:t xml:space="preserve">Supplementary figures</w:t>
      </w:r>
    </w:p>
    <w:p>
      <w:pPr>
        <w:pStyle w:val="FirstParagraph"/>
      </w:pPr>
      <w:r>
        <w:rPr>
          <w:b/>
          <w:bCs/>
        </w:rPr>
        <w:t xml:space="preserve">Figure S1.</w:t>
      </w:r>
      <w:r>
        <w:t xml:space="preserve"> </w:t>
      </w:r>
      <w:r>
        <w:t xml:space="preserve">Oral glucocorticoid prescribing in English primary care, 2011-2024.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Figure S1" title="" id="22" name="Picture"/>
            <a:graphic>
              <a:graphicData uri="http://schemas.openxmlformats.org/drawingml/2006/picture">
                <pic:pic>
                  <pic:nvPicPr>
                    <pic:cNvPr descr="figures/ocs_national_trend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S1</w:t>
      </w:r>
    </w:p>
    <w:p>
      <w:pPr>
        <w:pStyle w:val="BodyText"/>
      </w:pPr>
      <w:r>
        <w:rPr>
          <w:b/>
          <w:bCs/>
        </w:rPr>
        <w:t xml:space="preserve">Figure S2.</w:t>
      </w:r>
      <w:r>
        <w:t xml:space="preserve"> </w:t>
      </w:r>
      <w:r>
        <w:t xml:space="preserve">Oral glucocorticoid prescribing and UK-born TB notification rates by region, indexed to 2014 = 100.</w:t>
      </w:r>
    </w:p>
    <w:p>
      <w:pPr>
        <w:pStyle w:val="CaptionedFigure"/>
      </w:pPr>
      <w:r>
        <w:drawing>
          <wp:inline>
            <wp:extent cx="5334000" cy="4533900"/>
            <wp:effectExtent b="0" l="0" r="0" t="0"/>
            <wp:docPr descr="Figure S2" title="" id="25" name="Picture"/>
            <a:graphic>
              <a:graphicData uri="http://schemas.openxmlformats.org/drawingml/2006/picture">
                <pic:pic>
                  <pic:nvPicPr>
                    <pic:cNvPr descr="figures/ocs_ukborn_tb_by_reg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S2</w:t>
      </w:r>
    </w:p>
    <w:bookmarkEnd w:id="27"/>
    <w:bookmarkStart w:id="28" w:name="reporting-checklist"/>
    <w:p>
      <w:pPr>
        <w:pStyle w:val="Heading2"/>
      </w:pPr>
      <w:r>
        <w:t xml:space="preserve">Reporting checklist</w:t>
      </w:r>
    </w:p>
    <w:p>
      <w:pPr>
        <w:pStyle w:val="FirstParagraph"/>
      </w:pPr>
      <w:r>
        <w:t xml:space="preserve">The completed RECORD checklist (paper/submission/record_checklist.md) is uploaded as a separate file.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2026-09-19T09:30:02Z</dcterms:created>
  <dcterms:modified xsi:type="dcterms:W3CDTF">2026-09-19T09:30:02Z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