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start"/>
        <w:rPr/>
      </w:pPr>
      <w:r>
        <w:rPr>
          <w:b/>
          <w:color w:val="425563"/>
          <w:sz w:val="26"/>
        </w:rPr>
        <w:t>Standard Operating Procedure (SOP)</w:t>
      </w:r>
    </w:p>
    <w:p>
      <w:pPr>
        <w:pStyle w:val="Normal"/>
        <w:rPr/>
      </w:pPr>
      <w:r>
        <w:rPr>
          <w:b/>
          <w:color w:val="005EB8"/>
          <w:sz w:val="44"/>
        </w:rPr>
        <w:t>Homerton Healthcare NHS Foundation Trust</w:t>
      </w:r>
    </w:p>
    <w:p>
      <w:pPr>
        <w:pStyle w:val="Normal"/>
        <w:rPr/>
      </w:pPr>
      <w:r>
        <w:rPr>
          <w:b/>
          <w:color w:val="003B73"/>
          <w:sz w:val="36"/>
        </w:rPr>
        <w:t>LUNG CANCER MULTIDISCIPLINARY TEAM</w:t>
      </w:r>
    </w:p>
    <w:p>
      <w:pPr>
        <w:pStyle w:val="Normal"/>
        <w:rPr/>
      </w:pPr>
      <w:r>
        <w:rPr>
          <w:i/>
          <w:color w:val="425563"/>
          <w:sz w:val="26"/>
        </w:rPr>
        <w:t>MDT Operational Policy &amp; Lung Cancer Service Specification</w:t>
      </w:r>
    </w:p>
    <w:tbl>
      <w:tblPr>
        <w:tblStyle w:val="TableGrid"/>
        <w:tblW w:w="96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24"/>
        <w:gridCol w:w="4824"/>
      </w:tblGrid>
      <w:tr>
        <w:trPr/>
        <w:tc>
          <w:tcPr>
            <w:tcW w:w="4824" w:type="dxa"/>
            <w:tcBorders/>
            <w:shd w:fill="EEF3F8"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Document type</w:t>
            </w:r>
          </w:p>
        </w:tc>
        <w:tc>
          <w:tcPr>
            <w:tcW w:w="482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Standard Operating Procedure / MDT Operational Policy</w:t>
            </w:r>
          </w:p>
        </w:tc>
      </w:tr>
      <w:tr>
        <w:trPr/>
        <w:tc>
          <w:tcPr>
            <w:tcW w:w="4824" w:type="dxa"/>
            <w:tcBorders/>
            <w:shd w:fill="EEF3F8"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Service</w:t>
            </w:r>
          </w:p>
        </w:tc>
        <w:tc>
          <w:tcPr>
            <w:tcW w:w="482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Lung Cancer MDT, Department of Respiratory Medicine</w:t>
            </w:r>
          </w:p>
        </w:tc>
      </w:tr>
      <w:tr>
        <w:trPr/>
        <w:tc>
          <w:tcPr>
            <w:tcW w:w="4824" w:type="dxa"/>
            <w:tcBorders/>
            <w:shd w:fill="EEF3F8"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MDT Lead Clinician</w:t>
            </w:r>
          </w:p>
        </w:tc>
        <w:tc>
          <w:tcPr>
            <w:tcW w:w="482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Dr Carl Reynolds, Consultant Respiratory Physician &amp; Lung Cancer Lead</w:t>
            </w:r>
          </w:p>
        </w:tc>
      </w:tr>
      <w:tr>
        <w:trPr/>
        <w:tc>
          <w:tcPr>
            <w:tcW w:w="4824" w:type="dxa"/>
            <w:tcBorders/>
            <w:shd w:fill="EEF3F8"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Version</w:t>
            </w:r>
          </w:p>
        </w:tc>
        <w:tc>
          <w:tcPr>
            <w:tcW w:w="482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0.1 — DRAFT for consultation</w:t>
            </w:r>
          </w:p>
        </w:tc>
      </w:tr>
      <w:tr>
        <w:trPr/>
        <w:tc>
          <w:tcPr>
            <w:tcW w:w="4824" w:type="dxa"/>
            <w:tcBorders/>
            <w:shd w:fill="EEF3F8"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Date drafted</w:t>
            </w:r>
          </w:p>
        </w:tc>
        <w:tc>
          <w:tcPr>
            <w:tcW w:w="482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June 2026</w:t>
            </w:r>
          </w:p>
        </w:tc>
      </w:tr>
      <w:tr>
        <w:trPr/>
        <w:tc>
          <w:tcPr>
            <w:tcW w:w="4824" w:type="dxa"/>
            <w:tcBorders/>
            <w:shd w:fill="EEF3F8"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Review date</w:t>
            </w:r>
          </w:p>
        </w:tc>
        <w:tc>
          <w:tcPr>
            <w:tcW w:w="482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June 2027 (or sooner as the service develops)</w:t>
            </w:r>
          </w:p>
        </w:tc>
      </w:tr>
    </w:tbl>
    <w:p>
      <w:pPr>
        <w:pStyle w:val="Normal"/>
        <w:spacing w:before="0" w:after="80"/>
        <w:rPr>
          <w:i/>
          <w:color w:val="C05A00"/>
          <w:sz w:val="20"/>
        </w:rPr>
      </w:pPr>
      <w:r>
        <w:rPr/>
      </w:r>
    </w:p>
    <w:p>
      <w:pPr>
        <w:pStyle w:val="Normal"/>
        <w:pBdr>
          <w:bottom w:val="single" w:sz="6" w:space="4" w:color="41B6E6"/>
        </w:pBdr>
        <w:spacing w:before="240" w:after="120"/>
        <w:rPr/>
      </w:pPr>
      <w:r>
        <w:rPr>
          <w:b/>
          <w:color w:val="005EB8"/>
          <w:sz w:val="32"/>
        </w:rPr>
        <w:t>1.  Introduction and Context</w:t>
      </w:r>
    </w:p>
    <w:p>
      <w:pPr>
        <w:pStyle w:val="Normal"/>
        <w:spacing w:before="0" w:after="80"/>
        <w:rPr/>
      </w:pPr>
      <w:r>
        <w:rPr>
          <w:b w:val="false"/>
          <w:i w:val="false"/>
          <w:color w:val="425563"/>
          <w:sz w:val="22"/>
        </w:rPr>
        <w:t>The Lung Cancer Multidisciplinary Team (MDT) at Homerton Healthcare NHS Foundation Trust is a multi-professional group responsible for the coordinated diagnosis, treatment and care of people with suspected and confirmed thoracic malignancy (lung cancer, mesothelioma and thymoma) within the City &amp; Hackney population. The service operates on a single acute site and works as part of the North East London Cancer Alliance (NELCA), with onward referral for specialist thoracic surgery, oncology and specialist diagnostics to regional partners. [to confirm regional partners]</w:t>
      </w:r>
    </w:p>
    <w:p>
      <w:pPr>
        <w:pStyle w:val="Normal"/>
        <w:spacing w:before="0" w:after="80"/>
        <w:rPr/>
      </w:pPr>
      <w:r>
        <w:rPr>
          <w:b w:val="false"/>
          <w:i w:val="false"/>
          <w:color w:val="425563"/>
          <w:sz w:val="22"/>
        </w:rPr>
        <w:t>This document describes the operational policy for the Lung Cancer MDT and the specification of the lung cancer service. It is reviewed at least annually.</w:t>
      </w:r>
    </w:p>
    <w:p>
      <w:pPr>
        <w:pStyle w:val="Normal"/>
        <w:spacing w:before="0" w:after="40"/>
        <w:rPr/>
      </w:pPr>
      <w:r>
        <w:rPr>
          <w:b/>
          <w:i w:val="false"/>
          <w:color w:val="003B73"/>
          <w:sz w:val="22"/>
        </w:rPr>
        <w:t>Purpose of the MDT</w:t>
      </w:r>
    </w:p>
    <w:p>
      <w:pPr>
        <w:pStyle w:val="Normal"/>
        <w:spacing w:before="0" w:after="80"/>
        <w:rPr/>
      </w:pPr>
      <w:r>
        <w:rPr>
          <w:b w:val="false"/>
          <w:i w:val="false"/>
          <w:color w:val="425563"/>
          <w:sz w:val="22"/>
        </w:rPr>
        <w:t>To ensure a coordinated, patient-centred approach to the diagnosis, treatment and care of all patients with lung cancer, mesothelioma and thymoma, through:</w:t>
      </w:r>
    </w:p>
    <w:p>
      <w:pPr>
        <w:pStyle w:val="ListBullet"/>
        <w:numPr>
          <w:ilvl w:val="0"/>
          <w:numId w:val="1"/>
        </w:numPr>
        <w:spacing w:before="0" w:after="40"/>
        <w:contextualSpacing/>
        <w:rPr/>
      </w:pPr>
      <w:r>
        <w:rPr>
          <w:b w:val="false"/>
          <w:i w:val="false"/>
          <w:color w:val="425563"/>
          <w:sz w:val="22"/>
        </w:rPr>
        <w:t>Rapid, accurate diagnosis and staging</w:t>
      </w:r>
    </w:p>
    <w:p>
      <w:pPr>
        <w:pStyle w:val="ListBullet"/>
        <w:numPr>
          <w:ilvl w:val="0"/>
          <w:numId w:val="1"/>
        </w:numPr>
        <w:spacing w:before="0" w:after="40"/>
        <w:contextualSpacing/>
        <w:rPr/>
      </w:pPr>
      <w:r>
        <w:rPr>
          <w:b w:val="false"/>
          <w:i w:val="false"/>
          <w:color w:val="425563"/>
          <w:sz w:val="22"/>
        </w:rPr>
        <w:t>Multidisciplinary treatment decision-making in line with national guidance</w:t>
      </w:r>
    </w:p>
    <w:p>
      <w:pPr>
        <w:pStyle w:val="ListBullet"/>
        <w:numPr>
          <w:ilvl w:val="0"/>
          <w:numId w:val="1"/>
        </w:numPr>
        <w:spacing w:before="0" w:after="40"/>
        <w:contextualSpacing/>
        <w:rPr/>
      </w:pPr>
      <w:r>
        <w:rPr>
          <w:b w:val="false"/>
          <w:i w:val="false"/>
          <w:color w:val="425563"/>
          <w:sz w:val="22"/>
        </w:rPr>
        <w:t>Clear, sensitive communication with patients, carers and primary care</w:t>
      </w:r>
    </w:p>
    <w:p>
      <w:pPr>
        <w:pStyle w:val="ListBullet"/>
        <w:numPr>
          <w:ilvl w:val="0"/>
          <w:numId w:val="1"/>
        </w:numPr>
        <w:spacing w:before="0" w:after="40"/>
        <w:contextualSpacing/>
        <w:rPr/>
      </w:pPr>
      <w:r>
        <w:rPr>
          <w:b w:val="false"/>
          <w:i w:val="false"/>
          <w:color w:val="425563"/>
          <w:sz w:val="22"/>
        </w:rPr>
        <w:t>Collection and analysis of high-quality data in audit cycles</w:t>
      </w:r>
    </w:p>
    <w:p>
      <w:pPr>
        <w:pStyle w:val="ListBullet"/>
        <w:numPr>
          <w:ilvl w:val="0"/>
          <w:numId w:val="1"/>
        </w:numPr>
        <w:spacing w:before="0" w:after="40"/>
        <w:contextualSpacing/>
        <w:rPr/>
      </w:pPr>
      <w:r>
        <w:rPr>
          <w:b w:val="false"/>
          <w:i w:val="false"/>
          <w:color w:val="425563"/>
          <w:sz w:val="22"/>
        </w:rPr>
        <w:t>Involvement in research and adoption of best practice</w:t>
      </w:r>
    </w:p>
    <w:p>
      <w:pPr>
        <w:pStyle w:val="ListBullet"/>
        <w:numPr>
          <w:ilvl w:val="0"/>
          <w:numId w:val="1"/>
        </w:numPr>
        <w:spacing w:before="0" w:after="40"/>
        <w:contextualSpacing/>
        <w:rPr/>
      </w:pPr>
      <w:r>
        <w:rPr>
          <w:b w:val="false"/>
          <w:i w:val="false"/>
          <w:color w:val="425563"/>
          <w:sz w:val="22"/>
        </w:rPr>
        <w:t>Embedding patient priorities in service design</w:t>
      </w:r>
    </w:p>
    <w:p>
      <w:pPr>
        <w:pStyle w:val="Normal"/>
        <w:spacing w:before="0" w:after="40"/>
        <w:rPr/>
      </w:pPr>
      <w:r>
        <w:rPr>
          <w:b/>
          <w:i w:val="false"/>
          <w:color w:val="003B73"/>
          <w:sz w:val="22"/>
        </w:rPr>
        <w:t>Scale of the service</w:t>
      </w:r>
    </w:p>
    <w:p>
      <w:pPr>
        <w:pStyle w:val="Normal"/>
        <w:spacing w:before="0" w:after="80"/>
        <w:rPr/>
      </w:pPr>
      <w:r>
        <w:rPr>
          <w:b w:val="false"/>
          <w:i w:val="false"/>
          <w:color w:val="425563"/>
          <w:sz w:val="22"/>
        </w:rPr>
        <w:t>Homerton receives approximately 10 urgent suspected lung cancer referrals per week (~500/year), with around 2 new lung cancer diagnoses per week (~100/year).</w:t>
      </w:r>
    </w:p>
    <w:p>
      <w:pPr>
        <w:pStyle w:val="Normal"/>
        <w:spacing w:before="0" w:after="40"/>
        <w:rPr/>
      </w:pPr>
      <w:r>
        <w:rPr>
          <w:b/>
          <w:i w:val="false"/>
          <w:color w:val="003B73"/>
          <w:sz w:val="22"/>
        </w:rPr>
        <w:t>Standards</w:t>
      </w:r>
    </w:p>
    <w:p>
      <w:pPr>
        <w:pStyle w:val="Normal"/>
        <w:spacing w:before="0" w:after="80"/>
        <w:rPr/>
      </w:pPr>
      <w:r>
        <w:rPr>
          <w:b w:val="false"/>
          <w:i w:val="false"/>
          <w:color w:val="425563"/>
          <w:sz w:val="22"/>
        </w:rPr>
        <w:t>The service works to the National Optimal Lung Cancer Pathway (NOLCP), NICE Quality Standard QS17 and NICE NG12, the 28-day Faster Diagnosis Standard (FDS), and the 62-day / 31-day cancer waiting time standards.</w:t>
      </w:r>
    </w:p>
    <w:p>
      <w:pPr>
        <w:pStyle w:val="Normal"/>
        <w:pBdr>
          <w:bottom w:val="single" w:sz="6" w:space="4" w:color="41B6E6"/>
        </w:pBdr>
        <w:spacing w:before="240" w:after="120"/>
        <w:rPr/>
      </w:pPr>
      <w:r>
        <w:rPr>
          <w:b/>
          <w:color w:val="005EB8"/>
          <w:sz w:val="32"/>
        </w:rPr>
        <w:t>2.  MDT Membership and Leadership</w:t>
      </w:r>
    </w:p>
    <w:p>
      <w:pPr>
        <w:pStyle w:val="Normal"/>
        <w:spacing w:before="0" w:after="40"/>
        <w:rPr/>
      </w:pPr>
      <w:r>
        <w:rPr>
          <w:b/>
          <w:i w:val="false"/>
          <w:color w:val="003B73"/>
          <w:sz w:val="22"/>
        </w:rPr>
        <w:t>Leadership</w:t>
      </w:r>
    </w:p>
    <w:p>
      <w:pPr>
        <w:pStyle w:val="Normal"/>
        <w:spacing w:before="0" w:after="80"/>
        <w:rPr/>
      </w:pPr>
      <w:r>
        <w:rPr>
          <w:b w:val="false"/>
          <w:i w:val="false"/>
          <w:color w:val="425563"/>
          <w:sz w:val="22"/>
        </w:rPr>
        <w:t>Dr Carl Reynolds is the MDT Lead Clinician and Lung Cancer Lead, with responsibility for ensuring multidisciplinary decision-making, adherence to guidelines, audit and data quality, clinical-trial access, and that MDT outcomes are clearly recorded and clinically validated.</w:t>
      </w:r>
    </w:p>
    <w:p>
      <w:pPr>
        <w:pStyle w:val="Normal"/>
        <w:spacing w:before="0" w:after="40"/>
        <w:rPr/>
      </w:pPr>
      <w:r>
        <w:rPr>
          <w:b/>
          <w:i w:val="false"/>
          <w:color w:val="003B73"/>
          <w:sz w:val="22"/>
        </w:rPr>
        <w:t>Core membership</w:t>
      </w:r>
    </w:p>
    <w:tbl>
      <w:tblPr>
        <w:tblStyle w:val="TableGrid"/>
        <w:tblW w:w="96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24"/>
        <w:gridCol w:w="4824"/>
      </w:tblGrid>
      <w:tr>
        <w:trPr/>
        <w:tc>
          <w:tcPr>
            <w:tcW w:w="4824" w:type="dxa"/>
            <w:tcBorders/>
            <w:shd w:fill="005EB8"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Role</w:t>
            </w:r>
          </w:p>
        </w:tc>
        <w:tc>
          <w:tcPr>
            <w:tcW w:w="4824" w:type="dxa"/>
            <w:tcBorders/>
            <w:shd w:fill="005EB8"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Team member(s)</w:t>
            </w:r>
          </w:p>
        </w:tc>
      </w:tr>
      <w:tr>
        <w:trPr/>
        <w:tc>
          <w:tcPr>
            <w:tcW w:w="482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Lung cancer lead / Respiratory physician</w:t>
            </w:r>
          </w:p>
        </w:tc>
        <w:tc>
          <w:tcPr>
            <w:tcW w:w="482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Dr Carl Reynolds</w:t>
            </w:r>
          </w:p>
        </w:tc>
      </w:tr>
      <w:tr>
        <w:trPr/>
        <w:tc>
          <w:tcPr>
            <w:tcW w:w="482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Respiratory physicians (lung cancer)</w:t>
            </w:r>
          </w:p>
        </w:tc>
        <w:tc>
          <w:tcPr>
            <w:tcW w:w="482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Dr Angshu Bhowmik; Dr Raluca; Dr Callum (locum)</w:t>
            </w:r>
          </w:p>
        </w:tc>
      </w:tr>
      <w:tr>
        <w:trPr/>
        <w:tc>
          <w:tcPr>
            <w:tcW w:w="482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Thoracic radiologists</w:t>
            </w:r>
          </w:p>
        </w:tc>
        <w:tc>
          <w:tcPr>
            <w:tcW w:w="482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Dr Sayan; Dr Shritika (locum)</w:t>
            </w:r>
          </w:p>
        </w:tc>
      </w:tr>
      <w:tr>
        <w:trPr/>
        <w:tc>
          <w:tcPr>
            <w:tcW w:w="482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Lung Clinical Nurse Specialists</w:t>
            </w:r>
          </w:p>
        </w:tc>
        <w:tc>
          <w:tcPr>
            <w:tcW w:w="4824" w:type="dxa"/>
            <w:tcBorders/>
          </w:tcPr>
          <w:p>
            <w:pPr>
              <w:pStyle w:val="Normal"/>
              <w:widowControl/>
              <w:spacing w:lineRule="auto" w:line="240" w:before="0" w:after="0"/>
              <w:jc w:val="start"/>
              <w:rPr>
                <w:rFonts w:eastAsia="ＭＳ 明朝"/>
                <w:szCs w:val="22"/>
              </w:rPr>
            </w:pPr>
            <w:r>
              <w:rPr>
                <w:rFonts w:eastAsia="ＭＳ 明朝" w:cs=""/>
                <w:color w:val="425563"/>
                <w:kern w:val="0"/>
                <w:sz w:val="20"/>
                <w:szCs w:val="22"/>
                <w:lang w:val="en-US" w:eastAsia="en-US" w:bidi="ar-SA"/>
              </w:rPr>
              <w:t xml:space="preserve">Katherine </w:t>
            </w:r>
            <w:r>
              <w:rPr>
                <w:rFonts w:eastAsia="ＭＳ 明朝" w:cs=""/>
                <w:color w:val="425563"/>
                <w:kern w:val="0"/>
                <w:sz w:val="20"/>
                <w:szCs w:val="22"/>
                <w:lang w:val="en-US" w:eastAsia="en-US" w:bidi="ar-SA"/>
              </w:rPr>
              <w:t xml:space="preserve">Everett (lead), Beatrice Ailenmoagbon </w:t>
            </w:r>
          </w:p>
        </w:tc>
      </w:tr>
      <w:tr>
        <w:trPr/>
        <w:tc>
          <w:tcPr>
            <w:tcW w:w="482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Macmillan lung cancer support worker</w:t>
            </w:r>
          </w:p>
        </w:tc>
        <w:tc>
          <w:tcPr>
            <w:tcW w:w="482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Sh</w:t>
            </w:r>
            <w:r>
              <w:rPr>
                <w:rFonts w:eastAsia="ＭＳ 明朝" w:cs=""/>
                <w:color w:val="425563"/>
                <w:kern w:val="0"/>
                <w:sz w:val="20"/>
                <w:szCs w:val="22"/>
                <w:lang w:val="en-US" w:eastAsia="en-US" w:bidi="ar-SA"/>
              </w:rPr>
              <w:t>eh</w:t>
            </w:r>
            <w:r>
              <w:rPr>
                <w:rFonts w:eastAsia="ＭＳ 明朝" w:cs=""/>
                <w:color w:val="425563"/>
                <w:kern w:val="0"/>
                <w:sz w:val="20"/>
                <w:szCs w:val="22"/>
                <w:lang w:val="en-US" w:eastAsia="en-US" w:bidi="ar-SA"/>
              </w:rPr>
              <w:t>n</w:t>
            </w:r>
            <w:r>
              <w:rPr>
                <w:rFonts w:eastAsia="ＭＳ 明朝" w:cs=""/>
                <w:color w:val="425563"/>
                <w:kern w:val="0"/>
                <w:sz w:val="20"/>
                <w:szCs w:val="22"/>
                <w:lang w:val="en-US" w:eastAsia="en-US" w:bidi="ar-SA"/>
              </w:rPr>
              <w:t>a</w:t>
            </w:r>
            <w:r>
              <w:rPr>
                <w:rFonts w:eastAsia="ＭＳ 明朝" w:cs=""/>
                <w:color w:val="425563"/>
                <w:kern w:val="0"/>
                <w:sz w:val="20"/>
                <w:szCs w:val="22"/>
                <w:lang w:val="en-US" w:eastAsia="en-US" w:bidi="ar-SA"/>
              </w:rPr>
              <w:t xml:space="preserve">z </w:t>
            </w:r>
            <w:r>
              <w:rPr>
                <w:rFonts w:eastAsia="ＭＳ 明朝" w:cs=""/>
                <w:color w:val="425563"/>
                <w:kern w:val="0"/>
                <w:sz w:val="20"/>
                <w:szCs w:val="22"/>
                <w:lang w:val="en-US" w:eastAsia="en-US" w:bidi="ar-SA"/>
              </w:rPr>
              <w:t>Ahad</w:t>
            </w:r>
          </w:p>
        </w:tc>
      </w:tr>
      <w:tr>
        <w:trPr/>
        <w:tc>
          <w:tcPr>
            <w:tcW w:w="482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Lung MDT coordinator</w:t>
            </w:r>
          </w:p>
        </w:tc>
        <w:tc>
          <w:tcPr>
            <w:tcW w:w="482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Jaan Begum (cancer referrals office)</w:t>
            </w:r>
          </w:p>
        </w:tc>
      </w:tr>
      <w:tr>
        <w:trPr/>
        <w:tc>
          <w:tcPr>
            <w:tcW w:w="482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003B73"/>
                <w:kern w:val="0"/>
                <w:sz w:val="20"/>
                <w:szCs w:val="22"/>
                <w:lang w:val="en-US" w:eastAsia="en-US" w:bidi="ar-SA"/>
              </w:rPr>
              <w:t>Respiratory secretary</w:t>
            </w:r>
          </w:p>
        </w:tc>
        <w:tc>
          <w:tcPr>
            <w:tcW w:w="482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 xml:space="preserve">John </w:t>
            </w:r>
            <w:r>
              <w:rPr>
                <w:rFonts w:eastAsia="ＭＳ 明朝" w:cs=""/>
                <w:color w:val="425563"/>
                <w:kern w:val="0"/>
                <w:sz w:val="20"/>
                <w:szCs w:val="22"/>
                <w:lang w:val="en-US" w:eastAsia="en-US" w:bidi="ar-SA"/>
              </w:rPr>
              <w:t>Oniye</w:t>
            </w:r>
          </w:p>
        </w:tc>
      </w:tr>
    </w:tbl>
    <w:p>
      <w:pPr>
        <w:pStyle w:val="Normal"/>
        <w:spacing w:before="0" w:after="80"/>
        <w:rPr>
          <w:i/>
          <w:color w:val="C05A00"/>
          <w:sz w:val="20"/>
        </w:rPr>
      </w:pPr>
      <w:r>
        <w:rPr/>
      </w:r>
    </w:p>
    <w:p>
      <w:pPr>
        <w:pStyle w:val="Normal"/>
        <w:spacing w:before="0" w:after="40"/>
        <w:rPr/>
      </w:pPr>
      <w:r>
        <w:rPr>
          <w:b/>
          <w:i w:val="false"/>
          <w:color w:val="003B73"/>
          <w:sz w:val="22"/>
        </w:rPr>
        <w:t>Core nurse responsibilities</w:t>
      </w:r>
    </w:p>
    <w:p>
      <w:pPr>
        <w:pStyle w:val="Normal"/>
        <w:spacing w:before="0" w:after="80"/>
        <w:rPr/>
      </w:pPr>
      <w:r>
        <w:rPr>
          <w:b w:val="false"/>
          <w:i w:val="false"/>
          <w:color w:val="425563"/>
          <w:sz w:val="22"/>
        </w:rPr>
        <w:t>The Lung CNS team act as key workers, coordinate the patient pathway, lead on communication and holistic needs assessment, provide expert nursing advice, and contribute to MDT decision-making, audit and service development. All staff in direct clinical contact should complete advanced communication skills training.</w:t>
      </w:r>
    </w:p>
    <w:p>
      <w:pPr>
        <w:pStyle w:val="Normal"/>
        <w:pBdr>
          <w:bottom w:val="single" w:sz="6" w:space="4" w:color="41B6E6"/>
        </w:pBdr>
        <w:spacing w:before="240" w:after="120"/>
        <w:rPr/>
      </w:pPr>
      <w:r>
        <w:rPr>
          <w:b/>
          <w:color w:val="005EB8"/>
          <w:sz w:val="32"/>
        </w:rPr>
        <w:t>3.  MDT Meetings</w:t>
      </w:r>
    </w:p>
    <w:p>
      <w:pPr>
        <w:pStyle w:val="Normal"/>
        <w:spacing w:before="0" w:after="80"/>
        <w:rPr/>
      </w:pPr>
      <w:r>
        <w:rPr>
          <w:b w:val="false"/>
          <w:i w:val="false"/>
          <w:color w:val="425563"/>
          <w:sz w:val="22"/>
        </w:rPr>
        <w:t xml:space="preserve">The Lung Cancer MDT meets </w:t>
      </w:r>
      <w:r>
        <w:rPr>
          <w:b w:val="false"/>
          <w:i w:val="false"/>
          <w:color w:val="425563"/>
          <w:sz w:val="22"/>
        </w:rPr>
        <w:t xml:space="preserve">Tuesday morning at 0800 </w:t>
      </w:r>
      <w:r>
        <w:rPr>
          <w:b w:val="false"/>
          <w:i w:val="false"/>
          <w:color w:val="425563"/>
          <w:sz w:val="22"/>
        </w:rPr>
        <w:t xml:space="preserve">weekly to discuss </w:t>
      </w:r>
      <w:r>
        <w:rPr>
          <w:b w:val="false"/>
          <w:i w:val="false"/>
          <w:color w:val="425563"/>
          <w:sz w:val="22"/>
        </w:rPr>
        <w:t xml:space="preserve">treatment of </w:t>
      </w:r>
      <w:r>
        <w:rPr>
          <w:b w:val="false"/>
          <w:i w:val="false"/>
          <w:color w:val="425563"/>
          <w:sz w:val="22"/>
        </w:rPr>
        <w:t xml:space="preserve">all new diagnoses of lung cancer, complex diagnostic cases, post-treatment planning and follow-up decisions. A diagnostics/nodule meeting </w:t>
      </w:r>
      <w:r>
        <w:rPr>
          <w:b w:val="false"/>
          <w:i w:val="false"/>
          <w:color w:val="425563"/>
          <w:sz w:val="22"/>
        </w:rPr>
        <w:t xml:space="preserve">Thursday afternoon at 1300 weekly </w:t>
      </w:r>
      <w:r>
        <w:rPr>
          <w:b w:val="false"/>
          <w:i w:val="false"/>
          <w:color w:val="425563"/>
          <w:sz w:val="22"/>
        </w:rPr>
        <w:t xml:space="preserve">supports planning of investigations and surveillance of </w:t>
      </w:r>
      <w:r>
        <w:rPr>
          <w:b w:val="false"/>
          <w:i w:val="false"/>
          <w:color w:val="425563"/>
          <w:sz w:val="22"/>
        </w:rPr>
        <w:t xml:space="preserve">suspected lung cancer and </w:t>
      </w:r>
      <w:r>
        <w:rPr>
          <w:b w:val="false"/>
          <w:i w:val="false"/>
          <w:color w:val="425563"/>
          <w:sz w:val="22"/>
        </w:rPr>
        <w:t xml:space="preserve">pulmonary nodules. </w:t>
      </w:r>
    </w:p>
    <w:p>
      <w:pPr>
        <w:pStyle w:val="ListBullet"/>
        <w:numPr>
          <w:ilvl w:val="0"/>
          <w:numId w:val="1"/>
        </w:numPr>
        <w:spacing w:before="0" w:after="40"/>
        <w:contextualSpacing/>
        <w:rPr/>
      </w:pPr>
      <w:r>
        <w:rPr>
          <w:b w:val="false"/>
          <w:i w:val="false"/>
          <w:color w:val="425563"/>
          <w:sz w:val="22"/>
        </w:rPr>
        <w:t>All new lung cancers are discussed and outcomes recorded on the cancer information system.</w:t>
      </w:r>
    </w:p>
    <w:p>
      <w:pPr>
        <w:pStyle w:val="ListBullet"/>
        <w:numPr>
          <w:ilvl w:val="0"/>
          <w:numId w:val="1"/>
        </w:numPr>
        <w:spacing w:before="0" w:after="40"/>
        <w:contextualSpacing/>
        <w:rPr/>
      </w:pPr>
      <w:r>
        <w:rPr>
          <w:b w:val="false"/>
          <w:i w:val="false"/>
          <w:color w:val="425563"/>
          <w:sz w:val="22"/>
        </w:rPr>
        <w:t>The patient tracking list (PTL) is reviewed weekly to ensure waiting-time standards are met and breaches are pre-empted.</w:t>
      </w:r>
    </w:p>
    <w:p>
      <w:pPr>
        <w:pStyle w:val="ListBullet"/>
        <w:numPr>
          <w:ilvl w:val="0"/>
          <w:numId w:val="1"/>
        </w:numPr>
        <w:spacing w:before="0" w:after="40"/>
        <w:contextualSpacing/>
        <w:rPr/>
      </w:pPr>
      <w:r>
        <w:rPr>
          <w:b w:val="false"/>
          <w:i w:val="false"/>
          <w:color w:val="425563"/>
          <w:sz w:val="22"/>
        </w:rPr>
        <w:t>Meetings are run in line with the UK Lung Cancer Coalition 'Dream MDT' principles.</w:t>
      </w:r>
    </w:p>
    <w:p>
      <w:pPr>
        <w:pStyle w:val="ListBullet"/>
        <w:numPr>
          <w:ilvl w:val="0"/>
          <w:numId w:val="1"/>
        </w:numPr>
        <w:spacing w:before="0" w:after="40"/>
        <w:contextualSpacing/>
        <w:rPr/>
      </w:pPr>
      <w:r>
        <w:rPr>
          <w:b w:val="false"/>
          <w:i w:val="false"/>
          <w:color w:val="425563"/>
          <w:sz w:val="22"/>
        </w:rPr>
        <w:t>The MDT list is collated by the coordinator and circulated at least 24 hours in advance to allow radiology and pathology preparation.</w:t>
      </w:r>
    </w:p>
    <w:p>
      <w:pPr>
        <w:pStyle w:val="Normal"/>
        <w:spacing w:before="0" w:after="40"/>
        <w:rPr/>
      </w:pPr>
      <w:r>
        <w:rPr>
          <w:b/>
          <w:i w:val="false"/>
          <w:color w:val="003B73"/>
          <w:sz w:val="22"/>
        </w:rPr>
        <w:t>MDT effectiveness and continuous improvement</w:t>
      </w:r>
    </w:p>
    <w:p>
      <w:pPr>
        <w:pStyle w:val="ListBullet"/>
        <w:numPr>
          <w:ilvl w:val="0"/>
          <w:numId w:val="1"/>
        </w:numPr>
        <w:spacing w:before="0" w:after="40"/>
        <w:contextualSpacing/>
        <w:rPr/>
      </w:pPr>
      <w:r>
        <w:rPr>
          <w:b w:val="false"/>
          <w:i w:val="false"/>
          <w:color w:val="425563"/>
          <w:sz w:val="22"/>
        </w:rPr>
        <w:t>CNS-led wash-up meetings are held to ensure that MDT-planned actions are actioned and tracked to completion.</w:t>
      </w:r>
    </w:p>
    <w:p>
      <w:pPr>
        <w:pStyle w:val="ListBullet"/>
        <w:numPr>
          <w:ilvl w:val="0"/>
          <w:numId w:val="1"/>
        </w:numPr>
        <w:spacing w:before="0" w:after="40"/>
        <w:contextualSpacing/>
        <w:rPr/>
      </w:pPr>
      <w:r>
        <w:rPr>
          <w:b w:val="false"/>
          <w:i w:val="false"/>
          <w:color w:val="425563"/>
          <w:sz w:val="22"/>
        </w:rPr>
        <w:t>The treatment-MDT proforma has been improved to enhance the content and completeness of recorded decisions.</w:t>
      </w:r>
    </w:p>
    <w:p>
      <w:pPr>
        <w:pStyle w:val="ListBullet"/>
        <w:numPr>
          <w:ilvl w:val="0"/>
          <w:numId w:val="1"/>
        </w:numPr>
        <w:spacing w:before="0" w:after="40"/>
        <w:contextualSpacing/>
        <w:rPr/>
      </w:pPr>
      <w:r>
        <w:rPr>
          <w:b w:val="false"/>
          <w:i w:val="false"/>
          <w:color w:val="425563"/>
          <w:sz w:val="22"/>
        </w:rPr>
        <w:t>The diagnostic MDT is streamlined by pre-screening cases before the meeting, improving efficiency and focus.</w:t>
      </w:r>
    </w:p>
    <w:p>
      <w:pPr>
        <w:pStyle w:val="ListBullet"/>
        <w:numPr>
          <w:ilvl w:val="0"/>
          <w:numId w:val="1"/>
        </w:numPr>
        <w:spacing w:before="0" w:after="40"/>
        <w:contextualSpacing/>
        <w:rPr/>
      </w:pPr>
      <w:r>
        <w:rPr>
          <w:b w:val="false"/>
          <w:i w:val="false"/>
          <w:color w:val="425563"/>
          <w:sz w:val="22"/>
        </w:rPr>
        <w:t>Outcomes and timeliness are reviewed through local audit (see Section 9).</w:t>
      </w:r>
    </w:p>
    <w:p>
      <w:pPr>
        <w:pStyle w:val="Normal"/>
        <w:spacing w:before="0" w:after="40"/>
        <w:rPr/>
      </w:pPr>
      <w:r>
        <w:rPr>
          <w:b/>
          <w:i w:val="false"/>
          <w:color w:val="003B73"/>
          <w:sz w:val="22"/>
        </w:rPr>
        <w:t>Communication of the MDT decision</w:t>
      </w:r>
    </w:p>
    <w:p>
      <w:pPr>
        <w:pStyle w:val="Normal"/>
        <w:spacing w:before="0" w:after="80"/>
        <w:rPr/>
      </w:pPr>
      <w:r>
        <w:rPr>
          <w:b w:val="false"/>
          <w:i w:val="false"/>
          <w:color w:val="425563"/>
          <w:sz w:val="22"/>
        </w:rPr>
        <w:t>Patients are informed of their diagnosis sensitively by an appropriately trained member of the MDT, supported by the Lung CNS, and offered a permanent record of the consultation. The GP is notified of a new diagnosis by the next working day after the patient has been informed. The MDT works to the 28-day FDS standard.</w:t>
      </w:r>
    </w:p>
    <w:p>
      <w:pPr>
        <w:pStyle w:val="Normal"/>
        <w:pBdr>
          <w:bottom w:val="single" w:sz="6" w:space="4" w:color="41B6E6"/>
        </w:pBdr>
        <w:spacing w:before="240" w:after="120"/>
        <w:rPr/>
      </w:pPr>
      <w:r>
        <w:rPr>
          <w:b/>
          <w:color w:val="005EB8"/>
          <w:sz w:val="32"/>
        </w:rPr>
        <w:t>4.  Referral of Patients</w:t>
      </w:r>
    </w:p>
    <w:p>
      <w:pPr>
        <w:pStyle w:val="Normal"/>
        <w:spacing w:before="0" w:after="80"/>
        <w:rPr/>
      </w:pPr>
      <w:r>
        <w:rPr>
          <w:b w:val="false"/>
          <w:i w:val="false"/>
          <w:color w:val="425563"/>
          <w:sz w:val="22"/>
        </w:rPr>
        <w:t xml:space="preserve">Patients are referred into the service via several routes: urgent suspected cancer (USC / 2-week-wait) GP referrals, radiology-flagged abnormal imaging (CXR/CT), and internal referrals from the emergency department, inpatient teams and other specialties. Suspected mesothelioma is additionally referred to the specialist mesothelioma MDT at St Bartholomew's Hospital. </w:t>
      </w:r>
    </w:p>
    <w:p>
      <w:pPr>
        <w:pStyle w:val="Normal"/>
        <w:spacing w:before="0" w:after="80"/>
        <w:rPr/>
      </w:pPr>
      <w:r>
        <w:rPr>
          <w:b w:val="false"/>
          <w:i w:val="false"/>
          <w:color w:val="425563"/>
          <w:sz w:val="22"/>
        </w:rPr>
        <w:t>Referral indications follow NICE NG12 — including haemoptysis and unexplained/persistent (&gt;3 weeks) cough, chest/shoulder pain, dyspnoea, weight loss, hoarseness, clubbing, chest signs, or features suggestive of metastasis.</w:t>
      </w:r>
    </w:p>
    <w:p>
      <w:pPr>
        <w:pStyle w:val="Normal"/>
        <w:spacing w:before="240" w:after="120"/>
        <w:rPr/>
      </w:pPr>
      <w:r>
        <w:rPr>
          <w:b/>
          <w:color w:val="003B73"/>
          <w:sz w:val="26"/>
        </w:rPr>
        <w:t>4.1  The streamlined urgent suspected cancer (USC) lung pathway</w:t>
      </w:r>
    </w:p>
    <w:p>
      <w:pPr>
        <w:pStyle w:val="Normal"/>
        <w:spacing w:before="0" w:after="80"/>
        <w:rPr/>
      </w:pPr>
      <w:r>
        <w:rPr>
          <w:b w:val="false"/>
          <w:i w:val="false"/>
          <w:color w:val="425563"/>
          <w:sz w:val="22"/>
        </w:rPr>
        <w:t>Since August 2025 Homerton has operated a co-designed, streamlined USC lung pathway (see Urgent Suspected Lung Cancer Referral SOP v1.3). The pathway was informed by patient and clinician perspectives and prioritises early definitive imaging, shared decision-making and avoidance of waste.</w:t>
      </w:r>
    </w:p>
    <w:p>
      <w:pPr>
        <w:pStyle w:val="Normal"/>
        <w:spacing w:before="0" w:after="40"/>
        <w:rPr/>
      </w:pPr>
      <w:r>
        <w:rPr>
          <w:b/>
          <w:i w:val="false"/>
          <w:color w:val="003B73"/>
          <w:sz w:val="22"/>
        </w:rPr>
        <w:t>Key features</w:t>
      </w:r>
    </w:p>
    <w:p>
      <w:pPr>
        <w:pStyle w:val="ListBullet"/>
        <w:numPr>
          <w:ilvl w:val="0"/>
          <w:numId w:val="1"/>
        </w:numPr>
        <w:spacing w:before="0" w:after="40"/>
        <w:contextualSpacing/>
        <w:rPr/>
      </w:pPr>
      <w:r>
        <w:rPr>
          <w:b w:val="false"/>
          <w:i w:val="false"/>
          <w:color w:val="425563"/>
          <w:sz w:val="22"/>
        </w:rPr>
        <w:t>Upfront lung cancer consultant triage (vetting) of every USC referral</w:t>
      </w:r>
    </w:p>
    <w:p>
      <w:pPr>
        <w:pStyle w:val="ListBullet"/>
        <w:numPr>
          <w:ilvl w:val="0"/>
          <w:numId w:val="1"/>
        </w:numPr>
        <w:spacing w:before="0" w:after="40"/>
        <w:contextualSpacing/>
        <w:rPr/>
      </w:pPr>
      <w:r>
        <w:rPr>
          <w:b w:val="false"/>
          <w:i w:val="false"/>
          <w:color w:val="425563"/>
          <w:sz w:val="22"/>
        </w:rPr>
        <w:t>Straight-to-CT: urgent CT chest as the first definitive investigation</w:t>
      </w:r>
    </w:p>
    <w:p>
      <w:pPr>
        <w:pStyle w:val="ListBullet"/>
        <w:numPr>
          <w:ilvl w:val="0"/>
          <w:numId w:val="1"/>
        </w:numPr>
        <w:spacing w:before="0" w:after="40"/>
        <w:contextualSpacing/>
        <w:rPr/>
      </w:pPr>
      <w:r>
        <w:rPr>
          <w:b w:val="false"/>
          <w:i w:val="false"/>
          <w:color w:val="425563"/>
          <w:sz w:val="22"/>
        </w:rPr>
        <w:t>Any first outpatient appointment should occur AFTER the CT chest, not before</w:t>
      </w:r>
    </w:p>
    <w:p>
      <w:pPr>
        <w:pStyle w:val="ListBullet"/>
        <w:numPr>
          <w:ilvl w:val="0"/>
          <w:numId w:val="1"/>
        </w:numPr>
        <w:spacing w:before="0" w:after="40"/>
        <w:contextualSpacing/>
        <w:rPr/>
      </w:pPr>
      <w:r>
        <w:rPr>
          <w:b w:val="false"/>
          <w:i w:val="false"/>
          <w:color w:val="425563"/>
          <w:sz w:val="22"/>
        </w:rPr>
        <w:t>By default — NO routine bloods, NO chest X-ray, NO contrast, NO abdominal imaging</w:t>
      </w:r>
    </w:p>
    <w:p>
      <w:pPr>
        <w:pStyle w:val="ListBullet"/>
        <w:numPr>
          <w:ilvl w:val="0"/>
          <w:numId w:val="1"/>
        </w:numPr>
        <w:spacing w:before="0" w:after="40"/>
        <w:contextualSpacing/>
        <w:rPr/>
      </w:pPr>
      <w:r>
        <w:rPr>
          <w:b w:val="false"/>
          <w:i w:val="false"/>
          <w:color w:val="425563"/>
          <w:sz w:val="22"/>
        </w:rPr>
        <w:t>By default — NO routine follow-up appointment unless clinically required</w:t>
      </w:r>
    </w:p>
    <w:p>
      <w:pPr>
        <w:pStyle w:val="ListBullet"/>
        <w:numPr>
          <w:ilvl w:val="0"/>
          <w:numId w:val="1"/>
        </w:numPr>
        <w:spacing w:before="0" w:after="40"/>
        <w:contextualSpacing/>
        <w:rPr/>
      </w:pPr>
      <w:r>
        <w:rPr>
          <w:b w:val="false"/>
          <w:i w:val="false"/>
          <w:color w:val="425563"/>
          <w:sz w:val="22"/>
        </w:rPr>
        <w:t>Consultant review of CT with onward bundling of investigations per NOLCP</w:t>
      </w:r>
    </w:p>
    <w:p>
      <w:pPr>
        <w:pStyle w:val="ListBullet"/>
        <w:numPr>
          <w:ilvl w:val="0"/>
          <w:numId w:val="1"/>
        </w:numPr>
        <w:spacing w:before="0" w:after="40"/>
        <w:contextualSpacing/>
        <w:rPr/>
      </w:pPr>
      <w:r>
        <w:rPr>
          <w:b w:val="false"/>
          <w:i w:val="false"/>
          <w:color w:val="425563"/>
          <w:sz w:val="22"/>
        </w:rPr>
        <w:t>Clear written communication to patient and GP at each step</w:t>
      </w:r>
    </w:p>
    <w:p>
      <w:pPr>
        <w:pStyle w:val="Normal"/>
        <w:spacing w:before="0" w:after="40"/>
        <w:rPr/>
      </w:pPr>
      <w:r>
        <w:rPr>
          <w:b/>
          <w:i w:val="false"/>
          <w:color w:val="003B73"/>
          <w:sz w:val="22"/>
        </w:rPr>
        <w:t>Vetting and cover</w:t>
      </w:r>
    </w:p>
    <w:p>
      <w:pPr>
        <w:pStyle w:val="Normal"/>
        <w:spacing w:before="0" w:after="80"/>
        <w:rPr/>
      </w:pPr>
      <w:r>
        <w:rPr>
          <w:b w:val="false"/>
          <w:i w:val="false"/>
          <w:color w:val="425563"/>
          <w:sz w:val="22"/>
        </w:rPr>
        <w:t>USC referrals are vetted by the lung cancer lead (primary vetter). To ensure continuity, arrangements for cover during planned and unplanned absence are to be formalised so that vetting continues smoothly and without delay when the primary vetter is unavailable.</w:t>
      </w:r>
    </w:p>
    <w:p>
      <w:pPr>
        <w:pStyle w:val="Normal"/>
        <w:spacing w:before="0" w:after="40"/>
        <w:rPr/>
      </w:pPr>
      <w:r>
        <w:rPr>
          <w:b/>
          <w:i w:val="false"/>
          <w:color w:val="003B73"/>
          <w:sz w:val="22"/>
        </w:rPr>
        <w:t>Outcomes since implementation</w:t>
      </w:r>
    </w:p>
    <w:p>
      <w:pPr>
        <w:pStyle w:val="Normal"/>
        <w:spacing w:before="0" w:after="80"/>
        <w:rPr/>
      </w:pPr>
      <w:r>
        <w:rPr>
          <w:b w:val="false"/>
          <w:i w:val="false"/>
          <w:color w:val="425563"/>
          <w:sz w:val="22"/>
        </w:rPr>
        <w:t>A service evaluation of 287 consecutive USC pathways (Jun–Dec 2025) showed median time to CT chest fell from 15 to 5.5 days, CT within 7 days rose from 5% to 68.7%, and FDS attainment improved (77.1% to 80.5%) with no increase in outpatient attendances and no adverse impact on cancer detection. This work was accepted for presentation at the European Respiratory Society Congress 2026. Analysis: github.com/drcjar/usc-times.</w:t>
      </w:r>
    </w:p>
    <w:p>
      <w:pPr>
        <w:pStyle w:val="Normal"/>
        <w:spacing w:before="240" w:after="120"/>
        <w:rPr/>
      </w:pPr>
      <w:r>
        <w:rPr>
          <w:b/>
          <w:color w:val="003B73"/>
          <w:sz w:val="26"/>
        </w:rPr>
        <w:t>4.2  Referrals direct from radiology</w:t>
      </w:r>
    </w:p>
    <w:p>
      <w:pPr>
        <w:pStyle w:val="Normal"/>
        <w:spacing w:before="0" w:after="80"/>
        <w:rPr/>
      </w:pPr>
      <w:r>
        <w:rPr>
          <w:b w:val="false"/>
          <w:i w:val="false"/>
          <w:color w:val="425563"/>
          <w:sz w:val="22"/>
        </w:rPr>
        <w:t>Abnormal CXR/CT reports suggestive of malignancy are flagged to the lung cancer service within one working day of reporting. Outpatients are processed as USC referrals for urgent CT and virtual consultant review; inpatients are reviewed by the respiratory team. CT is aimed for within 7 days of an abnormal CXR, in line with NOLCP. [to confirm local radiology flagging route/inbox]</w:t>
      </w:r>
    </w:p>
    <w:p>
      <w:pPr>
        <w:pStyle w:val="Normal"/>
        <w:spacing w:before="0" w:after="40"/>
        <w:rPr/>
      </w:pPr>
      <w:r>
        <w:rPr>
          <w:b/>
          <w:i w:val="false"/>
          <w:color w:val="003B73"/>
          <w:sz w:val="22"/>
        </w:rPr>
        <w:t>Radiology upgrade timeliness</w:t>
      </w:r>
    </w:p>
    <w:p>
      <w:pPr>
        <w:pStyle w:val="Normal"/>
        <w:spacing w:before="0" w:after="80"/>
        <w:rPr/>
      </w:pPr>
      <w:r>
        <w:rPr>
          <w:b w:val="false"/>
          <w:i w:val="false"/>
          <w:color w:val="425563"/>
          <w:sz w:val="22"/>
        </w:rPr>
        <w:t>For vetted referrals, the target is CT chest within 72 hours, in line with NOLCP. A current improvement action is that radiology upgrades are scheduled seven or more days out by default; the MDT is working with radiology to make 72 hours the default scheduling window for vetted USC upgrades.</w:t>
      </w:r>
    </w:p>
    <w:p>
      <w:pPr>
        <w:pStyle w:val="Normal"/>
        <w:pBdr>
          <w:bottom w:val="single" w:sz="6" w:space="4" w:color="41B6E6"/>
        </w:pBdr>
        <w:spacing w:before="240" w:after="120"/>
        <w:rPr/>
      </w:pPr>
      <w:r>
        <w:rPr>
          <w:b/>
          <w:color w:val="005EB8"/>
          <w:sz w:val="32"/>
        </w:rPr>
        <w:t>5.  Diagnostic Services</w:t>
      </w:r>
    </w:p>
    <w:p>
      <w:pPr>
        <w:pStyle w:val="Normal"/>
        <w:spacing w:before="0" w:after="80"/>
        <w:rPr/>
      </w:pPr>
      <w:r>
        <w:rPr>
          <w:b w:val="false"/>
          <w:i w:val="false"/>
          <w:color w:val="425563"/>
          <w:sz w:val="22"/>
        </w:rPr>
        <w:t>Staging and investigation follow NICE guidance, NOLCP and ESTS guidelines for mediastinal staging, with tests bundled to enable rapid, efficient diagnosis. The service has, or is developing, access to:</w:t>
      </w:r>
    </w:p>
    <w:p>
      <w:pPr>
        <w:pStyle w:val="ListBullet"/>
        <w:numPr>
          <w:ilvl w:val="0"/>
          <w:numId w:val="1"/>
        </w:numPr>
        <w:spacing w:before="0" w:after="40"/>
        <w:contextualSpacing/>
        <w:rPr/>
      </w:pPr>
      <w:r>
        <w:rPr>
          <w:b w:val="false"/>
          <w:i w:val="false"/>
          <w:color w:val="425563"/>
          <w:sz w:val="22"/>
        </w:rPr>
        <w:t>Dedicated rapid-access CT slots for diagnosis and staging</w:t>
      </w:r>
    </w:p>
    <w:p>
      <w:pPr>
        <w:pStyle w:val="ListBullet"/>
        <w:numPr>
          <w:ilvl w:val="0"/>
          <w:numId w:val="1"/>
        </w:numPr>
        <w:spacing w:before="0" w:after="40"/>
        <w:contextualSpacing/>
        <w:rPr/>
      </w:pPr>
      <w:r>
        <w:rPr>
          <w:b w:val="false"/>
          <w:i w:val="false"/>
          <w:color w:val="425563"/>
          <w:sz w:val="22"/>
        </w:rPr>
        <w:t>Bronchoscopy and EBUS-TBNA [to confirm in-house vs network provision]</w:t>
      </w:r>
    </w:p>
    <w:p>
      <w:pPr>
        <w:pStyle w:val="ListBullet"/>
        <w:numPr>
          <w:ilvl w:val="0"/>
          <w:numId w:val="1"/>
        </w:numPr>
        <w:spacing w:before="0" w:after="40"/>
        <w:contextualSpacing/>
        <w:rPr/>
      </w:pPr>
      <w:r>
        <w:rPr>
          <w:b w:val="false"/>
          <w:i w:val="false"/>
          <w:color w:val="425563"/>
          <w:sz w:val="22"/>
        </w:rPr>
        <w:t>CT-guided lung biopsy (see CT-Guided Lung Biopsy SOP v4)</w:t>
      </w:r>
    </w:p>
    <w:p>
      <w:pPr>
        <w:pStyle w:val="ListBullet"/>
        <w:numPr>
          <w:ilvl w:val="0"/>
          <w:numId w:val="1"/>
        </w:numPr>
        <w:spacing w:before="0" w:after="40"/>
        <w:contextualSpacing/>
        <w:rPr/>
      </w:pPr>
      <w:r>
        <w:rPr>
          <w:b w:val="false"/>
          <w:i w:val="false"/>
          <w:color w:val="425563"/>
          <w:sz w:val="22"/>
        </w:rPr>
        <w:t>PET-CT [to confirm provider]</w:t>
      </w:r>
    </w:p>
    <w:p>
      <w:pPr>
        <w:pStyle w:val="ListBullet"/>
        <w:numPr>
          <w:ilvl w:val="0"/>
          <w:numId w:val="1"/>
        </w:numPr>
        <w:spacing w:before="0" w:after="40"/>
        <w:contextualSpacing/>
        <w:rPr/>
      </w:pPr>
      <w:r>
        <w:rPr>
          <w:b w:val="false"/>
          <w:i w:val="false"/>
          <w:color w:val="425563"/>
          <w:sz w:val="22"/>
        </w:rPr>
        <w:t>Pulmonary function testing and CPET for surgical work-up [to confirm]</w:t>
      </w:r>
    </w:p>
    <w:p>
      <w:pPr>
        <w:pStyle w:val="ListBullet"/>
        <w:numPr>
          <w:ilvl w:val="0"/>
          <w:numId w:val="1"/>
        </w:numPr>
        <w:spacing w:before="0" w:after="40"/>
        <w:contextualSpacing/>
        <w:rPr/>
      </w:pPr>
      <w:r>
        <w:rPr>
          <w:b w:val="false"/>
          <w:i w:val="false"/>
          <w:color w:val="425563"/>
          <w:sz w:val="22"/>
        </w:rPr>
        <w:t>Pulmonary nodule surveillance (see Nodule SOP — in development)</w:t>
      </w:r>
    </w:p>
    <w:p>
      <w:pPr>
        <w:pStyle w:val="Normal"/>
        <w:spacing w:before="0" w:after="40"/>
        <w:rPr/>
      </w:pPr>
      <w:r>
        <w:rPr>
          <w:b/>
          <w:i w:val="false"/>
          <w:color w:val="003B73"/>
          <w:sz w:val="22"/>
        </w:rPr>
        <w:t>Histopathology and molecular diagnostics</w:t>
      </w:r>
    </w:p>
    <w:p>
      <w:pPr>
        <w:pStyle w:val="Normal"/>
        <w:spacing w:before="0" w:after="80"/>
        <w:rPr/>
      </w:pPr>
      <w:r>
        <w:rPr>
          <w:b w:val="false"/>
          <w:i w:val="false"/>
          <w:color w:val="425563"/>
          <w:sz w:val="22"/>
        </w:rPr>
        <w:t>Samples are reviewed prior to the MDT. Non-squamous NSCLC undergoes reflex molecular testing (e.g. EGFR, ALK, ROS1, PD-L1 and next-generation sequencing) via the regional Genomic Laboratory Hub. Small cell lung cancer results are flagged urgently to the MDT. [to confirm local pathology and GLH arrangements and turnaround] Note: histopathology turnaround is a recognised system pressure and is monitored at Cancer Board.</w:t>
      </w:r>
    </w:p>
    <w:p>
      <w:pPr>
        <w:pStyle w:val="Normal"/>
        <w:spacing w:before="0" w:after="40"/>
        <w:rPr/>
      </w:pPr>
      <w:r>
        <w:rPr>
          <w:b/>
          <w:i w:val="false"/>
          <w:color w:val="003B73"/>
          <w:sz w:val="22"/>
        </w:rPr>
        <w:t>Follow-up, safety-netting and digital tools</w:t>
      </w:r>
    </w:p>
    <w:p>
      <w:pPr>
        <w:pStyle w:val="Normal"/>
        <w:spacing w:before="0" w:after="80"/>
        <w:rPr/>
      </w:pPr>
      <w:r>
        <w:rPr>
          <w:b w:val="false"/>
          <w:i w:val="false"/>
          <w:color w:val="425563"/>
          <w:sz w:val="22"/>
        </w:rPr>
        <w:t>To reduce loss to follow-up and improve efficiency, the service uses an in-house lung follow-up app (carlreynolds.net/lung-followup-app/) and has worked with radiology to standardise the wording of follow-up recommendations, with autotext for abnormal chest radiographs and for pulmonary nodules. An automated nodule registry is planned to further strengthen safety-netting and surveillance.</w:t>
      </w:r>
    </w:p>
    <w:p>
      <w:pPr>
        <w:pStyle w:val="Normal"/>
        <w:pBdr>
          <w:bottom w:val="single" w:sz="6" w:space="4" w:color="41B6E6"/>
        </w:pBdr>
        <w:spacing w:before="240" w:after="120"/>
        <w:rPr/>
      </w:pPr>
      <w:r>
        <w:rPr>
          <w:b/>
          <w:color w:val="005EB8"/>
          <w:sz w:val="32"/>
        </w:rPr>
        <w:t>6.  Treatment and Onward Referral</w:t>
      </w:r>
    </w:p>
    <w:p>
      <w:pPr>
        <w:pStyle w:val="Normal"/>
        <w:spacing w:before="0" w:after="80"/>
        <w:rPr/>
      </w:pPr>
      <w:r>
        <w:rPr>
          <w:b w:val="false"/>
          <w:i w:val="false"/>
          <w:color w:val="425563"/>
          <w:sz w:val="22"/>
        </w:rPr>
        <w:t>All patients are offered treatment in line with NICE guidance within national cancer waiting-time standards (62 days referral-to-treatment; 31 days decision-to-treat to treatment). Patients not initially on a cancer pathway are upgraded promptly by the consultant team.</w:t>
      </w:r>
    </w:p>
    <w:p>
      <w:pPr>
        <w:pStyle w:val="ListBullet"/>
        <w:numPr>
          <w:ilvl w:val="0"/>
          <w:numId w:val="1"/>
        </w:numPr>
        <w:spacing w:before="0" w:after="40"/>
        <w:contextualSpacing/>
        <w:rPr/>
      </w:pPr>
      <w:r>
        <w:rPr>
          <w:b w:val="false"/>
          <w:i w:val="false"/>
          <w:color w:val="425563"/>
          <w:sz w:val="22"/>
        </w:rPr>
        <w:t xml:space="preserve">Surgery: referral to the regional thoracic surgical centre </w:t>
      </w:r>
      <w:r>
        <w:rPr>
          <w:b w:val="false"/>
          <w:i w:val="false"/>
          <w:color w:val="425563"/>
          <w:sz w:val="22"/>
        </w:rPr>
        <w:t xml:space="preserve">(Mr Tim Batchelor, Barts Hospital) </w:t>
      </w:r>
      <w:r>
        <w:rPr>
          <w:b w:val="false"/>
          <w:i w:val="false"/>
          <w:color w:val="425563"/>
          <w:sz w:val="22"/>
        </w:rPr>
        <w:t xml:space="preserve">via the MDT </w:t>
      </w:r>
    </w:p>
    <w:p>
      <w:pPr>
        <w:pStyle w:val="ListBullet"/>
        <w:numPr>
          <w:ilvl w:val="0"/>
          <w:numId w:val="1"/>
        </w:numPr>
        <w:spacing w:before="0" w:after="40"/>
        <w:contextualSpacing/>
        <w:rPr/>
      </w:pPr>
      <w:r>
        <w:rPr>
          <w:b w:val="false"/>
          <w:i w:val="false"/>
          <w:color w:val="425563"/>
          <w:sz w:val="22"/>
        </w:rPr>
        <w:t>Oncology (SACT / radiotherapy / SABR): referral via the MDT to the linked oncology service</w:t>
      </w:r>
    </w:p>
    <w:p>
      <w:pPr>
        <w:pStyle w:val="ListBullet"/>
        <w:numPr>
          <w:ilvl w:val="0"/>
          <w:numId w:val="1"/>
        </w:numPr>
        <w:spacing w:before="0" w:after="40"/>
        <w:contextualSpacing/>
        <w:rPr/>
      </w:pPr>
      <w:r>
        <w:rPr>
          <w:b w:val="false"/>
          <w:i w:val="false"/>
          <w:color w:val="425563"/>
          <w:sz w:val="22"/>
        </w:rPr>
        <w:t>Mesothelioma: referral to the specialist mesothelioma MDT at St Bartholomew's Hospital</w:t>
      </w:r>
    </w:p>
    <w:p>
      <w:pPr>
        <w:pStyle w:val="ListBullet"/>
        <w:numPr>
          <w:ilvl w:val="0"/>
          <w:numId w:val="1"/>
        </w:numPr>
        <w:spacing w:before="0" w:after="40"/>
        <w:contextualSpacing/>
        <w:rPr/>
      </w:pPr>
      <w:r>
        <w:rPr>
          <w:b w:val="false"/>
          <w:i w:val="false"/>
          <w:color w:val="425563"/>
          <w:sz w:val="22"/>
        </w:rPr>
        <w:t>Oncological emergencies (e.g. spinal cord compression, SVCO): managed per regional emergency pathways</w:t>
      </w:r>
    </w:p>
    <w:p>
      <w:pPr>
        <w:pStyle w:val="ListBullet"/>
        <w:numPr>
          <w:ilvl w:val="0"/>
          <w:numId w:val="1"/>
        </w:numPr>
        <w:spacing w:before="0" w:after="40"/>
        <w:contextualSpacing/>
        <w:rPr/>
      </w:pPr>
      <w:r>
        <w:rPr>
          <w:b w:val="false"/>
          <w:i w:val="false"/>
          <w:color w:val="425563"/>
          <w:sz w:val="22"/>
        </w:rPr>
        <w:t>Palliative and supportive care: timely referral for complex needs, with CNS support throughout</w:t>
      </w:r>
    </w:p>
    <w:p>
      <w:pPr>
        <w:pStyle w:val="Normal"/>
        <w:spacing w:before="0" w:after="80"/>
        <w:rPr/>
      </w:pPr>
      <w:r>
        <w:rPr>
          <w:b w:val="false"/>
          <w:i w:val="false"/>
          <w:color w:val="425563"/>
          <w:sz w:val="22"/>
        </w:rPr>
        <w:t xml:space="preserve">Holistic needs assessment is completed at diagnosis and at the end of treatment. Clinical-trial eligibility is considered at the </w:t>
      </w:r>
      <w:r>
        <w:rPr>
          <w:b w:val="false"/>
          <w:i w:val="false"/>
          <w:color w:val="425563"/>
          <w:sz w:val="22"/>
        </w:rPr>
        <w:t>treatment</w:t>
      </w:r>
      <w:r>
        <w:rPr>
          <w:b w:val="false"/>
          <w:i w:val="false"/>
          <w:color w:val="425563"/>
          <w:sz w:val="22"/>
        </w:rPr>
        <w:t xml:space="preserve"> MDT and eligible patients offered participation. </w:t>
      </w:r>
    </w:p>
    <w:p>
      <w:pPr>
        <w:pStyle w:val="Normal"/>
        <w:pBdr>
          <w:bottom w:val="single" w:sz="6" w:space="4" w:color="41B6E6"/>
        </w:pBdr>
        <w:spacing w:before="240" w:after="120"/>
        <w:rPr/>
      </w:pPr>
      <w:r>
        <w:rPr>
          <w:b/>
          <w:color w:val="005EB8"/>
          <w:sz w:val="32"/>
        </w:rPr>
        <w:t>7.  Clinical Nurse Specialists, Key Worker &amp; Patient Experience</w:t>
      </w:r>
    </w:p>
    <w:p>
      <w:pPr>
        <w:pStyle w:val="Normal"/>
        <w:spacing w:before="0" w:after="80"/>
        <w:rPr/>
      </w:pPr>
      <w:r>
        <w:rPr>
          <w:b w:val="false"/>
          <w:i w:val="false"/>
          <w:color w:val="425563"/>
          <w:sz w:val="22"/>
        </w:rPr>
        <w:t>The Lung CNS team act as key workers from pre-diagnosis through treatment and beyond, present at the breaking of significant news, leading holistic needs assessment, care coordination, symptom support and signposting. Patients are given clear contact details and written information.</w:t>
      </w:r>
    </w:p>
    <w:p>
      <w:pPr>
        <w:pStyle w:val="Normal"/>
        <w:spacing w:before="0" w:after="80"/>
        <w:rPr/>
      </w:pPr>
      <w:r>
        <w:rPr>
          <w:b w:val="false"/>
          <w:i w:val="false"/>
          <w:color w:val="425563"/>
          <w:sz w:val="22"/>
        </w:rPr>
        <w:t>Patient and carer feedback is sought routinely and formally (national and local surveys), discussed at MDT operational and Cancer Board meetings, and used to inform service improvement — consistent with the co-design ethos of the streamlined USC pathway.</w:t>
      </w:r>
    </w:p>
    <w:p>
      <w:pPr>
        <w:pStyle w:val="Normal"/>
        <w:pBdr>
          <w:bottom w:val="single" w:sz="6" w:space="4" w:color="41B6E6"/>
        </w:pBdr>
        <w:spacing w:before="240" w:after="120"/>
        <w:rPr/>
      </w:pPr>
      <w:r>
        <w:rPr>
          <w:b/>
          <w:color w:val="005EB8"/>
          <w:sz w:val="32"/>
        </w:rPr>
        <w:t>8.  Lung Cancer Screening Readiness</w:t>
      </w:r>
    </w:p>
    <w:p>
      <w:pPr>
        <w:pStyle w:val="Normal"/>
        <w:spacing w:before="0" w:after="80"/>
        <w:rPr/>
      </w:pPr>
      <w:r>
        <w:rPr>
          <w:b w:val="false"/>
          <w:i w:val="false"/>
          <w:color w:val="425563"/>
          <w:sz w:val="22"/>
        </w:rPr>
        <w:t>The NHS England Lung Cancer Screening Programme (Targeted Lung Health Checks) is expected to extend to City &amp; Hackney in Q4 2026 / Q1 2027, offering low-dose CT to people aged 55–74 who have ever smoked and meet a risk threshold. Modelling for the local eligible population (~39,500) projects a substantial increase in early-stage lung cancer diagnoses (order of ~130+ additional cases/year once at scale), with associated diagnostic, treatment and surveillance workload.</w:t>
      </w:r>
    </w:p>
    <w:p>
      <w:pPr>
        <w:pStyle w:val="Normal"/>
        <w:spacing w:before="0" w:after="80"/>
        <w:rPr/>
      </w:pPr>
      <w:r>
        <w:rPr>
          <w:b w:val="false"/>
          <w:i w:val="false"/>
          <w:color w:val="425563"/>
          <w:sz w:val="22"/>
        </w:rPr>
        <w:t>The MDT will: align diagnostic and treatment capacity planning with the screening roll-out; ensure screen-detected patients enter the streamlined pathway; and maintain robust nodule surveillance. [to confirm screening provider interface and capacity plan]</w:t>
      </w:r>
    </w:p>
    <w:p>
      <w:pPr>
        <w:pStyle w:val="Normal"/>
        <w:pBdr>
          <w:bottom w:val="single" w:sz="6" w:space="4" w:color="41B6E6"/>
        </w:pBdr>
        <w:spacing w:before="240" w:after="120"/>
        <w:rPr/>
      </w:pPr>
      <w:r>
        <w:rPr>
          <w:b/>
          <w:color w:val="005EB8"/>
          <w:sz w:val="32"/>
        </w:rPr>
        <w:t>9.  Data Collection, Audit and Monitoring</w:t>
      </w:r>
    </w:p>
    <w:p>
      <w:pPr>
        <w:pStyle w:val="Normal"/>
        <w:spacing w:before="0" w:after="80"/>
        <w:rPr/>
      </w:pPr>
      <w:r>
        <w:rPr>
          <w:b w:val="false"/>
          <w:i w:val="false"/>
          <w:color w:val="425563"/>
          <w:sz w:val="22"/>
        </w:rPr>
        <w:t>The MDT coordinator records performance status, route to diagnosis, diagnosis, staging, treatment intent and timings on the cancer information system. The service participates in the National Lung Cancer Audit (NLCA) and NELCA metrics, and undertakes local audit (including the USC pathway service evaluation). Priorities include improving completeness of smoking status and LCNS-contact recording, which are below national targets in the NLCA State of the Nation 2026.</w:t>
      </w:r>
    </w:p>
    <w:p>
      <w:pPr>
        <w:pStyle w:val="Normal"/>
        <w:pBdr>
          <w:bottom w:val="single" w:sz="6" w:space="4" w:color="41B6E6"/>
        </w:pBdr>
        <w:spacing w:before="240" w:after="120"/>
        <w:rPr/>
      </w:pPr>
      <w:r>
        <w:rPr>
          <w:b/>
          <w:color w:val="005EB8"/>
          <w:sz w:val="32"/>
        </w:rPr>
        <w:t>10.  Related Documents</w:t>
      </w:r>
    </w:p>
    <w:p>
      <w:pPr>
        <w:pStyle w:val="ListBullet"/>
        <w:numPr>
          <w:ilvl w:val="0"/>
          <w:numId w:val="1"/>
        </w:numPr>
        <w:spacing w:before="0" w:after="40"/>
        <w:contextualSpacing/>
        <w:rPr/>
      </w:pPr>
      <w:r>
        <w:rPr>
          <w:b w:val="false"/>
          <w:i w:val="false"/>
          <w:color w:val="425563"/>
          <w:sz w:val="22"/>
        </w:rPr>
        <w:t>Urgent Suspected Lung Cancer Referral SOP v1.3</w:t>
      </w:r>
    </w:p>
    <w:p>
      <w:pPr>
        <w:pStyle w:val="ListBullet"/>
        <w:numPr>
          <w:ilvl w:val="0"/>
          <w:numId w:val="1"/>
        </w:numPr>
        <w:spacing w:before="0" w:after="40"/>
        <w:contextualSpacing/>
        <w:rPr/>
      </w:pPr>
      <w:r>
        <w:rPr>
          <w:b w:val="false"/>
          <w:i w:val="false"/>
          <w:color w:val="425563"/>
          <w:sz w:val="22"/>
        </w:rPr>
        <w:t>CT-Guided Lung Biopsy SOP v4</w:t>
      </w:r>
    </w:p>
    <w:p>
      <w:pPr>
        <w:pStyle w:val="ListBullet"/>
        <w:numPr>
          <w:ilvl w:val="0"/>
          <w:numId w:val="1"/>
        </w:numPr>
        <w:spacing w:before="0" w:after="40"/>
        <w:contextualSpacing/>
        <w:rPr/>
      </w:pPr>
      <w:r>
        <w:rPr>
          <w:b w:val="false"/>
          <w:i w:val="false"/>
          <w:color w:val="425563"/>
          <w:sz w:val="22"/>
        </w:rPr>
        <w:t>Pulmonary Nodule SOP (in development)</w:t>
      </w:r>
    </w:p>
    <w:p>
      <w:pPr>
        <w:pStyle w:val="ListBullet"/>
        <w:numPr>
          <w:ilvl w:val="0"/>
          <w:numId w:val="1"/>
        </w:numPr>
        <w:spacing w:before="0" w:after="40"/>
        <w:contextualSpacing/>
        <w:rPr/>
      </w:pPr>
      <w:r>
        <w:rPr>
          <w:b w:val="false"/>
          <w:i w:val="false"/>
          <w:color w:val="425563"/>
          <w:sz w:val="22"/>
        </w:rPr>
        <w:t>National Optimal Lung Cancer Pathway (NOLCP)</w:t>
      </w:r>
    </w:p>
    <w:p>
      <w:pPr>
        <w:pStyle w:val="ListBullet"/>
        <w:numPr>
          <w:ilvl w:val="0"/>
          <w:numId w:val="1"/>
        </w:numPr>
        <w:spacing w:before="0" w:after="40"/>
        <w:contextualSpacing/>
        <w:rPr/>
      </w:pPr>
      <w:r>
        <w:rPr>
          <w:b w:val="false"/>
          <w:i w:val="false"/>
          <w:color w:val="425563"/>
          <w:sz w:val="22"/>
        </w:rPr>
        <w:t>NICE NG12, QS17 and relevant lung cancer guidance</w:t>
      </w:r>
    </w:p>
    <w:p>
      <w:pPr>
        <w:pStyle w:val="ListBullet"/>
        <w:numPr>
          <w:ilvl w:val="0"/>
          <w:numId w:val="1"/>
        </w:numPr>
        <w:spacing w:before="0" w:after="40"/>
        <w:contextualSpacing/>
        <w:rPr/>
      </w:pPr>
      <w:r>
        <w:rPr>
          <w:b w:val="false"/>
          <w:i w:val="false"/>
          <w:color w:val="425563"/>
          <w:sz w:val="22"/>
        </w:rPr>
        <w:t>NLCA State of the Nation 2026</w:t>
      </w:r>
    </w:p>
    <w:p>
      <w:pPr>
        <w:pStyle w:val="Normal"/>
        <w:pBdr>
          <w:bottom w:val="single" w:sz="6" w:space="4" w:color="41B6E6"/>
        </w:pBdr>
        <w:spacing w:before="240" w:after="120"/>
        <w:rPr/>
      </w:pPr>
      <w:r>
        <w:rPr>
          <w:b/>
          <w:color w:val="005EB8"/>
          <w:sz w:val="32"/>
        </w:rPr>
        <w:t>Version Control</w:t>
      </w:r>
    </w:p>
    <w:tbl>
      <w:tblPr>
        <w:tblStyle w:val="TableGrid"/>
        <w:tblW w:w="96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12"/>
        <w:gridCol w:w="2412"/>
        <w:gridCol w:w="2412"/>
        <w:gridCol w:w="2412"/>
      </w:tblGrid>
      <w:tr>
        <w:trPr/>
        <w:tc>
          <w:tcPr>
            <w:tcW w:w="2412" w:type="dxa"/>
            <w:tcBorders/>
            <w:shd w:fill="005EB8"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Version</w:t>
            </w:r>
          </w:p>
        </w:tc>
        <w:tc>
          <w:tcPr>
            <w:tcW w:w="2412" w:type="dxa"/>
            <w:tcBorders/>
            <w:shd w:fill="005EB8"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Date</w:t>
            </w:r>
          </w:p>
        </w:tc>
        <w:tc>
          <w:tcPr>
            <w:tcW w:w="2412" w:type="dxa"/>
            <w:tcBorders/>
            <w:shd w:fill="005EB8"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Author</w:t>
            </w:r>
          </w:p>
        </w:tc>
        <w:tc>
          <w:tcPr>
            <w:tcW w:w="2412" w:type="dxa"/>
            <w:tcBorders/>
            <w:shd w:fill="005EB8"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Changes</w:t>
            </w:r>
          </w:p>
        </w:tc>
      </w:tr>
      <w:tr>
        <w:trPr/>
        <w:tc>
          <w:tcPr>
            <w:tcW w:w="24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0.1</w:t>
            </w:r>
          </w:p>
        </w:tc>
        <w:tc>
          <w:tcPr>
            <w:tcW w:w="24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Jun 2026</w:t>
            </w:r>
          </w:p>
        </w:tc>
        <w:tc>
          <w:tcPr>
            <w:tcW w:w="24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C Reynolds</w:t>
            </w:r>
          </w:p>
        </w:tc>
        <w:tc>
          <w:tcPr>
            <w:tcW w:w="24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color w:val="425563"/>
                <w:kern w:val="0"/>
                <w:sz w:val="20"/>
                <w:szCs w:val="22"/>
                <w:lang w:val="en-US" w:eastAsia="en-US" w:bidi="ar-SA"/>
              </w:rPr>
              <w:t>Initial draft for consultation</w:t>
            </w:r>
          </w:p>
        </w:tc>
      </w:tr>
    </w:tbl>
    <w:sectPr>
      <w:type w:val="nextPage"/>
      <w:pgSz w:w="12240" w:h="15840"/>
      <w:pgMar w:left="1296" w:right="1296"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olor w:val="425563"/>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LibreOffice/26.2.4.2$Linux_X86_64 LibreOffice_project/620$Build-2</Application>
  <AppVersion>15.0000</AppVersion>
  <Pages>5</Pages>
  <Words>1835</Words>
  <Characters>10775</Characters>
  <CharactersWithSpaces>12462</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2026-06-26T17:16:10Z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