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Rules and Constraints: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Flights cannot exceed their maximum capacity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Passenger must have a unique 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booking must be associated with one passenger and one flight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passenger with completed check in can be assigned a seat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can only check in passengers for flights they are assigned 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passenger must have a unique and not NULL passenger 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passenger can book multiple flights but each separate booking must have a unique booking 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Passport numbers will be unique and not NULL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contact information is required for each passenger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must be linked to both a valid passenger and a valid flight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Check-ins must be finalized for each booking XX hours before the flight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flight must have a unique flight 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flight can not be overbooked beyond a plane’s capacity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flight status can be either on-time, delayed or canceled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plane must have a unique registration number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plane can not be assigned to multiple flights that contradict with each other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plane must undergo maintenance after a certain amount of flight hours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plane is under maintenance it can not be assigned to a flight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entries must comply with aviation regulations such as FAA standards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schedules are updated in real time for both passengers and staff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cancelation of a flight occurs, passengers are notified and given rebooking/refund option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bookings are not allowed for the same passenger on the same flight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flight must have an assigned crew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changes must be traceable and recorded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Explanation of Business Rules: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Business rules within this database are obligatory for a plethora of reasons. Primarily,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integrity, maintaining customer information is vital for a successful operation as well 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preventing duplicate or conflicting data. These occupational regulations also ensure the quality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management of operations to maintain that they are running efficiently in accordance with FAA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regulations. The overall security is benefited with the use of these directives in addition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improving customer and employee experience. The final and most major benefit that these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business rules has provided is the ability to analyze data: provide accurate information about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passenger trends and maintenance tracking along with helping management with data driven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dilemmas.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