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94563" w:rsidP="00CB0317" w:rsidRDefault="00C94563" w14:paraId="6546A00C" w14:textId="1BF5BCD1">
      <w:pPr>
        <w:pStyle w:val="Title"/>
      </w:pPr>
      <w:r>
        <w:t xml:space="preserve">A </w:t>
      </w:r>
      <w:r w:rsidR="00B4001F">
        <w:t xml:space="preserve">Common </w:t>
      </w:r>
      <w:r>
        <w:t>Framework for Integrated and Continuous Processing</w:t>
      </w:r>
    </w:p>
    <w:p w:rsidR="00C94563" w:rsidP="009672AB" w:rsidRDefault="00C94563" w14:paraId="7A8A92BB" w14:textId="65DC999B">
      <w:r>
        <w:t>© 2020 AstraZeneca</w:t>
      </w:r>
    </w:p>
    <w:p w:rsidRPr="008E6E36" w:rsidR="00DB105D" w:rsidP="009672AB" w:rsidRDefault="00A8461B" w14:paraId="5AFDAC25" w14:textId="658FE82A">
      <w:pPr>
        <w:rPr>
          <w:b/>
          <w:bCs/>
        </w:rPr>
      </w:pPr>
      <w:r w:rsidRPr="008E6E36">
        <w:rPr>
          <w:b/>
          <w:bCs/>
        </w:rPr>
        <w:t>Authors</w:t>
      </w:r>
    </w:p>
    <w:tbl>
      <w:tblPr>
        <w:tblStyle w:val="TableGrid"/>
        <w:tblW w:w="0" w:type="auto"/>
        <w:tblLook w:val="04A0" w:firstRow="1" w:lastRow="0" w:firstColumn="1" w:lastColumn="0" w:noHBand="0" w:noVBand="1"/>
      </w:tblPr>
      <w:tblGrid>
        <w:gridCol w:w="4675"/>
        <w:gridCol w:w="4675"/>
      </w:tblGrid>
      <w:tr w:rsidRPr="00FB1D2E" w:rsidR="008E6E36" w:rsidTr="00A85A0B" w14:paraId="6E20661C" w14:textId="77777777">
        <w:tc>
          <w:tcPr>
            <w:tcW w:w="4675" w:type="dxa"/>
          </w:tcPr>
          <w:p w:rsidRPr="00FB1D2E" w:rsidR="008E6E36" w:rsidP="00A85A0B" w:rsidRDefault="008E6E36" w14:paraId="5D96E28A" w14:textId="77777777">
            <w:r>
              <w:t>Jon Coffman</w:t>
            </w:r>
          </w:p>
        </w:tc>
        <w:tc>
          <w:tcPr>
            <w:tcW w:w="4675" w:type="dxa"/>
          </w:tcPr>
          <w:p w:rsidRPr="00FB1D2E" w:rsidR="008E6E36" w:rsidP="00A85A0B" w:rsidRDefault="008E6E36" w14:paraId="007D9DEE" w14:textId="77777777"/>
        </w:tc>
      </w:tr>
      <w:tr w:rsidRPr="00FB1D2E" w:rsidR="008E6E36" w:rsidTr="00A85A0B" w14:paraId="4280D816" w14:textId="77777777">
        <w:tc>
          <w:tcPr>
            <w:tcW w:w="4675" w:type="dxa"/>
          </w:tcPr>
          <w:p w:rsidRPr="00FB1D2E" w:rsidR="008E6E36" w:rsidP="00A85A0B" w:rsidRDefault="008E6E36" w14:paraId="6BFA3848" w14:textId="77777777">
            <w:proofErr w:type="spellStart"/>
            <w:r>
              <w:t>Sevda</w:t>
            </w:r>
            <w:proofErr w:type="spellEnd"/>
            <w:r>
              <w:t xml:space="preserve"> </w:t>
            </w:r>
            <w:proofErr w:type="spellStart"/>
            <w:r>
              <w:t>Deldari</w:t>
            </w:r>
            <w:proofErr w:type="spellEnd"/>
          </w:p>
        </w:tc>
        <w:tc>
          <w:tcPr>
            <w:tcW w:w="4675" w:type="dxa"/>
          </w:tcPr>
          <w:p w:rsidRPr="00FB1D2E" w:rsidR="008E6E36" w:rsidP="00A85A0B" w:rsidRDefault="008E6E36" w14:paraId="794E0E20" w14:textId="77777777"/>
        </w:tc>
      </w:tr>
      <w:tr w:rsidRPr="00FB1D2E" w:rsidR="008E6E36" w:rsidTr="008E6E36" w14:paraId="08810FDA" w14:textId="77777777">
        <w:tc>
          <w:tcPr>
            <w:tcW w:w="4675" w:type="dxa"/>
          </w:tcPr>
          <w:p w:rsidRPr="00FB1D2E" w:rsidR="008E6E36" w:rsidP="00A85A0B" w:rsidRDefault="008E6E36" w14:paraId="6CE604D9" w14:textId="77777777">
            <w:r>
              <w:t>Steve Rose</w:t>
            </w:r>
          </w:p>
        </w:tc>
        <w:tc>
          <w:tcPr>
            <w:tcW w:w="4675" w:type="dxa"/>
          </w:tcPr>
          <w:p w:rsidRPr="00FB1D2E" w:rsidR="008E6E36" w:rsidP="00A85A0B" w:rsidRDefault="008E6E36" w14:paraId="4F54EFD1" w14:textId="77777777"/>
        </w:tc>
      </w:tr>
      <w:tr w:rsidRPr="00FB1D2E" w:rsidR="008E6E36" w:rsidTr="008E6E36" w14:paraId="79BA4CC0" w14:textId="77777777">
        <w:tc>
          <w:tcPr>
            <w:tcW w:w="4675" w:type="dxa"/>
          </w:tcPr>
          <w:p w:rsidRPr="00FB1D2E" w:rsidR="008E6E36" w:rsidP="00A85A0B" w:rsidRDefault="008E6E36" w14:paraId="79E4F8D7" w14:textId="77777777">
            <w:proofErr w:type="spellStart"/>
            <w:r>
              <w:t>Ujwal</w:t>
            </w:r>
            <w:proofErr w:type="spellEnd"/>
            <w:r>
              <w:t xml:space="preserve"> Patel</w:t>
            </w:r>
          </w:p>
        </w:tc>
        <w:tc>
          <w:tcPr>
            <w:tcW w:w="4675" w:type="dxa"/>
          </w:tcPr>
          <w:p w:rsidRPr="00FB1D2E" w:rsidR="008E6E36" w:rsidP="00A85A0B" w:rsidRDefault="008E6E36" w14:paraId="602B5720" w14:textId="77777777"/>
        </w:tc>
      </w:tr>
      <w:tr w:rsidRPr="00FB1D2E" w:rsidR="008E6E36" w:rsidTr="008E6E36" w14:paraId="3CC75311" w14:textId="77777777">
        <w:tc>
          <w:tcPr>
            <w:tcW w:w="4675" w:type="dxa"/>
          </w:tcPr>
          <w:p w:rsidRPr="00FB1D2E" w:rsidR="008E6E36" w:rsidP="00A85A0B" w:rsidRDefault="008E6E36" w14:paraId="2AB57210" w14:textId="77777777">
            <w:r>
              <w:t>Jennifer Pollard</w:t>
            </w:r>
          </w:p>
        </w:tc>
        <w:tc>
          <w:tcPr>
            <w:tcW w:w="4675" w:type="dxa"/>
          </w:tcPr>
          <w:p w:rsidRPr="00FB1D2E" w:rsidR="008E6E36" w:rsidP="00A85A0B" w:rsidRDefault="008E6E36" w14:paraId="0DE59D11" w14:textId="77777777">
            <w:r>
              <w:t>jennifer_pollard@merck.com</w:t>
            </w:r>
          </w:p>
        </w:tc>
      </w:tr>
      <w:tr w:rsidRPr="00FB1D2E" w:rsidR="008E6E36" w:rsidTr="008E6E36" w14:paraId="36E8AB0C" w14:textId="77777777">
        <w:tc>
          <w:tcPr>
            <w:tcW w:w="4675" w:type="dxa"/>
          </w:tcPr>
          <w:p w:rsidRPr="00FB1D2E" w:rsidR="008E6E36" w:rsidP="00A85A0B" w:rsidRDefault="008E6E36" w14:paraId="45CA8E5D" w14:textId="77777777">
            <w:r>
              <w:t>Joseph S</w:t>
            </w:r>
            <w:r w:rsidRPr="00FB1D2E">
              <w:t xml:space="preserve">hultz </w:t>
            </w:r>
          </w:p>
        </w:tc>
        <w:tc>
          <w:tcPr>
            <w:tcW w:w="4675" w:type="dxa"/>
          </w:tcPr>
          <w:p w:rsidR="008E6E36" w:rsidP="00A85A0B" w:rsidRDefault="008E6E36" w14:paraId="06C461CD" w14:textId="77777777">
            <w:r w:rsidRPr="00FB1D2E">
              <w:t>joseph.shultz@novartis.com</w:t>
            </w:r>
          </w:p>
        </w:tc>
      </w:tr>
      <w:tr w:rsidRPr="00FB1D2E" w:rsidR="008E6E36" w:rsidTr="008E6E36" w14:paraId="7254FC4C" w14:textId="77777777">
        <w:tc>
          <w:tcPr>
            <w:tcW w:w="4675" w:type="dxa"/>
          </w:tcPr>
          <w:p w:rsidRPr="00FB1D2E" w:rsidR="008E6E36" w:rsidP="00A85A0B" w:rsidRDefault="008E6E36" w14:paraId="29B7906B" w14:textId="77777777">
            <w:proofErr w:type="spellStart"/>
            <w:r w:rsidRPr="00FB1D2E">
              <w:t>Maen</w:t>
            </w:r>
            <w:proofErr w:type="spellEnd"/>
            <w:r w:rsidRPr="00FB1D2E">
              <w:t xml:space="preserve"> </w:t>
            </w:r>
            <w:proofErr w:type="spellStart"/>
            <w:r w:rsidRPr="00FB1D2E">
              <w:t>Qadan</w:t>
            </w:r>
            <w:proofErr w:type="spellEnd"/>
            <w:r w:rsidRPr="00FB1D2E">
              <w:t xml:space="preserve"> </w:t>
            </w:r>
          </w:p>
        </w:tc>
        <w:tc>
          <w:tcPr>
            <w:tcW w:w="4675" w:type="dxa"/>
          </w:tcPr>
          <w:p w:rsidRPr="00FB1D2E" w:rsidR="008E6E36" w:rsidP="00A85A0B" w:rsidRDefault="008E6E36" w14:paraId="022C235B" w14:textId="77777777">
            <w:r w:rsidRPr="00FB1D2E">
              <w:t>qadan_maen@lilly.com</w:t>
            </w:r>
          </w:p>
        </w:tc>
      </w:tr>
      <w:tr w:rsidRPr="00FB1D2E" w:rsidR="008E6E36" w:rsidTr="008E6E36" w14:paraId="0A2C24C1" w14:textId="77777777">
        <w:tc>
          <w:tcPr>
            <w:tcW w:w="4675" w:type="dxa"/>
          </w:tcPr>
          <w:p w:rsidRPr="00FB1D2E" w:rsidR="008E6E36" w:rsidP="00A85A0B" w:rsidRDefault="008E6E36" w14:paraId="360C6200" w14:textId="77777777">
            <w:r w:rsidRPr="00FB1D2E">
              <w:t xml:space="preserve">Schaefer, Eugene [JRDUS] </w:t>
            </w:r>
          </w:p>
        </w:tc>
        <w:tc>
          <w:tcPr>
            <w:tcW w:w="4675" w:type="dxa"/>
          </w:tcPr>
          <w:p w:rsidRPr="00FB1D2E" w:rsidR="008E6E36" w:rsidP="00A85A0B" w:rsidRDefault="008E6E36" w14:paraId="14187ACF" w14:textId="77777777">
            <w:r w:rsidRPr="00FB1D2E">
              <w:t>ESchaefe@its.jnj.com</w:t>
            </w:r>
          </w:p>
        </w:tc>
      </w:tr>
    </w:tbl>
    <w:p w:rsidRPr="008E6E36" w:rsidR="00B02ECC" w:rsidP="009672AB" w:rsidRDefault="00B02ECC" w14:paraId="4E770E7B" w14:textId="4A5E3A94">
      <w:pPr>
        <w:rPr>
          <w:b/>
          <w:bCs/>
        </w:rPr>
      </w:pPr>
      <w:r w:rsidRPr="008E6E36">
        <w:rPr>
          <w:b/>
          <w:bCs/>
        </w:rPr>
        <w:t>&lt;Potential Authors&gt;</w:t>
      </w:r>
    </w:p>
    <w:tbl>
      <w:tblPr>
        <w:tblStyle w:val="TableGrid"/>
        <w:tblW w:w="0" w:type="auto"/>
        <w:tblLook w:val="04A0" w:firstRow="1" w:lastRow="0" w:firstColumn="1" w:lastColumn="0" w:noHBand="0" w:noVBand="1"/>
      </w:tblPr>
      <w:tblGrid>
        <w:gridCol w:w="4675"/>
        <w:gridCol w:w="4675"/>
      </w:tblGrid>
      <w:tr w:rsidRPr="00FB1D2E" w:rsidR="00DB105D" w:rsidTr="00DB105D" w14:paraId="7A66E071" w14:textId="77777777">
        <w:tc>
          <w:tcPr>
            <w:tcW w:w="4675" w:type="dxa"/>
          </w:tcPr>
          <w:p w:rsidRPr="00FB1D2E" w:rsidR="00DB105D" w:rsidP="009672AB" w:rsidRDefault="00E62146" w14:paraId="020900AF" w14:textId="2C625586">
            <w:r>
              <w:t>Irina Ramos</w:t>
            </w:r>
          </w:p>
        </w:tc>
        <w:tc>
          <w:tcPr>
            <w:tcW w:w="4675" w:type="dxa"/>
          </w:tcPr>
          <w:p w:rsidRPr="00FB1D2E" w:rsidR="00DB105D" w:rsidP="00401D56" w:rsidRDefault="00DB105D" w14:paraId="2E6BD8BF" w14:textId="0B63A480"/>
        </w:tc>
      </w:tr>
      <w:tr w:rsidRPr="00FB1D2E" w:rsidR="00DB105D" w:rsidTr="00DB105D" w14:paraId="761CA7F4" w14:textId="77777777">
        <w:tc>
          <w:tcPr>
            <w:tcW w:w="4675" w:type="dxa"/>
          </w:tcPr>
          <w:p w:rsidRPr="00FB1D2E" w:rsidR="00DB105D" w:rsidP="009672AB" w:rsidRDefault="00E62146" w14:paraId="43BBBA89" w14:textId="53E66FF7">
            <w:r>
              <w:t xml:space="preserve">Nicholas </w:t>
            </w:r>
            <w:proofErr w:type="spellStart"/>
            <w:r>
              <w:t>Guros</w:t>
            </w:r>
            <w:proofErr w:type="spellEnd"/>
          </w:p>
        </w:tc>
        <w:tc>
          <w:tcPr>
            <w:tcW w:w="4675" w:type="dxa"/>
          </w:tcPr>
          <w:p w:rsidRPr="00FB1D2E" w:rsidR="00DB105D" w:rsidP="00401D56" w:rsidRDefault="00DB105D" w14:paraId="13EFEB25" w14:textId="79BB6E91"/>
        </w:tc>
      </w:tr>
      <w:tr w:rsidRPr="00FB1D2E" w:rsidR="00DB105D" w:rsidTr="00DB105D" w14:paraId="66BEE45C" w14:textId="77777777">
        <w:tc>
          <w:tcPr>
            <w:tcW w:w="4675" w:type="dxa"/>
          </w:tcPr>
          <w:p w:rsidRPr="00FB1D2E" w:rsidR="00DB105D" w:rsidP="009672AB" w:rsidRDefault="00E62146" w14:paraId="446440B7" w14:textId="2C43F261">
            <w:r>
              <w:t>Ken Lee</w:t>
            </w:r>
          </w:p>
        </w:tc>
        <w:tc>
          <w:tcPr>
            <w:tcW w:w="4675" w:type="dxa"/>
          </w:tcPr>
          <w:p w:rsidRPr="00FB1D2E" w:rsidR="00DB105D" w:rsidP="00401D56" w:rsidRDefault="00DB105D" w14:paraId="551376BC" w14:textId="2545F3CC"/>
        </w:tc>
      </w:tr>
      <w:tr w:rsidRPr="00FB1D2E" w:rsidR="00DB105D" w:rsidTr="00DB105D" w14:paraId="78C7C2DC" w14:textId="77777777">
        <w:tc>
          <w:tcPr>
            <w:tcW w:w="4675" w:type="dxa"/>
          </w:tcPr>
          <w:p w:rsidRPr="00FB1D2E" w:rsidR="00DB105D" w:rsidP="00401D56" w:rsidRDefault="00DB105D" w14:paraId="22DE214A" w14:textId="6F862358"/>
        </w:tc>
        <w:tc>
          <w:tcPr>
            <w:tcW w:w="4675" w:type="dxa"/>
          </w:tcPr>
          <w:p w:rsidRPr="00FB1D2E" w:rsidR="00DB105D" w:rsidP="00401D56" w:rsidRDefault="00DB105D" w14:paraId="3EAFC93B" w14:textId="1C6F290A"/>
        </w:tc>
      </w:tr>
      <w:tr w:rsidRPr="00FB1D2E" w:rsidR="00DB105D" w:rsidTr="00401D56" w14:paraId="20FA8E4A" w14:textId="77777777">
        <w:tc>
          <w:tcPr>
            <w:tcW w:w="4675" w:type="dxa"/>
          </w:tcPr>
          <w:p w:rsidRPr="00FB1D2E" w:rsidR="00DB105D" w:rsidP="009672AB" w:rsidRDefault="00DB105D" w14:paraId="628840E2" w14:textId="77777777">
            <w:r w:rsidRPr="00FB1D2E">
              <w:t xml:space="preserve">Lisa Connell-Crowley </w:t>
            </w:r>
          </w:p>
        </w:tc>
        <w:tc>
          <w:tcPr>
            <w:tcW w:w="4675" w:type="dxa"/>
          </w:tcPr>
          <w:p w:rsidRPr="00FB1D2E" w:rsidR="00DB105D" w:rsidP="009672AB" w:rsidRDefault="00DB105D" w14:paraId="202E0821" w14:textId="77777777">
            <w:proofErr w:type="spellStart"/>
            <w:r w:rsidRPr="00FB1D2E">
              <w:t>lisacc@just.bio</w:t>
            </w:r>
            <w:proofErr w:type="spellEnd"/>
          </w:p>
        </w:tc>
      </w:tr>
      <w:tr w:rsidRPr="00FB1D2E" w:rsidR="00DB105D" w:rsidTr="00401D56" w14:paraId="0AF36929" w14:textId="77777777">
        <w:tc>
          <w:tcPr>
            <w:tcW w:w="4675" w:type="dxa"/>
          </w:tcPr>
          <w:p w:rsidRPr="00FB1D2E" w:rsidR="00DB105D" w:rsidP="009672AB" w:rsidRDefault="00DB105D" w14:paraId="47317E7B" w14:textId="77777777">
            <w:r w:rsidRPr="00FB1D2E">
              <w:t xml:space="preserve"> Brower, Mark </w:t>
            </w:r>
          </w:p>
        </w:tc>
        <w:tc>
          <w:tcPr>
            <w:tcW w:w="4675" w:type="dxa"/>
          </w:tcPr>
          <w:p w:rsidRPr="00FB1D2E" w:rsidR="00DB105D" w:rsidP="009672AB" w:rsidRDefault="00DB105D" w14:paraId="50CE071B" w14:textId="77777777">
            <w:r w:rsidRPr="00FB1D2E">
              <w:t>mark_brower@merck.com</w:t>
            </w:r>
          </w:p>
        </w:tc>
      </w:tr>
      <w:tr w:rsidRPr="00FB1D2E" w:rsidR="00DB105D" w:rsidTr="00401D56" w14:paraId="4342D903" w14:textId="77777777">
        <w:tc>
          <w:tcPr>
            <w:tcW w:w="4675" w:type="dxa"/>
          </w:tcPr>
          <w:p w:rsidRPr="00FB1D2E" w:rsidR="00DB105D" w:rsidP="009672AB" w:rsidRDefault="00DB105D" w14:paraId="6451EF52" w14:textId="77777777">
            <w:r w:rsidRPr="00FB1D2E">
              <w:t xml:space="preserve"> Nihal </w:t>
            </w:r>
            <w:proofErr w:type="spellStart"/>
            <w:r w:rsidRPr="00FB1D2E">
              <w:t>Tugcu</w:t>
            </w:r>
            <w:proofErr w:type="spellEnd"/>
            <w:r w:rsidRPr="00FB1D2E">
              <w:t xml:space="preserve"> </w:t>
            </w:r>
          </w:p>
        </w:tc>
        <w:tc>
          <w:tcPr>
            <w:tcW w:w="4675" w:type="dxa"/>
          </w:tcPr>
          <w:p w:rsidRPr="00FB1D2E" w:rsidR="00DB105D" w:rsidP="009672AB" w:rsidRDefault="00DB105D" w14:paraId="3657040B" w14:textId="77777777">
            <w:r w:rsidRPr="00FB1D2E">
              <w:t>nihal.tugcu@sanofi.com</w:t>
            </w:r>
          </w:p>
        </w:tc>
      </w:tr>
      <w:tr w:rsidRPr="00FB1D2E" w:rsidR="00DB105D" w:rsidTr="00401D56" w14:paraId="59A50643" w14:textId="77777777">
        <w:tc>
          <w:tcPr>
            <w:tcW w:w="4675" w:type="dxa"/>
          </w:tcPr>
          <w:p w:rsidRPr="00FB1D2E" w:rsidR="00DB105D" w:rsidP="009672AB" w:rsidRDefault="00DB105D" w14:paraId="768C18B6" w14:textId="77777777">
            <w:r w:rsidRPr="00FB1D2E">
              <w:t xml:space="preserve"> Pollard, David </w:t>
            </w:r>
          </w:p>
        </w:tc>
        <w:tc>
          <w:tcPr>
            <w:tcW w:w="4675" w:type="dxa"/>
          </w:tcPr>
          <w:p w:rsidRPr="00FB1D2E" w:rsidR="00DB105D" w:rsidP="009672AB" w:rsidRDefault="00DB105D" w14:paraId="779CE909" w14:textId="77777777">
            <w:r w:rsidRPr="00FB1D2E">
              <w:t>David.Pollard@sartorius-stedim.com</w:t>
            </w:r>
          </w:p>
        </w:tc>
      </w:tr>
      <w:tr w:rsidRPr="00FB1D2E" w:rsidR="00DB105D" w:rsidTr="00401D56" w14:paraId="65638508" w14:textId="77777777">
        <w:tc>
          <w:tcPr>
            <w:tcW w:w="4675" w:type="dxa"/>
          </w:tcPr>
          <w:p w:rsidRPr="00FB1D2E" w:rsidR="00DB105D" w:rsidP="009672AB" w:rsidRDefault="00DB105D" w14:paraId="4AAE8D10" w14:textId="77777777">
            <w:r>
              <w:lastRenderedPageBreak/>
              <w:t>John Erikson</w:t>
            </w:r>
          </w:p>
        </w:tc>
        <w:tc>
          <w:tcPr>
            <w:tcW w:w="4675" w:type="dxa"/>
          </w:tcPr>
          <w:p w:rsidRPr="00FB1D2E" w:rsidR="00DB105D" w:rsidP="009672AB" w:rsidRDefault="00DB105D" w14:paraId="25666CAA" w14:textId="77777777">
            <w:r w:rsidRPr="00FB1D2E">
              <w:t>erickson@udel.edu</w:t>
            </w:r>
          </w:p>
        </w:tc>
      </w:tr>
      <w:tr w:rsidRPr="00FB1D2E" w:rsidR="00DB105D" w:rsidTr="00401D56" w14:paraId="4F6164FF" w14:textId="77777777">
        <w:tc>
          <w:tcPr>
            <w:tcW w:w="4675" w:type="dxa"/>
          </w:tcPr>
          <w:p w:rsidRPr="00FB1D2E" w:rsidR="00DB105D" w:rsidP="009672AB" w:rsidRDefault="00DB105D" w14:paraId="35F3647D" w14:textId="63D95033">
            <w:r w:rsidRPr="00FB1D2E">
              <w:t xml:space="preserve">Dr. David </w:t>
            </w:r>
            <w:proofErr w:type="spellStart"/>
            <w:r w:rsidRPr="00FB1D2E">
              <w:t>Paolella</w:t>
            </w:r>
            <w:proofErr w:type="spellEnd"/>
            <w:r w:rsidRPr="00FB1D2E">
              <w:t xml:space="preserve"> </w:t>
            </w:r>
          </w:p>
        </w:tc>
        <w:tc>
          <w:tcPr>
            <w:tcW w:w="4675" w:type="dxa"/>
          </w:tcPr>
          <w:p w:rsidRPr="00FB1D2E" w:rsidR="00DB105D" w:rsidP="009672AB" w:rsidRDefault="00DB105D" w14:paraId="5562EE6B" w14:textId="22E6A2D3">
            <w:r w:rsidRPr="00FB1D2E">
              <w:t>david.n.paolella@gsk.com</w:t>
            </w:r>
          </w:p>
        </w:tc>
      </w:tr>
      <w:tr w:rsidRPr="00FB1D2E" w:rsidR="00DB105D" w:rsidTr="00401D56" w14:paraId="33478869" w14:textId="77777777">
        <w:tc>
          <w:tcPr>
            <w:tcW w:w="4675" w:type="dxa"/>
          </w:tcPr>
          <w:p w:rsidRPr="00FB1D2E" w:rsidR="00DB105D" w:rsidP="009672AB" w:rsidRDefault="00DB105D" w14:paraId="666C7A94" w14:textId="050145FB">
            <w:r w:rsidRPr="00FB1D2E">
              <w:t xml:space="preserve"> Hart, Roger </w:t>
            </w:r>
          </w:p>
        </w:tc>
        <w:tc>
          <w:tcPr>
            <w:tcW w:w="4675" w:type="dxa"/>
          </w:tcPr>
          <w:p w:rsidRPr="00FB1D2E" w:rsidR="00DB105D" w:rsidP="009672AB" w:rsidRDefault="00D053A9" w14:paraId="6AA767D7" w14:textId="1CE6730C">
            <w:hyperlink w:history="1" r:id="rId8">
              <w:r w:rsidRPr="00C223B2" w:rsidR="00DB105D">
                <w:rPr>
                  <w:rStyle w:val="Hyperlink"/>
                </w:rPr>
                <w:t>rhart@amgen.com</w:t>
              </w:r>
            </w:hyperlink>
          </w:p>
        </w:tc>
      </w:tr>
    </w:tbl>
    <w:p w:rsidRPr="00C94563" w:rsidR="00C94563" w:rsidP="009672AB" w:rsidRDefault="00C94563" w14:paraId="60041BB0" w14:textId="77777777"/>
    <w:p w:rsidR="009F1E2D" w:rsidP="00CF3C52" w:rsidRDefault="009F1E2D" w14:paraId="01A2E201" w14:textId="171A4145">
      <w:pPr>
        <w:pStyle w:val="Heading1"/>
      </w:pPr>
      <w:r>
        <w:t>Abstract</w:t>
      </w:r>
    </w:p>
    <w:p w:rsidRPr="00EF36FD" w:rsidR="00AA47EC" w:rsidP="1872F496" w:rsidRDefault="00AA47EC" w14:paraId="063DD892" w14:textId="4340D7B7">
      <w:pPr>
        <w:pStyle w:val="NormalWeb"/>
        <w:spacing w:beforeAutospacing="0" w:after="0" w:afterAutospacing="0"/>
        <w:ind w:left="540"/>
      </w:pPr>
      <w:r>
        <w:rPr>
          <w:color w:val="000000"/>
        </w:rPr>
        <w:t xml:space="preserve">There is a growing </w:t>
      </w:r>
      <w:r w:rsidR="003669AC">
        <w:rPr>
          <w:color w:val="000000"/>
        </w:rPr>
        <w:t xml:space="preserve">application of </w:t>
      </w:r>
      <w:r>
        <w:rPr>
          <w:color w:val="000000"/>
        </w:rPr>
        <w:t xml:space="preserve">integrated </w:t>
      </w:r>
      <w:r w:rsidR="003669AC">
        <w:rPr>
          <w:color w:val="000000"/>
        </w:rPr>
        <w:t xml:space="preserve">and continuous </w:t>
      </w:r>
      <w:r>
        <w:rPr>
          <w:color w:val="000000"/>
        </w:rPr>
        <w:t xml:space="preserve">bioprocessing (ICB) as a manufacturing platform for the production of recombinant protein therapeutics produced from mammalian cells. </w:t>
      </w:r>
      <w:r w:rsidRPr="1872F496" w:rsidR="1872F496">
        <w:t xml:space="preserve">At first glance, the newly evolved ICB has created a vast diversity of platforms. A closer inspection reveals convergent evolution: nearly all of the major ICB methods have a common framework that could allow manufacturing across a global ecosystem of manufacturers using simple, yet effective, equipment designs. This simple framework is not as efficient or productive as the many sub-species of ICB promoted by those active in this space. The framework is, however, capable of supporting the manufacturing of most major biopharmaceutical ICB without major changes in the regulatory </w:t>
      </w:r>
      <w:r w:rsidRPr="1872F496" w:rsidR="000022BC">
        <w:t>license</w:t>
      </w:r>
      <w:r w:rsidRPr="1872F496" w:rsidR="1872F496">
        <w:t>, while achieving most of the efficiency and productivity benefits of the more varied ICB platforms. Further, the framework is backward compatible with legacy batch processes.</w:t>
      </w:r>
    </w:p>
    <w:p w:rsidR="00E916B8" w:rsidP="00AA47EC" w:rsidRDefault="1872F496" w14:paraId="33CD7554" w14:textId="6B467F1B">
      <w:pPr>
        <w:pStyle w:val="NormalWeb"/>
        <w:ind w:left="540"/>
      </w:pPr>
      <w:r w:rsidRPr="1872F496">
        <w:t xml:space="preserve">The common framework lends itself to implementation in a stepping-stone approach. The biggest change, and biggest benefit, comes from moving from fed-batch cell culture to high-density, continuous perfusion cell culture, linked with an integrated batch downstream. Manufacturers can first implement single-column (SCC) then multicolumn capture (MCC) capture in stages throughout the lifecycle of a project. </w:t>
      </w:r>
    </w:p>
    <w:p w:rsidR="00F86CCA" w:rsidP="00880178" w:rsidRDefault="00AA47EC" w14:paraId="5F4C9E8B" w14:textId="7B22E32B">
      <w:pPr>
        <w:pStyle w:val="NormalWeb"/>
        <w:ind w:left="540"/>
        <w:rPr>
          <w:color w:val="000000"/>
        </w:rPr>
      </w:pPr>
      <w:r>
        <w:rPr>
          <w:color w:val="000000"/>
        </w:rPr>
        <w:t>This paper reviews the ICB that are being used, or are soon to be used, in a GMP manufacturing setting for recombinant protein production</w:t>
      </w:r>
      <w:r w:rsidR="003669AC">
        <w:rPr>
          <w:color w:val="000000"/>
        </w:rPr>
        <w:t xml:space="preserve"> from mammalian cells</w:t>
      </w:r>
      <w:r>
        <w:rPr>
          <w:color w:val="000000"/>
        </w:rPr>
        <w:t xml:space="preserve">. </w:t>
      </w:r>
      <w:r w:rsidR="00634B17">
        <w:rPr>
          <w:color w:val="000000"/>
        </w:rPr>
        <w:t xml:space="preserve">The ICB </w:t>
      </w:r>
      <w:r w:rsidR="00AF2B48">
        <w:rPr>
          <w:color w:val="000000"/>
        </w:rPr>
        <w:t>platforms are</w:t>
      </w:r>
      <w:r w:rsidR="00634B17">
        <w:rPr>
          <w:color w:val="000000"/>
        </w:rPr>
        <w:t xml:space="preserve"> used primarily for </w:t>
      </w:r>
      <w:proofErr w:type="spellStart"/>
      <w:r w:rsidR="00634B17">
        <w:rPr>
          <w:color w:val="000000"/>
        </w:rPr>
        <w:t>mAb</w:t>
      </w:r>
      <w:proofErr w:type="spellEnd"/>
      <w:r w:rsidR="00634B17">
        <w:rPr>
          <w:color w:val="000000"/>
        </w:rPr>
        <w:t xml:space="preserve"> and </w:t>
      </w:r>
      <w:proofErr w:type="spellStart"/>
      <w:r w:rsidR="00634B17">
        <w:rPr>
          <w:color w:val="000000"/>
        </w:rPr>
        <w:t>mAb</w:t>
      </w:r>
      <w:proofErr w:type="spellEnd"/>
      <w:r w:rsidR="00634B17">
        <w:rPr>
          <w:color w:val="000000"/>
        </w:rPr>
        <w:t xml:space="preserve">-like </w:t>
      </w:r>
      <w:proofErr w:type="gramStart"/>
      <w:r w:rsidR="00634B17">
        <w:rPr>
          <w:color w:val="000000"/>
        </w:rPr>
        <w:t>products, yet</w:t>
      </w:r>
      <w:proofErr w:type="gramEnd"/>
      <w:r w:rsidR="00634B17">
        <w:rPr>
          <w:color w:val="000000"/>
        </w:rPr>
        <w:t xml:space="preserve"> can be adapted to all recombinant proteins. </w:t>
      </w:r>
      <w:r w:rsidR="009C67CA">
        <w:rPr>
          <w:color w:val="000000"/>
        </w:rPr>
        <w:t>This process will allow the production of low productivity modalities such as bispecific antibodies as well as high productivity monoclonal antibodies.</w:t>
      </w:r>
      <w:r w:rsidR="000022BC">
        <w:rPr>
          <w:color w:val="000000"/>
        </w:rPr>
        <w:t xml:space="preserve"> </w:t>
      </w:r>
    </w:p>
    <w:p w:rsidR="000022BC" w:rsidP="00880178" w:rsidRDefault="002E4BDF" w14:paraId="28E55EBD" w14:textId="56FE3B78">
      <w:pPr>
        <w:pStyle w:val="NormalWeb"/>
        <w:ind w:left="540"/>
        <w:rPr>
          <w:color w:val="000000"/>
        </w:rPr>
      </w:pPr>
      <w:r>
        <w:rPr>
          <w:color w:val="000000"/>
        </w:rPr>
        <w:t xml:space="preserve">This review uses standard engineering and assumptions common to the industry to design a framework </w:t>
      </w:r>
      <w:r w:rsidR="00223381">
        <w:rPr>
          <w:color w:val="000000"/>
        </w:rPr>
        <w:t xml:space="preserve">ICB </w:t>
      </w:r>
      <w:r>
        <w:rPr>
          <w:color w:val="000000"/>
        </w:rPr>
        <w:t xml:space="preserve">plant </w:t>
      </w:r>
      <w:r w:rsidR="000022BC">
        <w:rPr>
          <w:color w:val="000000"/>
        </w:rPr>
        <w:t xml:space="preserve">that is capable of producing lot sizes of 500kg </w:t>
      </w:r>
      <w:r w:rsidR="002A139D">
        <w:rPr>
          <w:color w:val="000000"/>
        </w:rPr>
        <w:t xml:space="preserve">or about 8 tons per year. </w:t>
      </w:r>
    </w:p>
    <w:p w:rsidRPr="00C337FE" w:rsidR="003F4574" w:rsidP="00CF3C52" w:rsidRDefault="00CF3C52" w14:paraId="56D52EBE" w14:textId="72B4AB98">
      <w:pPr>
        <w:pStyle w:val="Heading1"/>
        <w:rPr>
          <w:rFonts w:eastAsia="Times New Roman"/>
          <w:b/>
          <w:bCs/>
        </w:rPr>
      </w:pPr>
      <w:r>
        <w:rPr>
          <w:rFonts w:eastAsia="Times New Roman"/>
        </w:rPr>
        <w:t>Introduction</w:t>
      </w:r>
    </w:p>
    <w:p w:rsidR="00E62CEE" w:rsidP="00B86A4C" w:rsidRDefault="5CDC8D04" w14:paraId="5F1300A3" w14:textId="619B8A0F">
      <w:r w:rsidRPr="5CDC8D04">
        <w:t xml:space="preserve">Many biopharmaceutical companies are considering switching from fed-batch bioreactors and independent, batch downstream unit operations to integrated and continuous bioprocessing (ICB), which uses continuous perfusion bioreactors and a linked and somewhat continuous </w:t>
      </w:r>
      <w:r w:rsidRPr="5CDC8D04">
        <w:lastRenderedPageBreak/>
        <w:t xml:space="preserve">downstream. </w:t>
      </w:r>
      <w:r w:rsidR="00CB0317">
        <w:t>There exists a dizzing array of options for ICB, so much so that</w:t>
      </w:r>
      <w:r w:rsidR="00B51517">
        <w:t xml:space="preserve"> biopharmaceutical companies must choose different and incompatible implementations.</w:t>
      </w:r>
      <w:r w:rsidR="00CB0317">
        <w:t xml:space="preserve"> </w:t>
      </w:r>
      <w:r w:rsidRPr="5CDC8D04">
        <w:t xml:space="preserve">Here we report and review several of the largest biopharmaceutical companies </w:t>
      </w:r>
      <w:r w:rsidR="00B51517">
        <w:t xml:space="preserve">implementing </w:t>
      </w:r>
      <w:r w:rsidRPr="5CDC8D04">
        <w:t>ICB</w:t>
      </w:r>
      <w:r w:rsidR="00370DE2">
        <w:t>, summarized in Table 1,</w:t>
      </w:r>
      <w:r w:rsidRPr="5CDC8D04">
        <w:t xml:space="preserve"> to show there exists a common denominator in the industry. The</w:t>
      </w:r>
      <w:r w:rsidR="00CB0317">
        <w:t xml:space="preserve"> specific choices made for ICB</w:t>
      </w:r>
      <w:r w:rsidRPr="5CDC8D04">
        <w:t xml:space="preserve"> are not often well described in the literature, and a significant amount of information comes from public presentations. This article will not disclose individual companies’ platforms except where a citation exists, or disclosure permission is given.  Some features that build on top of the framework will remain proprietary and will not be described.  All of the integrated and continuous bioprocesses, and indeed many legacy </w:t>
      </w:r>
      <w:proofErr w:type="gramStart"/>
      <w:r w:rsidRPr="5CDC8D04">
        <w:t>batch</w:t>
      </w:r>
      <w:proofErr w:type="gramEnd"/>
      <w:r w:rsidRPr="5CDC8D04">
        <w:t xml:space="preserve"> processes, will fit into a plant built on the common framework without significant regulatory changes and without large capital investments. The framework will not require new process characterization studies with the exception of the final concentration and diafiltration step, nor will it require new virus removal or inactivation studies. Regulatory filings</w:t>
      </w:r>
      <w:r w:rsidR="00B51517">
        <w:t xml:space="preserve"> and technology transfer </w:t>
      </w:r>
      <w:r w:rsidRPr="5CDC8D04">
        <w:t>would</w:t>
      </w:r>
      <w:r w:rsidR="00B51517">
        <w:t xml:space="preserve">, </w:t>
      </w:r>
      <w:proofErr w:type="gramStart"/>
      <w:r w:rsidR="00B51517">
        <w:t>however</w:t>
      </w:r>
      <w:proofErr w:type="gramEnd"/>
      <w:r w:rsidRPr="5CDC8D04">
        <w:t xml:space="preserve"> benefit from some foreknowledge of th</w:t>
      </w:r>
      <w:r w:rsidR="00B51517">
        <w:t>is</w:t>
      </w:r>
      <w:r w:rsidRPr="5CDC8D04">
        <w:t xml:space="preserve"> framework process. </w:t>
      </w:r>
    </w:p>
    <w:p w:rsidR="00E62CEE" w:rsidP="009672AB" w:rsidRDefault="5CDC8D04" w14:paraId="359CDA0E" w14:textId="0EF1D63D">
      <w:pPr>
        <w:rPr>
          <w:color w:val="000000"/>
        </w:rPr>
      </w:pPr>
      <w:r w:rsidRPr="5CDC8D04">
        <w:t xml:space="preserve">ICB has well-reviewed advantages in the cost of clinical </w:t>
      </w:r>
      <w:r w:rsidRPr="00873177" w:rsidR="00873177">
        <w:rPr>
          <w:b/>
          <w:bCs/>
          <w:highlight w:val="yellow"/>
          <w:u w:val="double" w:color="FFFF00"/>
        </w:rPr>
        <w:t>[</w:t>
      </w:r>
      <w:proofErr w:type="gramStart"/>
      <w:r w:rsidRPr="00873177" w:rsidR="00873177">
        <w:rPr>
          <w:b/>
          <w:bCs/>
          <w:highlight w:val="yellow"/>
          <w:u w:val="double" w:color="FFFF00"/>
        </w:rPr>
        <w:t xml:space="preserve">ref] </w:t>
      </w:r>
      <w:r w:rsidR="00873177">
        <w:rPr>
          <w:b/>
          <w:bCs/>
          <w:highlight w:val="yellow"/>
        </w:rPr>
        <w:t xml:space="preserve"> </w:t>
      </w:r>
      <w:r w:rsidRPr="5CDC8D04">
        <w:t xml:space="preserve"> </w:t>
      </w:r>
      <w:proofErr w:type="gramEnd"/>
      <w:r w:rsidRPr="5CDC8D04">
        <w:t xml:space="preserve">and, for some scales, commercial </w:t>
      </w:r>
      <w:r w:rsidRPr="00873177" w:rsidR="00873177">
        <w:rPr>
          <w:b/>
          <w:u w:val="double" w:color="FFFF00"/>
        </w:rPr>
        <w:t xml:space="preserve">[ref] </w:t>
      </w:r>
      <w:r w:rsidRPr="5CDC8D04">
        <w:t xml:space="preserve"> manufacturing. The productivity of capital (kg production/$ invested) can be higher for ICB, because ICB equipment operates 24 hours per day, nearly 365 days per year. Due largely to a combination of higher volumetric productivity of single-use bioreactors and automation, ICB can have increased labor productivity </w:t>
      </w:r>
      <w:r w:rsidRPr="00873177" w:rsidR="00873177">
        <w:rPr>
          <w:b/>
          <w:u w:val="double" w:color="FFFF00"/>
        </w:rPr>
        <w:t>[ref]</w:t>
      </w:r>
      <w:r w:rsidRPr="5CDC8D04">
        <w:t xml:space="preserve">. ICB has also been shown to have similar or worse operating costs compared to fed-batch for certain situations </w:t>
      </w:r>
      <w:r w:rsidRPr="00873177" w:rsidR="00873177">
        <w:rPr>
          <w:b/>
          <w:u w:val="double" w:color="FFFF00"/>
        </w:rPr>
        <w:t>[ref]</w:t>
      </w:r>
      <w:r w:rsidRPr="5CDC8D04">
        <w:t xml:space="preserve">, especially for those plants using single use downstream equipment and smaller batches. The largest benefit to ICB appears to be when </w:t>
      </w:r>
      <w:r w:rsidR="00B51517">
        <w:t xml:space="preserve">a </w:t>
      </w:r>
      <w:r w:rsidRPr="5CDC8D04">
        <w:t xml:space="preserve">perfusion bioreactor with a productivity five-fold over that of fed batch is linked to an automated, fully utilized downstream. </w:t>
      </w:r>
    </w:p>
    <w:p w:rsidR="00E016BD" w:rsidP="009672AB" w:rsidRDefault="5CDC8D04" w14:paraId="6C59FC6D" w14:textId="75131F5D">
      <w:pPr>
        <w:rPr>
          <w:color w:val="000000"/>
        </w:rPr>
      </w:pPr>
      <w:r w:rsidR="356DEA8D">
        <w:rPr/>
        <w:t xml:space="preserve">While there is significant synergy between ICB and single-use (SU) manufacturing, they should not be conflated. The bioreactor appears to be the most important operation to convert to single use. The ICB processes have downstream unit operations designed with stainless steel or single use. We have found that the cost of goods manufactured (COGM) will be lower with stainless-steel skids downstream, especially with smaller batches. Single use mixers and containers add value downstream by increasing flexibility, and can also increase COGM if not carefully evaluated. </w:t>
      </w:r>
    </w:p>
    <w:p w:rsidR="00177100" w:rsidP="009672AB" w:rsidRDefault="5CDC8D04" w14:paraId="60BCA8C4" w14:textId="1D5E60A0">
      <w:r w:rsidRPr="5CDC8D04">
        <w:t xml:space="preserve">The </w:t>
      </w:r>
      <w:r w:rsidR="00B51517">
        <w:t>ICB</w:t>
      </w:r>
      <w:r w:rsidRPr="5CDC8D04">
        <w:t xml:space="preserve"> being used by industry are shown in Table 1 and </w:t>
      </w:r>
      <w:proofErr w:type="gramStart"/>
      <w:r w:rsidRPr="5CDC8D04">
        <w:t>Figure XXX, and</w:t>
      </w:r>
      <w:proofErr w:type="gramEnd"/>
      <w:r w:rsidRPr="5CDC8D04">
        <w:t xml:space="preserve"> reflect the batch </w:t>
      </w:r>
      <w:proofErr w:type="spellStart"/>
      <w:r w:rsidRPr="5CDC8D04">
        <w:t>mAb</w:t>
      </w:r>
      <w:proofErr w:type="spellEnd"/>
      <w:r w:rsidRPr="5CDC8D04">
        <w:t xml:space="preserve"> platform processes [Kelley 2008, </w:t>
      </w:r>
      <w:proofErr w:type="spellStart"/>
      <w:r w:rsidRPr="5CDC8D04">
        <w:t>etc</w:t>
      </w:r>
      <w:proofErr w:type="spellEnd"/>
      <w:r w:rsidRPr="5CDC8D04">
        <w:t>] upon which they were built. These processes begin with bioreactors with only minor modifications from those used for decades. These modifications do not preclude their operation for legacy fed-batch processes. ICB links the bioreactor directly to an integrated downstream that is based on batch chromatography processes that also have been used for decades. In many cases, the chemistry (resins, buffer composition, and membrane composition) is identical to the historical platform.</w:t>
      </w:r>
      <w:r w:rsidR="004E6CA5">
        <w:t xml:space="preserve"> T</w:t>
      </w:r>
      <w:r w:rsidRPr="5CDC8D04">
        <w:t xml:space="preserve">hese </w:t>
      </w:r>
      <w:r w:rsidR="004E6CA5">
        <w:t xml:space="preserve">integrated </w:t>
      </w:r>
      <w:r w:rsidRPr="5CDC8D04">
        <w:t xml:space="preserve">unit operations can be used for legacy batch processes by operating the columns in parallel. Product pools are eliminated or minimized. Media and buffer concentrates are required due to space constraints for the more productive processes. In-line titration is also required for many linked unit operations. Process Analytical Technologies (PAT) are used, but in </w:t>
      </w:r>
      <w:r w:rsidR="00B51517">
        <w:t>this common framework</w:t>
      </w:r>
      <w:r w:rsidRPr="5CDC8D04">
        <w:t xml:space="preserve">, they are not much more complex than those used in batch processes. </w:t>
      </w:r>
    </w:p>
    <w:p w:rsidR="001B33F7" w:rsidP="009672AB" w:rsidRDefault="001B33F7" w14:paraId="4BD39BCC" w14:textId="3523150D">
      <w:pPr>
        <w:rPr>
          <w:color w:val="000000"/>
        </w:rPr>
      </w:pPr>
      <w:r>
        <w:t xml:space="preserve">An example of </w:t>
      </w:r>
      <w:r w:rsidR="002A139D">
        <w:t>the framework ICB</w:t>
      </w:r>
      <w:r>
        <w:t xml:space="preserve"> plant </w:t>
      </w:r>
      <w:r w:rsidR="002245B2">
        <w:t>capable of</w:t>
      </w:r>
      <w:r w:rsidR="004E6CA5">
        <w:t xml:space="preserve"> up to</w:t>
      </w:r>
      <w:r w:rsidR="002A139D">
        <w:t xml:space="preserve"> 500kg lot size based on four 2,000L perfusion bioreactors is shown in Figure xxx. Assumptions for the plant are shown in Tables xxx-</w:t>
      </w:r>
      <w:proofErr w:type="gramStart"/>
      <w:r w:rsidR="002A139D">
        <w:t>xxx, and</w:t>
      </w:r>
      <w:proofErr w:type="gramEnd"/>
      <w:r w:rsidR="002A139D">
        <w:t xml:space="preserve"> are described below. These assumptions are </w:t>
      </w:r>
      <w:r w:rsidR="002E4BDF">
        <w:t xml:space="preserve">common in the industry, with the possible exception of higher productivity cell lines. </w:t>
      </w:r>
      <w:r w:rsidR="00C2707E">
        <w:t xml:space="preserve">An 8-ton plant built on ICB is unprecedented. It rivals the largest fed-batch suites. Yet all the equipment necessary </w:t>
      </w:r>
      <w:r w:rsidR="004E6CA5">
        <w:t>can be built from existing components</w:t>
      </w:r>
      <w:r w:rsidR="00C2707E">
        <w:t>.</w:t>
      </w:r>
      <w:r w:rsidR="004E6CA5">
        <w:t xml:space="preserve"> As an example of the power of ICB, the highest flow rate</w:t>
      </w:r>
      <w:r w:rsidR="00805718">
        <w:t xml:space="preserve"> in this 8-ton plant</w:t>
      </w:r>
      <w:r w:rsidR="004E6CA5">
        <w:t xml:space="preserve"> is an astonish</w:t>
      </w:r>
      <w:r w:rsidR="00805718">
        <w:t>ing</w:t>
      </w:r>
      <w:r w:rsidR="004E6CA5">
        <w:t xml:space="preserve">ly small </w:t>
      </w:r>
      <w:r w:rsidR="00805718">
        <w:t xml:space="preserve">10 </w:t>
      </w:r>
      <w:r w:rsidR="004E6CA5">
        <w:t xml:space="preserve">L/min. </w:t>
      </w:r>
      <w:r w:rsidR="002E4BDF">
        <w:t>The detail around the engineering calculations is described in an accompanying article (Coffman, 2021).</w:t>
      </w:r>
    </w:p>
    <w:p w:rsidRPr="005A1CD5" w:rsidR="00177100" w:rsidP="003C2C0D" w:rsidRDefault="005A1CD5" w14:paraId="34F1464E" w14:textId="0420A24B">
      <w:pPr>
        <w:pStyle w:val="Heading1"/>
        <w:rPr>
          <w:rFonts w:eastAsia="Times New Roman"/>
        </w:rPr>
      </w:pPr>
      <w:r>
        <w:rPr>
          <w:rFonts w:eastAsia="Times New Roman"/>
        </w:rPr>
        <w:t xml:space="preserve">N-stage </w:t>
      </w:r>
      <w:r w:rsidRPr="005A1CD5" w:rsidR="00177100">
        <w:rPr>
          <w:rFonts w:eastAsia="Times New Roman"/>
        </w:rPr>
        <w:t>Bioreacto</w:t>
      </w:r>
      <w:r>
        <w:rPr>
          <w:rFonts w:eastAsia="Times New Roman"/>
        </w:rPr>
        <w:t>r</w:t>
      </w:r>
    </w:p>
    <w:p w:rsidR="006118AC" w:rsidP="009672AB" w:rsidRDefault="006118AC" w14:paraId="4D67BC6B" w14:textId="3FC16E63">
      <w:r>
        <w:t xml:space="preserve">Many </w:t>
      </w:r>
      <w:r w:rsidR="0059639F">
        <w:t>companies</w:t>
      </w:r>
      <w:r w:rsidR="00632F47">
        <w:t xml:space="preserve"> have moved to</w:t>
      </w:r>
      <w:r w:rsidR="0059639F">
        <w:t>, or are exploring,</w:t>
      </w:r>
      <w:r w:rsidR="00A7396B">
        <w:t xml:space="preserve"> high-density </w:t>
      </w:r>
      <w:r w:rsidR="00632F47">
        <w:t xml:space="preserve">perfusion bioreactor processes. Several have developed high-intensity fed-batch processes. </w:t>
      </w:r>
      <w:r w:rsidR="000072E6">
        <w:t xml:space="preserve">The high-density cultures require </w:t>
      </w:r>
      <w:r w:rsidR="009F1353">
        <w:t xml:space="preserve">higher gas transfer, </w:t>
      </w:r>
      <w:r w:rsidR="000072E6">
        <w:t>rich</w:t>
      </w:r>
      <w:r w:rsidR="00F45F00">
        <w:t>,</w:t>
      </w:r>
      <w:r w:rsidR="00562088">
        <w:t xml:space="preserve"> concentrated</w:t>
      </w:r>
      <w:r w:rsidR="000072E6">
        <w:t xml:space="preserve"> media, </w:t>
      </w:r>
      <w:r w:rsidR="00071E4F">
        <w:t>and</w:t>
      </w:r>
      <w:r w:rsidR="009F1353">
        <w:t xml:space="preserve"> </w:t>
      </w:r>
      <w:r w:rsidR="00A7396B">
        <w:t>process analytical technologies (PAT)</w:t>
      </w:r>
      <w:r w:rsidR="009F1353">
        <w:t xml:space="preserve"> that supports media feed strategies. </w:t>
      </w:r>
      <w:r w:rsidR="00F45F00">
        <w:t>The bioreactor designs support both perfusion-based and high-intensity fed-batch processes</w:t>
      </w:r>
      <w:r w:rsidR="00A7396B">
        <w:t xml:space="preserve"> (Coffman, 2021)</w:t>
      </w:r>
      <w:r w:rsidR="00F45F00">
        <w:t xml:space="preserve">. </w:t>
      </w:r>
      <w:r w:rsidR="00770565">
        <w:t>Some authors believe that the batch process will give way to the perfusion processes as</w:t>
      </w:r>
      <w:r w:rsidR="00EA26D5">
        <w:t xml:space="preserve"> companies </w:t>
      </w:r>
      <w:r w:rsidR="006370B3">
        <w:t>continue to develop perfusion processes that exceed 5x the productivity of the batch bioreactors</w:t>
      </w:r>
      <w:r w:rsidR="005A1CD5">
        <w:t xml:space="preserve">, and as perfusion volume decrease to well below one bioreactor volume per day. </w:t>
      </w:r>
    </w:p>
    <w:p w:rsidR="005A1CD5" w:rsidP="009672AB" w:rsidRDefault="5CDC8D04" w14:paraId="539A9BEF" w14:textId="7D34BC05">
      <w:r w:rsidRPr="5CDC8D04">
        <w:t xml:space="preserve">High-density continuous perfusion cell culture and an integrated downstream provide significant advantages over traditional fed-batch processes.  Since media is continuously added to and waste products are continuously withdrawn from the bioreactor, the </w:t>
      </w:r>
      <w:r w:rsidR="00873177">
        <w:t xml:space="preserve">average </w:t>
      </w:r>
      <w:r w:rsidRPr="5CDC8D04">
        <w:t xml:space="preserve">cell </w:t>
      </w:r>
      <w:r w:rsidRPr="5CDC8D04">
        <w:lastRenderedPageBreak/>
        <w:t xml:space="preserve">density can be three to six times higher than that in fed batch, with concomitant productivity increases </w:t>
      </w:r>
      <w:r w:rsidRPr="00873177" w:rsidR="00873177">
        <w:rPr>
          <w:b/>
          <w:u w:val="double" w:color="FFFF00"/>
        </w:rPr>
        <w:t>[ref]</w:t>
      </w:r>
      <w:r w:rsidRPr="5CDC8D04">
        <w:t xml:space="preserve">. Some processes use ultrafiltration filters to retain product in the bioreactor, a process known as concentrated fed batch </w:t>
      </w:r>
      <w:r w:rsidRPr="00873177" w:rsidR="00873177">
        <w:rPr>
          <w:b/>
          <w:u w:val="double" w:color="FFFF00"/>
        </w:rPr>
        <w:t>[ref]</w:t>
      </w:r>
      <w:r w:rsidRPr="5CDC8D04">
        <w:t xml:space="preserve">. This process is less preferred, since it eliminates the benefits of continuous harvest on the cost and size of the downstream unit operations. Continuous harvest allows the downstream unit operations to be used constantly, which is a more efficient use of capital. Fed-batch and concentrated fed-batch processes require six or even as many as ten bioreactors operating in a staged approach to simulate a continuous process.  </w:t>
      </w:r>
    </w:p>
    <w:p w:rsidR="009C67CA" w:rsidP="009672AB" w:rsidRDefault="5CDC8D04" w14:paraId="03599EB3" w14:textId="44B0F5A8">
      <w:r w:rsidRPr="5CDC8D04">
        <w:t xml:space="preserve">Several perfusion bioreactors can also be run in parallel or in a staged approach. </w:t>
      </w:r>
      <w:r w:rsidR="00805718">
        <w:t>Given the assumptions shown in Table XXX, f</w:t>
      </w:r>
      <w:r w:rsidR="002E4BDF">
        <w:t>our 2000L bioreactors can produce 500kg every 20 days with a cell line capable of 40pg/cell/day</w:t>
      </w:r>
      <w:r w:rsidR="00805718">
        <w:t xml:space="preserve"> operated at </w:t>
      </w:r>
      <w:proofErr w:type="gramStart"/>
      <w:r w:rsidR="00805718">
        <w:t>a</w:t>
      </w:r>
      <w:proofErr w:type="gramEnd"/>
      <w:r w:rsidR="00805718">
        <w:t xml:space="preserve"> average cell density of 120 M cells/day</w:t>
      </w:r>
      <w:r w:rsidR="009672AB">
        <w:t xml:space="preserve"> </w:t>
      </w:r>
      <w:r w:rsidR="006A13D5">
        <w:t>[Coffman 2021]</w:t>
      </w:r>
      <w:r w:rsidR="002E4BDF">
        <w:t>. Such a cell specific productivity is high, but not rare</w:t>
      </w:r>
      <w:r w:rsidR="006A13D5">
        <w:t xml:space="preserve"> [ref]</w:t>
      </w:r>
      <w:r w:rsidR="002E4BDF">
        <w:t>. Th</w:t>
      </w:r>
      <w:r w:rsidR="00E1777B">
        <w:t>is average cell density is regularly achievable with dynamic, non-steady state perfusion [Pfizer, BI, others]. Processes that use a constant cell density</w:t>
      </w:r>
      <w:r w:rsidR="00805718">
        <w:t xml:space="preserve">, so-called steady state conditions, </w:t>
      </w:r>
      <w:r w:rsidR="00E1777B">
        <w:t>typically average between 50-75M cells/mL</w:t>
      </w:r>
      <w:r w:rsidR="009672AB">
        <w:t xml:space="preserve"> </w:t>
      </w:r>
      <w:r w:rsidRPr="00873177" w:rsidR="00873177">
        <w:rPr>
          <w:b/>
          <w:u w:val="double" w:color="FFFF00"/>
        </w:rPr>
        <w:t>[ref]</w:t>
      </w:r>
      <w:r w:rsidR="00E1777B">
        <w:t>, which would in 20 days result in a 220-330kg lot. Average cell lines with 20pg/cell/day would produce between 110kg and 250kg lots</w:t>
      </w:r>
      <w:r w:rsidR="00805718">
        <w:t xml:space="preserve"> with these two modes of perfusion</w:t>
      </w:r>
      <w:r w:rsidR="00E1777B">
        <w:t xml:space="preserve">. </w:t>
      </w:r>
    </w:p>
    <w:p w:rsidR="00370DE2" w:rsidP="009672AB" w:rsidRDefault="00370DE2" w14:paraId="1F112C1A" w14:textId="242248CE">
      <w:pPr>
        <w:rPr>
          <w:color w:val="000000"/>
        </w:rPr>
      </w:pPr>
      <w:r>
        <w:t>These bioreactors can also be used for legacy fed-batch processes. A titer of 10g/L would result in about a 13kg batch, or about 1 ton per year. While obviously not preferred, a transition to ICB will not preclude the use of the plant for legacy products.</w:t>
      </w:r>
    </w:p>
    <w:p w:rsidR="00ED4B10" w:rsidP="009672AB" w:rsidRDefault="5CDC8D04" w14:paraId="73EC7A30" w14:textId="0FEEF4CE">
      <w:r w:rsidRPr="5CDC8D04">
        <w:t xml:space="preserve">Perfusion media can be adapted directly from fed-batch media by mixing a portion of the basal media with the concentrated feed media and using this mixture directly for first generation perfusion media. </w:t>
      </w:r>
      <w:r w:rsidR="00805718">
        <w:t xml:space="preserve"> After removing components unneeded for </w:t>
      </w:r>
      <w:r w:rsidR="009672AB">
        <w:t xml:space="preserve">perfusion, </w:t>
      </w:r>
      <w:r w:rsidRPr="5CDC8D04" w:rsidR="009672AB">
        <w:t>the</w:t>
      </w:r>
      <w:r w:rsidRPr="5CDC8D04">
        <w:t xml:space="preserve"> basal media can </w:t>
      </w:r>
      <w:r w:rsidRPr="5CDC8D04" w:rsidR="00805718">
        <w:t xml:space="preserve">often </w:t>
      </w:r>
      <w:r w:rsidRPr="5CDC8D04">
        <w:t>be reconstituted at 2x to 5x higher concentration [Henry Lin, ICB 2016].  The feed media is likely already at a high concentration and can be hydrated separately from the concentrated basal media. These steps can reduce the media volume by ½ or more [Lin, IBC 2016].</w:t>
      </w:r>
      <w:r w:rsidR="00E1777B">
        <w:t xml:space="preserve"> In these examples, a 3x concentrate is assumed, and a perfusion volume of 1.5 </w:t>
      </w:r>
      <w:proofErr w:type="spellStart"/>
      <w:r w:rsidR="00E1777B">
        <w:t>vvd</w:t>
      </w:r>
      <w:proofErr w:type="spellEnd"/>
      <w:r w:rsidR="00E1777B">
        <w:t xml:space="preserve"> is assumed. The media concentrates can be added at the rate of </w:t>
      </w:r>
      <w:r w:rsidR="00805718">
        <w:t xml:space="preserve">cellular </w:t>
      </w:r>
      <w:r w:rsidR="00C2707E">
        <w:t xml:space="preserve">consumption; the diluting water or saline </w:t>
      </w:r>
      <w:r w:rsidR="00805718">
        <w:t>can be</w:t>
      </w:r>
      <w:r w:rsidR="00C2707E">
        <w:t xml:space="preserve"> added at the rate required for removing inhibiting metabolites. </w:t>
      </w:r>
      <w:r w:rsidR="00805718">
        <w:t xml:space="preserve">While these two factors vary from cell line to cell line, and company to company, the assumptions shown in Table xxx are not out of the ordinary. </w:t>
      </w:r>
    </w:p>
    <w:p w:rsidR="00C2707E" w:rsidP="009672AB" w:rsidRDefault="00C2707E" w14:paraId="0FD11966" w14:textId="3D1AA303">
      <w:r>
        <w:t xml:space="preserve">The 500kg batch requires only 80,000L of media concentrates, which can easily fit into 16 x 5,000L tanks. This tank size is suggested because it is the largest single-use container available today. </w:t>
      </w:r>
      <w:r w:rsidR="00805718">
        <w:t>Media preparation and media storage is therefore not a major consideration for the framework process</w:t>
      </w:r>
      <w:r w:rsidR="003669AC">
        <w:t xml:space="preserve"> in new facilities</w:t>
      </w:r>
      <w:r w:rsidR="00805718">
        <w:t xml:space="preserve">. </w:t>
      </w:r>
      <w:r w:rsidR="003669AC">
        <w:t xml:space="preserve"> It is a major consideration for retrofitting legacy facilities. </w:t>
      </w:r>
    </w:p>
    <w:p w:rsidR="00223381" w:rsidP="009672AB" w:rsidRDefault="00223381" w14:paraId="3AEFA2D2" w14:textId="0D4272BE">
      <w:r w:rsidR="356DEA8D">
        <w:rPr/>
        <w:t xml:space="preserve">Water production is also a consideration. The total amount of water used to dilute the media concentrates over the course of a batch is 160,000L, or which is a modest 8,000L per day. The largest rate of water production would be required for the media preparation, which can easily be spread out over the duration of the run. Thus, the water consumption rate for media preparation is not a major factor in this 4x2000L design for new facilities. It may be for retrofitting facilities. </w:t>
      </w:r>
    </w:p>
    <w:p w:rsidR="356DEA8D" w:rsidP="356DEA8D" w:rsidRDefault="356DEA8D" w14:paraId="28651C73" w14:textId="19504215">
      <w:pPr>
        <w:pStyle w:val="Normal"/>
      </w:pPr>
      <w:r w:rsidRPr="356DEA8D" w:rsidR="356DEA8D">
        <w:rPr>
          <w:rFonts w:ascii="Calibri" w:hAnsi="Calibri" w:eastAsia="Calibri" w:cs="Calibri"/>
          <w:noProof w:val="0"/>
          <w:sz w:val="24"/>
          <w:szCs w:val="24"/>
          <w:lang w:val="en-US"/>
        </w:rPr>
        <w:t xml:space="preserve">In a coincidence of design, the total volume harvested per day is 12,000L, which is the same volume as harvested from the classic 12,000L stainless steel bioreactors. As a comparison, this ICB design makes on average 38kg/day, equivalent to a 12,000L bioreactor with a modest 3g/L titer. The harvest from this continuous process occurs, however, every day for twenty days. To achieve the same productivity, the 12,000L fed-batch design would have to operate six bioreactors with a titer of 7.4g/L after 14 days. This titer is common, though not universal in the commercial space.  The difference between the two processes can be illustrated by examining the connection between the upstream and the downstream. For the 12,000L plant, the product typically flows through a 2” stainless steel pipe that requires heavy machinery to install and maintain. In the ICB plant, the product flows through a 3/8” silicone tube, which can be installed by a small GMP-compliant child. Nearly everything scales with the size of this tubing: the capital cost, the complexity, the labor required, the floor space required, and the time to build a new facility. </w:t>
      </w:r>
    </w:p>
    <w:p w:rsidR="001F039A" w:rsidP="356DEA8D" w:rsidRDefault="001F039A" w14:paraId="4A4ECF57" w14:textId="4E69677C">
      <w:pPr/>
      <w:r w:rsidR="356DEA8D">
        <w:rPr/>
        <w:t xml:space="preserve">The plant design lends itself to flexibility. The plant can start with one bioreactor, which would require only 4x5000L media tanks as indicated in Figure XXX. The single-bioreactor plant would produce between 27kg lots to 130kg lots, with a yearly capacity of between about to 1 to 2 tons. The capacity of the upstream can be expanded modularly with each additional bioreactor added. </w:t>
      </w:r>
    </w:p>
    <w:p w:rsidRPr="0087443E" w:rsidR="0041023B" w:rsidP="003C2C0D" w:rsidRDefault="00177100" w14:paraId="578E7455" w14:textId="0D5C642B">
      <w:pPr>
        <w:pStyle w:val="Heading1"/>
        <w:rPr>
          <w:rFonts w:eastAsia="Times New Roman"/>
        </w:rPr>
      </w:pPr>
      <w:r w:rsidRPr="00ED3BFD">
        <w:rPr>
          <w:rFonts w:eastAsia="Times New Roman"/>
        </w:rPr>
        <w:t xml:space="preserve">Cell Retention </w:t>
      </w:r>
    </w:p>
    <w:p w:rsidR="00ED3BFD" w:rsidP="009672AB" w:rsidRDefault="5CDC8D04" w14:paraId="5F8C3355" w14:textId="59D7EA4B">
      <w:r w:rsidRPr="5CDC8D04">
        <w:t xml:space="preserve">The cell retention step is most often an alternating tangential flow filtration (ATF) system, and sometimes a tangential flow filtration (TFF) system. Typically, ATF systems are used for 500L bioreactors and below; Two or more ATF systems may be used to support a 1000L perfusion bioreactor. Some authors have developed processes that use as many as four ATFs to support a 2000L perfusion bioreactor. </w:t>
      </w:r>
    </w:p>
    <w:p w:rsidR="00ED3BFD" w:rsidP="009672AB" w:rsidRDefault="5CDC8D04" w14:paraId="7F20D702" w14:textId="79199DE5">
      <w:pPr>
        <w:rPr>
          <w:color w:val="000000"/>
        </w:rPr>
      </w:pPr>
      <w:r w:rsidRPr="5CDC8D04">
        <w:t xml:space="preserve">Many companies have transitioned to TFF systems at 1000L bioreactors and above to avoid the need for multiple ATF systems. A single TFF system is modestly cheaper than a single ATF system.  For the 2000L scale, the capital cost for a TFF system is therefore less than ¼ that of the ATF systems. </w:t>
      </w:r>
    </w:p>
    <w:p w:rsidR="00DF2992" w:rsidP="009672AB" w:rsidRDefault="5CDC8D04" w14:paraId="722518CA" w14:textId="06E7567A">
      <w:r w:rsidRPr="5CDC8D04">
        <w:t xml:space="preserve">Some processes will require a manifold to change between membranes as they foul. ATF systems cannot be manifolded </w:t>
      </w:r>
      <w:proofErr w:type="gramStart"/>
      <w:r w:rsidRPr="5CDC8D04">
        <w:t>together, and</w:t>
      </w:r>
      <w:proofErr w:type="gramEnd"/>
      <w:r w:rsidRPr="5CDC8D04">
        <w:t xml:space="preserve"> will require an ATF pump for each. TFF housings can be daisy-chained off of a single line</w:t>
      </w:r>
      <w:r w:rsidR="001F039A">
        <w:t xml:space="preserve"> and single retentate pump</w:t>
      </w:r>
      <w:r w:rsidRPr="5CDC8D04">
        <w:t xml:space="preserve">. </w:t>
      </w:r>
    </w:p>
    <w:p w:rsidR="7C34C8D8" w:rsidP="009672AB" w:rsidRDefault="00DF2992" w14:paraId="5F4BAC7C" w14:textId="6AFEF039">
      <w:r>
        <w:t xml:space="preserve">ATF and TFF </w:t>
      </w:r>
      <w:r w:rsidRPr="7C34C8D8" w:rsidR="7C34C8D8">
        <w:t xml:space="preserve">filters can also be back flushed with perfusate or fresh media periodically. This backflushing would require a pump separate from the filtrate line. Back flushing can extend the life of the filter significantly, though we are aware of no published studies demonstrating this. </w:t>
      </w:r>
    </w:p>
    <w:p w:rsidR="00DF2992" w:rsidP="009672AB" w:rsidRDefault="5CDC8D04" w14:paraId="1EE47DC1" w14:textId="45D47EA0">
      <w:r w:rsidRPr="5CDC8D04">
        <w:t>TFF systems suffer from Starling flow [</w:t>
      </w:r>
      <w:proofErr w:type="spellStart"/>
      <w:r w:rsidRPr="5CDC8D04">
        <w:t>Radoniqi</w:t>
      </w:r>
      <w:proofErr w:type="spellEnd"/>
      <w:r w:rsidRPr="5CDC8D04">
        <w:t xml:space="preserve"> 2018, others], which causes poor filter utilization and faster fouling. This fouling causes increased product retention [Wang, et al, other references]. ATF systems use Starling flow to clean the membrane during each alternating cycle. As a result, ATF systems have better product retention profiles and possibly larger filtration capacities. </w:t>
      </w:r>
      <w:r w:rsidR="001F039A">
        <w:t xml:space="preserve">They take up considerably more floor </w:t>
      </w:r>
      <w:proofErr w:type="gramStart"/>
      <w:r w:rsidR="001F039A">
        <w:t>space, and</w:t>
      </w:r>
      <w:proofErr w:type="gramEnd"/>
      <w:r w:rsidR="001F039A">
        <w:t xml:space="preserve"> must be immediately adjacent to the bioreactor. </w:t>
      </w:r>
    </w:p>
    <w:p w:rsidR="00813DE6" w:rsidP="009672AB" w:rsidRDefault="5CDC8D04" w14:paraId="55B24E02" w14:textId="5226B0BC">
      <w:r w:rsidRPr="5CDC8D04">
        <w:lastRenderedPageBreak/>
        <w:t xml:space="preserve"> </w:t>
      </w:r>
      <w:r w:rsidR="00813DE6">
        <w:t>Starling flow can be mitigated</w:t>
      </w:r>
      <w:r w:rsidR="00ED74F9">
        <w:t xml:space="preserve"> in many ways, the easiest perhaps by the use of shorter membranes. Achieving the same filter area with shorter membrane length could require </w:t>
      </w:r>
      <w:r w:rsidR="00DF2992">
        <w:t xml:space="preserve">a </w:t>
      </w:r>
      <w:r w:rsidR="00ED74F9">
        <w:t>large number of hollow fibers, and a concomitant high</w:t>
      </w:r>
      <w:r w:rsidR="006A13D5">
        <w:t xml:space="preserve"> retentate</w:t>
      </w:r>
      <w:r w:rsidR="00ED74F9">
        <w:t xml:space="preserve"> flow rate.  Or, short membrane modules could be installed in series, each with a separate permeate pump</w:t>
      </w:r>
      <w:r w:rsidR="00DF2992">
        <w:t>, as shown in Figure XXX</w:t>
      </w:r>
      <w:r w:rsidR="00ED74F9">
        <w:t xml:space="preserve">. </w:t>
      </w:r>
      <w:r w:rsidR="00B23039">
        <w:t>The method of using stacked membrane modules each with a separate permeate pump is a relatively simple way of scaling up the TFF step</w:t>
      </w:r>
      <w:r w:rsidR="00E74D61">
        <w:t xml:space="preserve">. Such a design could enable perfusion </w:t>
      </w:r>
      <w:r w:rsidR="00DF2992">
        <w:t xml:space="preserve">up to </w:t>
      </w:r>
      <w:r w:rsidR="00E74D61">
        <w:t xml:space="preserve">12kL </w:t>
      </w:r>
      <w:r w:rsidR="00297050">
        <w:t>bioreactors</w:t>
      </w:r>
      <w:r w:rsidR="00E74D61">
        <w:t xml:space="preserve">. </w:t>
      </w:r>
    </w:p>
    <w:p w:rsidR="001F039A" w:rsidP="009672AB" w:rsidRDefault="00E43E75" w14:paraId="256B2E49" w14:textId="47A20729">
      <w:r>
        <w:t xml:space="preserve">The common framework would use </w:t>
      </w:r>
      <w:r w:rsidR="009672AB">
        <w:t>the same</w:t>
      </w:r>
      <w:r>
        <w:t xml:space="preserve"> permeate pumps for both the ATF and TFF set up.  The retentate pumps would be unique to either the ATF or TFF set up. </w:t>
      </w:r>
    </w:p>
    <w:p w:rsidR="003C2C0D" w:rsidP="009672AB" w:rsidRDefault="1872F496" w14:paraId="6B398F84" w14:textId="56A48DA0">
      <w:pPr>
        <w:rPr>
          <w:color w:val="000000"/>
        </w:rPr>
      </w:pPr>
      <w:r w:rsidRPr="1872F496">
        <w:t>Other methods of cell retention, such as inclined settling plates and spin filters, have been used by legacy perfusion bioreactor systems with low cell densities. The authors are not aware of these methods being used in modern high-density perfusion cell culture processes.</w:t>
      </w:r>
    </w:p>
    <w:p w:rsidR="1872F496" w:rsidP="1872F496" w:rsidRDefault="1872F496" w14:paraId="7D82C7C7" w14:textId="3FBE47A1">
      <w:pPr>
        <w:pStyle w:val="Heading1"/>
        <w:spacing w:line="259" w:lineRule="auto"/>
      </w:pPr>
      <w:r w:rsidRPr="1872F496">
        <w:rPr>
          <w:rFonts w:eastAsia="Times New Roman"/>
        </w:rPr>
        <w:t>Single and multicolumn chromatography</w:t>
      </w:r>
    </w:p>
    <w:p w:rsidR="1872F496" w:rsidP="009672AB" w:rsidRDefault="5CDC8D04" w14:paraId="62ED6CD0" w14:textId="53268323">
      <w:pPr>
        <w:rPr>
          <w:rFonts w:eastAsia="Times New Roman"/>
        </w:rPr>
      </w:pPr>
      <w:r w:rsidR="356DEA8D">
        <w:rPr/>
        <w:t xml:space="preserve">Multicolumn chromatography has been used in many of the authors’ downstream processes.[ref] The simplest common framework for these chromatography systems is two columns. Although many authors’ processes use more than two columns, the multicolumn nature is not used in any step but the load step: The systems use two columns during the load step to overload one column while capturing the product in the flow through onto the second column. [ref] All other steps are effectively single-column operations. Thus, the simplest embodiment of the multicolumn chromatography skid is a two-column system. This system can be used as a replacement for one or more columns without impacting the regulatory process description. More columns do, however, increase the apparent continuity of the product flow into and out of the step. Also, above a certain titer, the two-column process cannot be continuous because the load step is completed faster than the subsequent wash, elution, regeneration steps. A two-column process therefore requires a surge tank for the load when the titer exceeds a threshold. </w:t>
      </w:r>
    </w:p>
    <w:p w:rsidR="356DEA8D" w:rsidP="356DEA8D" w:rsidRDefault="356DEA8D" w14:paraId="22347C6B" w14:textId="5CD3D541">
      <w:pPr>
        <w:pStyle w:val="Normal"/>
      </w:pPr>
      <w:r w:rsidR="356DEA8D">
        <w:rPr/>
        <w:t xml:space="preserve">Existing single-column skids can be used for ICB with a surge tank. Retrofitting existing facilities to ICB should focus on converting to a perfusion bioreactor and linking the capture step. The remaining downstream can be operated periodically throughout the duration of the lot manufacture. These downstream steps can be controlled manually, if the surge tanks between the steps can hold at least three cycles of load material. Holding one day’s worth </w:t>
      </w:r>
    </w:p>
    <w:p w:rsidR="1AD3A749" w:rsidP="009672AB" w:rsidRDefault="1872F496" w14:paraId="50222222" w14:textId="2926957E">
      <w:r w:rsidRPr="1872F496">
        <w:t xml:space="preserve">In-process pool stability is a key consideration for integrated processes. The process should be integrated and continuous at least up until a stable process intermediate is obtained. At this stable intermediate, a pool of the entire bioreactor run can be made and held. This pool can be defined as the lot. </w:t>
      </w:r>
    </w:p>
    <w:p w:rsidR="1AD3A749" w:rsidP="009672AB" w:rsidRDefault="1872F496" w14:paraId="57BFA041" w14:textId="53E2C2E4">
      <w:r w:rsidRPr="1872F496">
        <w:t xml:space="preserve">The integration of these steps with the harvest step provides value by allowing a continuous or near-continuous production. The continuous harvest allows the downstream to run constantly, thus maximizing the amount of material produced by a given downstream. The continual </w:t>
      </w:r>
      <w:r w:rsidRPr="1872F496">
        <w:lastRenderedPageBreak/>
        <w:t xml:space="preserve">operation of the downstream maximizes the return on the capital investment for the entire plant.  The automation and the larger lot size </w:t>
      </w:r>
      <w:proofErr w:type="gramStart"/>
      <w:r w:rsidRPr="1872F496">
        <w:t>maximizes</w:t>
      </w:r>
      <w:proofErr w:type="gramEnd"/>
      <w:r w:rsidRPr="1872F496">
        <w:t xml:space="preserve"> the productivity of labor. </w:t>
      </w:r>
    </w:p>
    <w:p w:rsidR="1AD3A749" w:rsidP="009672AB" w:rsidRDefault="1872F496" w14:paraId="3F166871" w14:textId="4253F19C">
      <w:r w:rsidRPr="1872F496">
        <w:t>Bioburden control is a critical factor for the capture step. The step is hydraulically linked to the nominally sterile bioreactor. Media conducive to bioburden growth flows through the column for many hours during the load. Bioburden in the chromatography resin can grow quickly. There have been significant efforts to nominally sterilize the Protein A resin with gamma irradiation, caustic solutions, and oxidative solutions such as peracetic acid</w:t>
      </w:r>
      <w:r w:rsidR="00C06B54">
        <w:t xml:space="preserve"> </w:t>
      </w:r>
      <w:r w:rsidRPr="00C06B54" w:rsidR="00C06B54">
        <w:rPr>
          <w:b/>
          <w:bCs/>
        </w:rPr>
        <w:t>[ref]</w:t>
      </w:r>
      <w:r w:rsidRPr="1872F496">
        <w:t xml:space="preserve">. There exists today no commercially available Protein A chromatographic column that is validated to be sterile, and thus the potential for bioburden to enter the process through the Protein A resin must be considered. Many of the authors have successfully designed bioburden control strategies that use standard processes, and that do not require nominally sterile Protein A columns. Such bioburden control strategies are the subject of another paper. </w:t>
      </w:r>
    </w:p>
    <w:p w:rsidR="1AD3A749" w:rsidP="009672AB" w:rsidRDefault="1872F496" w14:paraId="711558FA" w14:textId="5F31E33C">
      <w:r w:rsidRPr="1872F496">
        <w:t xml:space="preserve">The lot may be pooled prior to virus inactivation. Some products may not be stable at the low pH associated with Protein A pools, and many continue the integrated process through the low-pH virus inactivation step. Raising the pH to a level that allow long-term product stability increases the ionic strength of the pool, which decreases the removal of impurities on an anion-exchange flow-through column typical of the subsequent chromatographic step. </w:t>
      </w:r>
    </w:p>
    <w:p w:rsidR="1AD3A749" w:rsidP="009672AB" w:rsidRDefault="5CDC8D04" w14:paraId="682D2415" w14:textId="0A87EFF5">
      <w:r w:rsidR="356DEA8D">
        <w:rPr/>
        <w:t xml:space="preserve">The solution and water utilization of the Protein A capture step is a major consideration, and in many cases the main bottle neck in the ICB downstream. The Protein A step is the most solution-intensive step in the process, more than two-times the volume used for the perfusion production bioreactor! The standard productivity measure used in the literature for this step, mass product per volume resin per unit time, [ref] is not the most relevant to manufacturing because the resin is almost never the limiting factor. Instead, one should consider a product mass index, or the solution mass per mass of product produced. This measure is the nearly same as the measure used to compare the environmental efficiency of processes, the Product Mass Index (PMI), which would include all raw materials and consumables in the numerator. The mass of solution used is the major contribution to the PMI for this step, even for single-use facilities. </w:t>
      </w:r>
    </w:p>
    <w:p w:rsidR="1AD3A749" w:rsidP="009672AB" w:rsidRDefault="1872F496" w14:paraId="67807C03" w14:textId="7F4CF94F">
      <w:r w:rsidRPr="1872F496">
        <w:t xml:space="preserve">The use of solution concentrates is essential to ICB. Floor space for production would be mostly solution preparation and solution storage without buffer concentrates. With five-fold concentrates, many authors have seen that the solution preparation and storge area is roughly equivalent to the production area. The volume and number of solutions drives the size, cost, complexity, and throughput of high-capacity ICB manufacturing facilities. These considerations also benefit classic batch processing, though not to the same degree. </w:t>
      </w:r>
    </w:p>
    <w:p w:rsidR="00E43E75" w:rsidP="009672AB" w:rsidRDefault="00E43E75" w14:paraId="47053EF0" w14:textId="3C965350">
      <w:r w:rsidR="356DEA8D">
        <w:rPr/>
        <w:t xml:space="preserve">The volume of solutions required scales inversely with the capacity of each column. The example provided uses 14 solutions for the entire downstream, with the exception of titration. Thus, the plant requires at least 14 large solution hold tanks. For each kg of drug substance produced, about 29L of each 5x buffer concentrate is required, or a total of 400L of buffer concentrates per kg of material produced. This PMI compares well with 2000 L of 1x buffer per kg for the two-column platform process (Kelley 2008). </w:t>
      </w:r>
    </w:p>
    <w:p w:rsidR="000842A4" w:rsidP="009672AB" w:rsidRDefault="000842A4" w14:paraId="69C2F6B7" w14:textId="513DB0CB">
      <w:r>
        <w:t xml:space="preserve">The 500kg lot would require about 24 x 5000L tanks, which is a manageable number. The single-bioreactor plant would require at least 14x5000L </w:t>
      </w:r>
      <w:proofErr w:type="gramStart"/>
      <w:r>
        <w:t>tanks, and</w:t>
      </w:r>
      <w:proofErr w:type="gramEnd"/>
      <w:r>
        <w:t xml:space="preserve"> could scale up to 24 tanks as the mass output increases, as shown in Figure XXX. The downstream equipment can easily process as little as 100g day to as much as 38,000g per day </w:t>
      </w:r>
      <w:proofErr w:type="gramStart"/>
      <w:r>
        <w:t>( Coffman</w:t>
      </w:r>
      <w:proofErr w:type="gramEnd"/>
      <w:r>
        <w:t xml:space="preserve"> 2021), and does not require modification as the number of bioreactors grow. To achieve this level of flexibility, single use downstream may have an advantage, as the tubing size can be adjusted depending </w:t>
      </w:r>
      <w:r w:rsidR="0080431D">
        <w:t>upon</w:t>
      </w:r>
      <w:r>
        <w:t xml:space="preserve"> the total flow rate required. Fixed stainless-steel plants would have the same tubing diameter independent of the amount of material processed, which may cause yield loss at the lower range of operation. </w:t>
      </w:r>
    </w:p>
    <w:p w:rsidR="005D222D" w:rsidP="009672AB" w:rsidRDefault="005D222D" w14:paraId="46B42E04" w14:textId="1E403512">
      <w:r>
        <w:t xml:space="preserve">The total water used to dilute the solutions is almost 500,000L over the course of the run. </w:t>
      </w:r>
      <w:r w:rsidR="001F56E4">
        <w:t xml:space="preserve">Including the initial solution preparation, which can be spread over the entire duration of the lot, only 35,000L of water is required per day. Including the media, the </w:t>
      </w:r>
      <w:r w:rsidR="00B749D6">
        <w:t>process</w:t>
      </w:r>
      <w:r w:rsidR="001F56E4">
        <w:t xml:space="preserve"> requires just under 50,000L of water per day, which is small compared to th</w:t>
      </w:r>
      <w:r w:rsidR="00B749D6">
        <w:t xml:space="preserve">at required for plants built on a six-pack of 12,000L bioreactors. </w:t>
      </w:r>
    </w:p>
    <w:p w:rsidR="0080431D" w:rsidP="009672AB" w:rsidRDefault="0080431D" w14:paraId="04A115DA" w14:textId="10087825">
      <w:r>
        <w:t xml:space="preserve">Using multicolumn chromatography to overload a column can increase the capacity by about 20%, with a concomitant decrease solution usage of 20%. </w:t>
      </w:r>
      <w:r w:rsidR="00B749D6">
        <w:t>S</w:t>
      </w:r>
      <w:r>
        <w:t xml:space="preserve">olution preparation and storage </w:t>
      </w:r>
      <w:r w:rsidR="00B749D6">
        <w:t>are</w:t>
      </w:r>
      <w:r>
        <w:t xml:space="preserve"> a limiting factor for ICB. </w:t>
      </w:r>
      <w:r w:rsidR="00574E5A">
        <w:t>If a cell line with a higher productivity was available,</w:t>
      </w:r>
      <w:r w:rsidR="00223381">
        <w:t xml:space="preserve"> </w:t>
      </w:r>
      <w:r w:rsidR="00574E5A">
        <w:t>t</w:t>
      </w:r>
      <w:r>
        <w:t xml:space="preserve">he use of overloaded MCC </w:t>
      </w:r>
      <w:r w:rsidR="00574E5A">
        <w:t>c</w:t>
      </w:r>
      <w:r>
        <w:t xml:space="preserve">ould increase the plant capacity from 500kg to 600kg per lot without increasing labor, raw material or consumable costs. This increase sounds significant, except that a plant could re-fill the solution storage area once </w:t>
      </w:r>
      <w:r w:rsidR="00B749D6">
        <w:t xml:space="preserve">more </w:t>
      </w:r>
      <w:r>
        <w:t xml:space="preserve">per lot and go to </w:t>
      </w:r>
      <w:proofErr w:type="gramStart"/>
      <w:r>
        <w:t>1 ton</w:t>
      </w:r>
      <w:proofErr w:type="gramEnd"/>
      <w:r>
        <w:t xml:space="preserve"> lot size with a modest increase in labor, raw material, and consumable cost. </w:t>
      </w:r>
      <w:r w:rsidR="00574E5A">
        <w:t>The common framework will work in either case.</w:t>
      </w:r>
    </w:p>
    <w:p w:rsidRPr="00C856E7" w:rsidR="00177100" w:rsidP="003C2C0D" w:rsidRDefault="1AD3A749" w14:paraId="3D05B52B" w14:textId="44737536">
      <w:pPr>
        <w:pStyle w:val="Heading1"/>
        <w:rPr>
          <w:rFonts w:eastAsia="Times New Roman"/>
          <w:color w:val="000000"/>
        </w:rPr>
      </w:pPr>
      <w:r w:rsidRPr="1AD3A749">
        <w:rPr>
          <w:rFonts w:eastAsia="Times New Roman"/>
        </w:rPr>
        <w:t>Low pH virus inactivation</w:t>
      </w:r>
    </w:p>
    <w:p w:rsidR="1AD3A749" w:rsidP="009672AB" w:rsidRDefault="1AD3A749" w14:paraId="11E96CA7" w14:textId="321CBE3C">
      <w:r w:rsidRPr="1AD3A749">
        <w:t xml:space="preserve">The low pH inactivation step typically follows the Protein A step. This step inactivates potentially adventitious and endogenous enveloped </w:t>
      </w:r>
      <w:proofErr w:type="gramStart"/>
      <w:r w:rsidRPr="1AD3A749">
        <w:t>viruses, and</w:t>
      </w:r>
      <w:proofErr w:type="gramEnd"/>
      <w:r w:rsidRPr="1AD3A749">
        <w:t xml:space="preserve"> can create product aggregates. The step can be operated in either periodic batch mode or with a continuous plug flow reactor. </w:t>
      </w:r>
      <w:r w:rsidR="00B749D6">
        <w:t xml:space="preserve">The framework process can satisfy both modes with in-line titration of </w:t>
      </w:r>
      <w:r w:rsidRPr="1AD3A749">
        <w:t xml:space="preserve">the product stream. For the batch inactivation method, this avoids the possibility of an </w:t>
      </w:r>
      <w:proofErr w:type="spellStart"/>
      <w:r w:rsidRPr="1AD3A749">
        <w:t>untitrated</w:t>
      </w:r>
      <w:proofErr w:type="spellEnd"/>
      <w:r w:rsidRPr="1AD3A749">
        <w:t xml:space="preserve"> drop of </w:t>
      </w:r>
      <w:r w:rsidRPr="1AD3A749">
        <w:lastRenderedPageBreak/>
        <w:t>product stuck to the inactivation container above the contiguous liquid level being pooled with the inactivated product</w:t>
      </w:r>
      <w:r w:rsidR="00E5303E">
        <w:t xml:space="preserve"> </w:t>
      </w:r>
      <w:r w:rsidRPr="00873177" w:rsidR="00873177">
        <w:rPr>
          <w:b/>
          <w:u w:val="double" w:color="FFFF00"/>
        </w:rPr>
        <w:t>[ref]</w:t>
      </w:r>
      <w:r w:rsidRPr="1AD3A749">
        <w:t xml:space="preserve">. Many control strategies use two tanks for batch virus inactivation: one tank to lower the pH, and another tank to hold the product pool at a low pH for the requisite amount of time. A single-tank inactivation system also has to contend with residual neutralized product from the previous cycle. The tank can be rinsed with water, which is an extra step requiring validation, and is not typically available in a single use system. Some single-use systems are made from flexible polymer liners, which can </w:t>
      </w:r>
      <w:r w:rsidR="00E5303E">
        <w:t xml:space="preserve">possibly </w:t>
      </w:r>
      <w:r w:rsidRPr="1AD3A749">
        <w:t xml:space="preserve">fold and trap </w:t>
      </w:r>
      <w:proofErr w:type="spellStart"/>
      <w:r w:rsidRPr="1AD3A749">
        <w:t>untitrated</w:t>
      </w:r>
      <w:proofErr w:type="spellEnd"/>
      <w:r w:rsidRPr="1AD3A749">
        <w:t xml:space="preserve"> product. A system that </w:t>
      </w:r>
      <w:r w:rsidRPr="1AD3A749" w:rsidR="00E5303E">
        <w:t xml:space="preserve">continuously </w:t>
      </w:r>
      <w:r w:rsidR="00E5303E">
        <w:t>acidifies</w:t>
      </w:r>
      <w:r w:rsidRPr="1AD3A749">
        <w:t xml:space="preserve"> the product </w:t>
      </w:r>
      <w:r w:rsidR="00E5303E">
        <w:t xml:space="preserve">inlet </w:t>
      </w:r>
      <w:r w:rsidRPr="1AD3A749">
        <w:t xml:space="preserve">stream to low pH </w:t>
      </w:r>
      <w:r w:rsidRPr="1AD3A749" w:rsidR="00E5303E">
        <w:t>and</w:t>
      </w:r>
      <w:r w:rsidRPr="1AD3A749">
        <w:t xml:space="preserve"> </w:t>
      </w:r>
      <w:r w:rsidR="00E5303E">
        <w:t>continuously neutralizes</w:t>
      </w:r>
      <w:r w:rsidRPr="1AD3A749">
        <w:t xml:space="preserve"> the product </w:t>
      </w:r>
      <w:r w:rsidR="00E5303E">
        <w:t xml:space="preserve">outlet </w:t>
      </w:r>
      <w:r w:rsidRPr="1AD3A749">
        <w:t xml:space="preserve">stream would eliminate these considerations. These systems would require accurate volumetric flow control of the titrant, feedback control from a pH probe, or feed-forward control from a UV sensor since the product contributes significantly to the titration. </w:t>
      </w:r>
      <w:r w:rsidR="00E5303E">
        <w:t>For typical product concentrations</w:t>
      </w:r>
      <w:r w:rsidR="00434D7F">
        <w:t>, the acid solution flow rate is proportional to the product concentration [ref Pfizer/BI patent application].</w:t>
      </w:r>
      <w:r w:rsidR="00F83B38">
        <w:t xml:space="preserve"> </w:t>
      </w:r>
    </w:p>
    <w:p w:rsidR="1AD3A749" w:rsidP="009672AB" w:rsidRDefault="1AD3A749" w14:paraId="12A9BE7B" w14:textId="12B2B12A">
      <w:r w:rsidRPr="1AD3A749">
        <w:t xml:space="preserve">For the systems that use continuous inactivation, a plug-flow reactor (PFR) is required. Many PFG designs have been published for low pH virus inactivation. Only one is currently commercially available [ref Millipore]. </w:t>
      </w:r>
      <w:r w:rsidR="002E78A9">
        <w:t xml:space="preserve">Since the amount of acid and base changes with </w:t>
      </w:r>
      <w:r w:rsidR="00B749D6">
        <w:t>product concentration</w:t>
      </w:r>
      <w:r w:rsidR="002E78A9">
        <w:t>, the stream might require dilution with water to maintain constant ionic strength. The flow rate of the water stream would also be proportional to the UV. The subsequent chromatography step must be developed accounting for variable load flow rates.</w:t>
      </w:r>
    </w:p>
    <w:p w:rsidR="1AD3A749" w:rsidP="009672AB" w:rsidRDefault="1AD3A749" w14:paraId="7848ED64" w14:textId="2AC2CE47">
      <w:r w:rsidRPr="1AD3A749">
        <w:t xml:space="preserve">The current designs suffer from a low volume utilization. Most of the space is taken up by plastic or air rather than product flow. As such, the current designs can require significantly more floor space than the Protein A step. Future designs should consider the overall floor space of the product. </w:t>
      </w:r>
    </w:p>
    <w:p w:rsidRPr="0080431D" w:rsidR="00177100" w:rsidP="009672AB" w:rsidRDefault="1AD3A749" w14:paraId="7AFA473B" w14:textId="79DB5171">
      <w:r w:rsidRPr="1AD3A749">
        <w:t>The PFR designs carefully determine the shortest residence time to determine the exposure of the product to the inactivating solution. Consideration for the later part of the residence time distribution is important for acid-labile</w:t>
      </w:r>
      <w:r w:rsidR="0089575B">
        <w:t xml:space="preserve"> proteins. Perhaps even more importantly, the latter part of the residence time distribution governs the amount of solution that is required to change over from, say, sanitization solution to a solution compatible with product contact. </w:t>
      </w:r>
    </w:p>
    <w:p w:rsidR="00297050" w:rsidP="003C2C0D" w:rsidRDefault="00297050" w14:paraId="33B31B20" w14:textId="0275706D">
      <w:pPr>
        <w:pStyle w:val="Heading1"/>
        <w:rPr>
          <w:rFonts w:eastAsia="Times New Roman"/>
        </w:rPr>
      </w:pPr>
      <w:r>
        <w:rPr>
          <w:rFonts w:eastAsia="Times New Roman"/>
        </w:rPr>
        <w:t>Virus Reduction Filter</w:t>
      </w:r>
    </w:p>
    <w:p w:rsidR="006707CD" w:rsidP="009672AB" w:rsidRDefault="5CDC8D04" w14:paraId="4CDD97C9" w14:textId="709DE2ED">
      <w:r>
        <w:t>Some authors’ processes pool the lot prior to the virus reduction filter (VRF), and some run the filter continuously as part of the end-to-end integrated process. The filter capacity is often based on the volume passing through the filter. Therefore, the filter area used is the same independent of where the lot is pooled. The flow rates for each mode are quite different. The continuous end-to-end process has about 1/20</w:t>
      </w:r>
      <w:r w:rsidRPr="5CDC8D04">
        <w:rPr>
          <w:vertAlign w:val="superscript"/>
        </w:rPr>
        <w:t>th</w:t>
      </w:r>
      <w:r>
        <w:t xml:space="preserve"> to 1/60</w:t>
      </w:r>
      <w:r w:rsidRPr="5CDC8D04">
        <w:rPr>
          <w:vertAlign w:val="superscript"/>
        </w:rPr>
        <w:t>th</w:t>
      </w:r>
      <w:r>
        <w:t xml:space="preserve"> the flow rate of the lot pooled prior </w:t>
      </w:r>
      <w:r>
        <w:lastRenderedPageBreak/>
        <w:t xml:space="preserve">to the VRF. A single use skid with a high-flow and low-flow tubing set and pumps would allow the processing of both modes of VRF. </w:t>
      </w:r>
    </w:p>
    <w:p w:rsidRPr="00297050" w:rsidR="00297050" w:rsidP="009672AB" w:rsidRDefault="00FD038A" w14:paraId="6E66C642" w14:textId="00ADA0B9">
      <w:r>
        <w:t xml:space="preserve">The continuous process may suffer from decreased virus removal factors due to transport mechanisms that act over days </w:t>
      </w:r>
      <w:r w:rsidRPr="00873177" w:rsidR="00873177">
        <w:rPr>
          <w:b/>
          <w:u w:val="double" w:color="FFFF00"/>
        </w:rPr>
        <w:t>[ref]</w:t>
      </w:r>
      <w:r>
        <w:t>, or by periodic flow pauses. The choice of filter is critical to the successful operation of the continuous VRF.</w:t>
      </w:r>
      <w:r w:rsidR="00A21D2E">
        <w:t xml:space="preserve"> </w:t>
      </w:r>
    </w:p>
    <w:p w:rsidR="00177100" w:rsidP="003C2C0D" w:rsidRDefault="006707CD" w14:paraId="76EA202B" w14:textId="46097567">
      <w:pPr>
        <w:pStyle w:val="Heading1"/>
        <w:rPr>
          <w:rFonts w:eastAsia="Times New Roman"/>
        </w:rPr>
      </w:pPr>
      <w:r>
        <w:rPr>
          <w:rFonts w:eastAsia="Times New Roman"/>
        </w:rPr>
        <w:t>Concentration and diafiltration</w:t>
      </w:r>
      <w:r w:rsidR="00297050">
        <w:rPr>
          <w:rFonts w:eastAsia="Times New Roman"/>
        </w:rPr>
        <w:t xml:space="preserve"> Step</w:t>
      </w:r>
      <w:r w:rsidR="00A21D2E">
        <w:rPr>
          <w:rFonts w:eastAsia="Times New Roman"/>
        </w:rPr>
        <w:t>s</w:t>
      </w:r>
    </w:p>
    <w:p w:rsidR="00297050" w:rsidP="009672AB" w:rsidRDefault="006707CD" w14:paraId="098DB10A" w14:textId="19A41DCE">
      <w:r>
        <w:t>The concentration and diafiltration step</w:t>
      </w:r>
      <w:r w:rsidR="00A21D2E">
        <w:t>s are</w:t>
      </w:r>
      <w:r>
        <w:t xml:space="preserve"> perhaps the most difficult to find a common </w:t>
      </w:r>
      <w:r w:rsidR="00A21D2E">
        <w:t>framework. Many processes use the same ultrafiltration and diafiltration (UFDF) set up as for batch, shown in Figure XXX A. Some may modify the UFDF step by adding a small pump and UF membrane to concentrate the product in the retentate tank over the course of the perfusion process. Some may also continuously add titrant to achieve a pH that maximizes stability. Since this setup is typically used for batch processes, we suggest that framework processes have these capabilities.</w:t>
      </w:r>
    </w:p>
    <w:p w:rsidR="00A21D2E" w:rsidP="009672AB" w:rsidRDefault="00A21D2E" w14:paraId="4818255A" w14:textId="0E17C0DB">
      <w:r>
        <w:t xml:space="preserve">Some processes use single-pass tangential flow filtration (SPTFF) to continuously concentrate the product. The product then passes through an in-line diafiltration </w:t>
      </w:r>
      <w:r w:rsidR="00085EB2">
        <w:t xml:space="preserve">(ILDF) </w:t>
      </w:r>
      <w:r>
        <w:t xml:space="preserve">step made up of several stages of dilution and SPTFF modules. These modules are most efficient when operated in a counter-current mode </w:t>
      </w:r>
      <w:r w:rsidRPr="00873177" w:rsidR="00873177">
        <w:rPr>
          <w:b/>
          <w:u w:val="double" w:color="FFFF00"/>
        </w:rPr>
        <w:t>[ref]</w:t>
      </w:r>
      <w:r>
        <w:t>. The final drug substance concentration is achieved through a final SPTFF step. Each module is associated with a membrane and a pump that is about 1/20</w:t>
      </w:r>
      <w:r w:rsidRPr="00A21D2E">
        <w:rPr>
          <w:vertAlign w:val="superscript"/>
        </w:rPr>
        <w:t>th</w:t>
      </w:r>
      <w:r>
        <w:t xml:space="preserve"> to 1/60</w:t>
      </w:r>
      <w:r w:rsidRPr="00A21D2E">
        <w:rPr>
          <w:vertAlign w:val="superscript"/>
        </w:rPr>
        <w:t>th</w:t>
      </w:r>
      <w:r>
        <w:t xml:space="preserve"> of the size of the </w:t>
      </w:r>
      <w:r w:rsidR="00085EB2">
        <w:t xml:space="preserve">other mode of operation. In the </w:t>
      </w:r>
      <w:r w:rsidR="00223381">
        <w:t>example</w:t>
      </w:r>
      <w:r w:rsidR="00085EB2">
        <w:t xml:space="preserve"> shown in Figure XXX B, the at least four pumps are required to run the SPTFF/ILDF system. The size of the pumps is not conducive to sharing equipment with the larger UFDF system in Figure XXX A. </w:t>
      </w:r>
    </w:p>
    <w:p w:rsidRPr="00297050" w:rsidR="00085EB2" w:rsidP="009672AB" w:rsidRDefault="00085EB2" w14:paraId="2D011484" w14:textId="7BA746CB">
      <w:r>
        <w:t xml:space="preserve">Even among the processes that use SPTFF/ILDF, not all use the same configuration of pumps and filters. </w:t>
      </w:r>
      <w:r w:rsidR="00511332">
        <w:t>This step requires further evolution before a consensus</w:t>
      </w:r>
      <w:r w:rsidR="00F32259">
        <w:t xml:space="preserve"> fram</w:t>
      </w:r>
      <w:r w:rsidR="00223381">
        <w:t>e</w:t>
      </w:r>
      <w:r w:rsidR="00F32259">
        <w:t>work</w:t>
      </w:r>
      <w:r w:rsidR="00511332">
        <w:t xml:space="preserve"> is reached. </w:t>
      </w:r>
    </w:p>
    <w:p w:rsidRPr="00FD038A" w:rsidR="00FD038A" w:rsidP="009672AB" w:rsidRDefault="00FD038A" w14:paraId="375B5938" w14:textId="77777777"/>
    <w:sectPr w:rsidRPr="00FD038A" w:rsidR="00FD038A" w:rsidSect="00B86A4C">
      <w:footerReference w:type="even" r:id="rId9"/>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053A9" w:rsidP="00370DE2" w:rsidRDefault="00D053A9" w14:paraId="3684B4C6" w14:textId="77777777">
      <w:pPr>
        <w:spacing w:after="0"/>
      </w:pPr>
      <w:r>
        <w:separator/>
      </w:r>
    </w:p>
  </w:endnote>
  <w:endnote w:type="continuationSeparator" w:id="0">
    <w:p w:rsidR="00D053A9" w:rsidP="00370DE2" w:rsidRDefault="00D053A9" w14:paraId="5B0B8C46"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15589919"/>
      <w:docPartObj>
        <w:docPartGallery w:val="Page Numbers (Bottom of Page)"/>
        <w:docPartUnique/>
      </w:docPartObj>
    </w:sdtPr>
    <w:sdtEndPr>
      <w:rPr>
        <w:rStyle w:val="PageNumber"/>
      </w:rPr>
    </w:sdtEndPr>
    <w:sdtContent>
      <w:p w:rsidR="00F958E0" w:rsidP="00F91ED5" w:rsidRDefault="00F958E0" w14:paraId="7D1307E6" w14:textId="7D1441EA">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70DE2" w:rsidP="00F958E0" w:rsidRDefault="00370DE2" w14:paraId="7DFB8194"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73176411"/>
      <w:docPartObj>
        <w:docPartGallery w:val="Page Numbers (Bottom of Page)"/>
        <w:docPartUnique/>
      </w:docPartObj>
    </w:sdtPr>
    <w:sdtEndPr>
      <w:rPr>
        <w:rStyle w:val="PageNumber"/>
      </w:rPr>
    </w:sdtEndPr>
    <w:sdtContent>
      <w:p w:rsidR="00F958E0" w:rsidP="00F91ED5" w:rsidRDefault="00F958E0" w14:paraId="113ADD9F" w14:textId="65BD4F7B">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rsidR="00370DE2" w:rsidP="00F958E0" w:rsidRDefault="00370DE2" w14:paraId="0645CA77"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053A9" w:rsidP="00370DE2" w:rsidRDefault="00D053A9" w14:paraId="42E6F027" w14:textId="77777777">
      <w:pPr>
        <w:spacing w:after="0"/>
      </w:pPr>
      <w:r>
        <w:separator/>
      </w:r>
    </w:p>
  </w:footnote>
  <w:footnote w:type="continuationSeparator" w:id="0">
    <w:p w:rsidR="00D053A9" w:rsidP="00370DE2" w:rsidRDefault="00D053A9" w14:paraId="4B117791"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87F5C"/>
    <w:multiLevelType w:val="hybridMultilevel"/>
    <w:tmpl w:val="670A7938"/>
    <w:lvl w:ilvl="0" w:tplc="FFFFFFFF">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53A7727"/>
    <w:multiLevelType w:val="multilevel"/>
    <w:tmpl w:val="C43A58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74419"/>
    <w:multiLevelType w:val="hybridMultilevel"/>
    <w:tmpl w:val="125EE0C8"/>
    <w:lvl w:ilvl="0" w:tplc="DE282064">
      <w:start w:val="1"/>
      <w:numFmt w:val="bullet"/>
      <w:lvlText w:val=""/>
      <w:lvlJc w:val="left"/>
      <w:pPr>
        <w:ind w:left="720" w:hanging="360"/>
      </w:pPr>
      <w:rPr>
        <w:rFonts w:hint="default" w:ascii="Symbol" w:hAnsi="Symbol"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2A850AE"/>
    <w:multiLevelType w:val="hybridMultilevel"/>
    <w:tmpl w:val="352087F2"/>
    <w:lvl w:ilvl="0" w:tplc="7D8CDC90">
      <w:start w:val="14"/>
      <w:numFmt w:val="bullet"/>
      <w:lvlText w:val=""/>
      <w:lvlJc w:val="left"/>
      <w:pPr>
        <w:ind w:left="720" w:hanging="360"/>
      </w:pPr>
      <w:rPr>
        <w:rFonts w:hint="default" w:ascii="Symbol" w:hAnsi="Symbol"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348381D"/>
    <w:multiLevelType w:val="multilevel"/>
    <w:tmpl w:val="F7AC4B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A20BD"/>
    <w:multiLevelType w:val="multilevel"/>
    <w:tmpl w:val="3A46202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AE57778"/>
    <w:multiLevelType w:val="multilevel"/>
    <w:tmpl w:val="1648079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3885A37"/>
    <w:multiLevelType w:val="multilevel"/>
    <w:tmpl w:val="93BAAF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1167C1"/>
    <w:multiLevelType w:val="hybridMultilevel"/>
    <w:tmpl w:val="D0B0AAB2"/>
    <w:lvl w:ilvl="0" w:tplc="5060025C">
      <w:start w:val="5"/>
      <w:numFmt w:val="bullet"/>
      <w:lvlText w:val=""/>
      <w:lvlJc w:val="left"/>
      <w:pPr>
        <w:ind w:left="720" w:hanging="360"/>
      </w:pPr>
      <w:rPr>
        <w:rFonts w:hint="default" w:ascii="Symbol" w:hAnsi="Symbol"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4"/>
    <w:lvlOverride w:ilvl="0">
      <w:startOverride w:val="1"/>
    </w:lvlOverride>
  </w:num>
  <w:num w:numId="2">
    <w:abstractNumId w:val="4"/>
    <w:lvlOverride w:ilvl="0"/>
    <w:lvlOverride w:ilvl="1">
      <w:startOverride w:val="1"/>
    </w:lvlOverride>
  </w:num>
  <w:num w:numId="3">
    <w:abstractNumId w:val="4"/>
    <w:lvlOverride w:ilvl="0"/>
    <w:lvlOverride w:ilvl="1">
      <w:startOverride w:val="2"/>
    </w:lvlOverride>
  </w:num>
  <w:num w:numId="4">
    <w:abstractNumId w:val="4"/>
    <w:lvlOverride w:ilvl="0"/>
    <w:lvlOverride w:ilvl="1">
      <w:startOverride w:val="1"/>
    </w:lvlOverride>
  </w:num>
  <w:num w:numId="5">
    <w:abstractNumId w:val="4"/>
    <w:lvlOverride w:ilvl="0"/>
    <w:lvlOverride w:ilvl="1">
      <w:startOverride w:val="1"/>
    </w:lvlOverride>
  </w:num>
  <w:num w:numId="6">
    <w:abstractNumId w:val="4"/>
    <w:lvlOverride w:ilvl="0"/>
    <w:lvlOverride w:ilvl="1">
      <w:startOverride w:val="1"/>
    </w:lvlOverride>
  </w:num>
  <w:num w:numId="7">
    <w:abstractNumId w:val="7"/>
    <w:lvlOverride w:ilvl="0">
      <w:startOverride w:val="5"/>
    </w:lvlOverride>
  </w:num>
  <w:num w:numId="8">
    <w:abstractNumId w:val="7"/>
    <w:lvlOverride w:ilvl="0"/>
    <w:lvlOverride w:ilvl="1">
      <w:startOverride w:val="1"/>
    </w:lvlOverride>
  </w:num>
  <w:num w:numId="9">
    <w:abstractNumId w:val="7"/>
    <w:lvlOverride w:ilvl="0"/>
    <w:lvlOverride w:ilvl="1"/>
    <w:lvlOverride w:ilvl="2">
      <w:startOverride w:val="1"/>
    </w:lvlOverride>
  </w:num>
  <w:num w:numId="10">
    <w:abstractNumId w:val="7"/>
    <w:lvlOverride w:ilvl="0"/>
    <w:lvlOverride w:ilvl="1"/>
    <w:lvlOverride w:ilvl="2"/>
    <w:lvlOverride w:ilvl="3">
      <w:startOverride w:val="1"/>
    </w:lvlOverride>
  </w:num>
  <w:num w:numId="11">
    <w:abstractNumId w:val="7"/>
    <w:lvlOverride w:ilvl="0"/>
    <w:lvlOverride w:ilvl="1"/>
    <w:lvlOverride w:ilvl="2">
      <w:startOverride w:val="1"/>
    </w:lvlOverride>
    <w:lvlOverride w:ilvl="3"/>
  </w:num>
  <w:num w:numId="12">
    <w:abstractNumId w:val="7"/>
    <w:lvlOverride w:ilvl="0"/>
    <w:lvlOverride w:ilvl="1"/>
    <w:lvlOverride w:ilvl="2"/>
    <w:lvlOverride w:ilvl="3">
      <w:startOverride w:val="1"/>
    </w:lvlOverride>
  </w:num>
  <w:num w:numId="13">
    <w:abstractNumId w:val="7"/>
    <w:lvlOverride w:ilvl="0"/>
    <w:lvlOverride w:ilvl="1"/>
    <w:lvlOverride w:ilvl="2">
      <w:startOverride w:val="1"/>
    </w:lvlOverride>
    <w:lvlOverride w:ilvl="3"/>
  </w:num>
  <w:num w:numId="14">
    <w:abstractNumId w:val="7"/>
    <w:lvlOverride w:ilvl="0"/>
    <w:lvlOverride w:ilvl="1">
      <w:startOverride w:val="1"/>
    </w:lvlOverride>
    <w:lvlOverride w:ilvl="2"/>
    <w:lvlOverride w:ilvl="3"/>
  </w:num>
  <w:num w:numId="15">
    <w:abstractNumId w:val="7"/>
    <w:lvlOverride w:ilvl="0"/>
    <w:lvlOverride w:ilvl="1"/>
    <w:lvlOverride w:ilvl="2">
      <w:startOverride w:val="1"/>
    </w:lvlOverride>
    <w:lvlOverride w:ilvl="3"/>
  </w:num>
  <w:num w:numId="16">
    <w:abstractNumId w:val="7"/>
  </w:num>
  <w:num w:numId="17">
    <w:abstractNumId w:val="7"/>
    <w:lvlOverride w:ilvl="0"/>
    <w:lvlOverride w:ilvl="1"/>
    <w:lvlOverride w:ilvl="2">
      <w:startOverride w:val="1"/>
    </w:lvlOverride>
    <w:lvlOverride w:ilvl="3"/>
  </w:num>
  <w:num w:numId="18">
    <w:abstractNumId w:val="7"/>
    <w:lvlOverride w:ilvl="0"/>
    <w:lvlOverride w:ilvl="1">
      <w:startOverride w:val="1"/>
    </w:lvlOverride>
    <w:lvlOverride w:ilvl="2"/>
    <w:lvlOverride w:ilvl="3"/>
  </w:num>
  <w:num w:numId="19">
    <w:abstractNumId w:val="7"/>
    <w:lvlOverride w:ilvl="0"/>
    <w:lvlOverride w:ilvl="1"/>
    <w:lvlOverride w:ilvl="2">
      <w:startOverride w:val="1"/>
    </w:lvlOverride>
    <w:lvlOverride w:ilvl="3"/>
  </w:num>
  <w:num w:numId="20">
    <w:abstractNumId w:val="7"/>
    <w:lvlOverride w:ilvl="0"/>
    <w:lvlOverride w:ilvl="1"/>
    <w:lvlOverride w:ilvl="2"/>
    <w:lvlOverride w:ilvl="3">
      <w:startOverride w:val="1"/>
    </w:lvlOverride>
  </w:num>
  <w:num w:numId="21">
    <w:abstractNumId w:val="7"/>
    <w:lvlOverride w:ilvl="0"/>
    <w:lvlOverride w:ilvl="1"/>
    <w:lvlOverride w:ilvl="2">
      <w:startOverride w:val="1"/>
    </w:lvlOverride>
    <w:lvlOverride w:ilvl="3"/>
  </w:num>
  <w:num w:numId="22">
    <w:abstractNumId w:val="7"/>
    <w:lvlOverride w:ilvl="0"/>
    <w:lvlOverride w:ilvl="1">
      <w:startOverride w:val="1"/>
    </w:lvlOverride>
    <w:lvlOverride w:ilvl="2"/>
    <w:lvlOverride w:ilvl="3"/>
  </w:num>
  <w:num w:numId="23">
    <w:abstractNumId w:val="7"/>
    <w:lvlOverride w:ilvl="0"/>
    <w:lvlOverride w:ilvl="1"/>
    <w:lvlOverride w:ilvl="2">
      <w:startOverride w:val="1"/>
    </w:lvlOverride>
    <w:lvlOverride w:ilvl="3"/>
  </w:num>
  <w:num w:numId="24">
    <w:abstractNumId w:val="7"/>
    <w:lvlOverride w:ilvl="0"/>
    <w:lvlOverride w:ilvl="1"/>
    <w:lvlOverride w:ilvl="2">
      <w:startOverride w:val="1"/>
    </w:lvlOverride>
    <w:lvlOverride w:ilvl="3"/>
  </w:num>
  <w:num w:numId="25">
    <w:abstractNumId w:val="5"/>
  </w:num>
  <w:num w:numId="26">
    <w:abstractNumId w:val="1"/>
    <w:lvlOverride w:ilvl="0">
      <w:startOverride w:val="10"/>
    </w:lvlOverride>
  </w:num>
  <w:num w:numId="27">
    <w:abstractNumId w:val="1"/>
    <w:lvlOverride w:ilvl="0"/>
    <w:lvlOverride w:ilvl="1">
      <w:startOverride w:val="1"/>
    </w:lvlOverride>
  </w:num>
  <w:num w:numId="28">
    <w:abstractNumId w:val="1"/>
    <w:lvlOverride w:ilvl="0"/>
    <w:lvlOverride w:ilvl="1">
      <w:startOverride w:val="1"/>
    </w:lvlOverride>
  </w:num>
  <w:num w:numId="29">
    <w:abstractNumId w:val="1"/>
    <w:lvlOverride w:ilvl="0"/>
    <w:lvlOverride w:ilvl="1">
      <w:startOverride w:val="1"/>
    </w:lvlOverride>
  </w:num>
  <w:num w:numId="30">
    <w:abstractNumId w:val="1"/>
    <w:lvlOverride w:ilvl="0"/>
    <w:lvlOverride w:ilvl="1">
      <w:startOverride w:val="1"/>
    </w:lvlOverride>
  </w:num>
  <w:num w:numId="31">
    <w:abstractNumId w:val="1"/>
    <w:lvlOverride w:ilvl="0"/>
    <w:lvlOverride w:ilvl="1"/>
    <w:lvlOverride w:ilvl="2">
      <w:startOverride w:val="1"/>
    </w:lvlOverride>
  </w:num>
  <w:num w:numId="32">
    <w:abstractNumId w:val="1"/>
    <w:lvlOverride w:ilvl="0"/>
    <w:lvlOverride w:ilvl="1">
      <w:startOverride w:val="1"/>
    </w:lvlOverride>
    <w:lvlOverride w:ilvl="2"/>
  </w:num>
  <w:num w:numId="33">
    <w:abstractNumId w:val="1"/>
    <w:lvlOverride w:ilvl="0"/>
    <w:lvlOverride w:ilvl="1"/>
    <w:lvlOverride w:ilvl="2">
      <w:startOverride w:val="1"/>
    </w:lvlOverride>
  </w:num>
  <w:num w:numId="34">
    <w:abstractNumId w:val="6"/>
    <w:lvlOverride w:ilvl="0">
      <w:startOverride w:val="1"/>
    </w:lvlOverride>
  </w:num>
  <w:num w:numId="35">
    <w:abstractNumId w:val="6"/>
    <w:lvlOverride w:ilvl="0"/>
    <w:lvlOverride w:ilvl="1">
      <w:startOverride w:val="1"/>
    </w:lvlOverride>
  </w:num>
  <w:num w:numId="36">
    <w:abstractNumId w:val="2"/>
  </w:num>
  <w:num w:numId="37">
    <w:abstractNumId w:val="0"/>
  </w:num>
  <w:num w:numId="38">
    <w:abstractNumId w:val="3"/>
  </w:num>
  <w:num w:numId="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trackRevisions w:val="false"/>
  <w:zoom w:percent="122"/>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Z style with abstract and link to full text&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BC6E78"/>
    <w:rsid w:val="000022BC"/>
    <w:rsid w:val="000058AF"/>
    <w:rsid w:val="000072E6"/>
    <w:rsid w:val="00010E24"/>
    <w:rsid w:val="00012CB3"/>
    <w:rsid w:val="00012D10"/>
    <w:rsid w:val="00017C70"/>
    <w:rsid w:val="00026752"/>
    <w:rsid w:val="000277EA"/>
    <w:rsid w:val="00034EA7"/>
    <w:rsid w:val="00045812"/>
    <w:rsid w:val="00054D84"/>
    <w:rsid w:val="0006145F"/>
    <w:rsid w:val="0006624C"/>
    <w:rsid w:val="00067703"/>
    <w:rsid w:val="0006775C"/>
    <w:rsid w:val="00071E4F"/>
    <w:rsid w:val="0007765C"/>
    <w:rsid w:val="00080CA4"/>
    <w:rsid w:val="000810BE"/>
    <w:rsid w:val="000837A9"/>
    <w:rsid w:val="000842A4"/>
    <w:rsid w:val="00085EB2"/>
    <w:rsid w:val="00086A43"/>
    <w:rsid w:val="00091F71"/>
    <w:rsid w:val="0009437C"/>
    <w:rsid w:val="00094D84"/>
    <w:rsid w:val="00096911"/>
    <w:rsid w:val="00097E72"/>
    <w:rsid w:val="000A0048"/>
    <w:rsid w:val="000A04C7"/>
    <w:rsid w:val="000A0C75"/>
    <w:rsid w:val="000A1D8F"/>
    <w:rsid w:val="000B13B4"/>
    <w:rsid w:val="000B20E2"/>
    <w:rsid w:val="000B42EF"/>
    <w:rsid w:val="000B64EE"/>
    <w:rsid w:val="000B6852"/>
    <w:rsid w:val="000C012E"/>
    <w:rsid w:val="000C198C"/>
    <w:rsid w:val="000C5F98"/>
    <w:rsid w:val="000C6159"/>
    <w:rsid w:val="000C765C"/>
    <w:rsid w:val="000F00AC"/>
    <w:rsid w:val="000F7EB4"/>
    <w:rsid w:val="00103FD6"/>
    <w:rsid w:val="001109E8"/>
    <w:rsid w:val="001231CE"/>
    <w:rsid w:val="00125DA4"/>
    <w:rsid w:val="001262C7"/>
    <w:rsid w:val="00131F05"/>
    <w:rsid w:val="00136682"/>
    <w:rsid w:val="00140D3F"/>
    <w:rsid w:val="00143246"/>
    <w:rsid w:val="001433AB"/>
    <w:rsid w:val="00144ADD"/>
    <w:rsid w:val="00153BBA"/>
    <w:rsid w:val="00155902"/>
    <w:rsid w:val="001573D6"/>
    <w:rsid w:val="00160233"/>
    <w:rsid w:val="00160544"/>
    <w:rsid w:val="0016638C"/>
    <w:rsid w:val="00173F83"/>
    <w:rsid w:val="00174A70"/>
    <w:rsid w:val="00177100"/>
    <w:rsid w:val="001814F8"/>
    <w:rsid w:val="00185949"/>
    <w:rsid w:val="001A336C"/>
    <w:rsid w:val="001A5131"/>
    <w:rsid w:val="001A63A2"/>
    <w:rsid w:val="001B0EF3"/>
    <w:rsid w:val="001B33F7"/>
    <w:rsid w:val="001B3B3F"/>
    <w:rsid w:val="001C0B46"/>
    <w:rsid w:val="001C3995"/>
    <w:rsid w:val="001C4E24"/>
    <w:rsid w:val="001D052B"/>
    <w:rsid w:val="001D25F4"/>
    <w:rsid w:val="001D2E6C"/>
    <w:rsid w:val="001D2ED0"/>
    <w:rsid w:val="001D5041"/>
    <w:rsid w:val="001D70E3"/>
    <w:rsid w:val="001D7DE1"/>
    <w:rsid w:val="001E3FBC"/>
    <w:rsid w:val="001E464B"/>
    <w:rsid w:val="001E6470"/>
    <w:rsid w:val="001E6AA2"/>
    <w:rsid w:val="001F039A"/>
    <w:rsid w:val="001F2C63"/>
    <w:rsid w:val="001F5183"/>
    <w:rsid w:val="001F56E4"/>
    <w:rsid w:val="001F6798"/>
    <w:rsid w:val="00204A09"/>
    <w:rsid w:val="00204FE4"/>
    <w:rsid w:val="00212C4B"/>
    <w:rsid w:val="00215132"/>
    <w:rsid w:val="002162E9"/>
    <w:rsid w:val="00221854"/>
    <w:rsid w:val="00223381"/>
    <w:rsid w:val="002245B2"/>
    <w:rsid w:val="00227AE6"/>
    <w:rsid w:val="00232214"/>
    <w:rsid w:val="00246B66"/>
    <w:rsid w:val="00253828"/>
    <w:rsid w:val="00254D37"/>
    <w:rsid w:val="002552B1"/>
    <w:rsid w:val="00265402"/>
    <w:rsid w:val="00265513"/>
    <w:rsid w:val="002735EF"/>
    <w:rsid w:val="002923A0"/>
    <w:rsid w:val="00292501"/>
    <w:rsid w:val="00297050"/>
    <w:rsid w:val="0029705E"/>
    <w:rsid w:val="00297CD6"/>
    <w:rsid w:val="002A139D"/>
    <w:rsid w:val="002A3957"/>
    <w:rsid w:val="002A6B55"/>
    <w:rsid w:val="002A7A96"/>
    <w:rsid w:val="002A7F19"/>
    <w:rsid w:val="002B2841"/>
    <w:rsid w:val="002B347D"/>
    <w:rsid w:val="002B4D99"/>
    <w:rsid w:val="002B57F5"/>
    <w:rsid w:val="002B7ADD"/>
    <w:rsid w:val="002C0821"/>
    <w:rsid w:val="002C096A"/>
    <w:rsid w:val="002C4D50"/>
    <w:rsid w:val="002C52D1"/>
    <w:rsid w:val="002D0690"/>
    <w:rsid w:val="002D19B9"/>
    <w:rsid w:val="002E410C"/>
    <w:rsid w:val="002E4BDF"/>
    <w:rsid w:val="002E6CDF"/>
    <w:rsid w:val="002E76B3"/>
    <w:rsid w:val="002E78A9"/>
    <w:rsid w:val="002E7E0E"/>
    <w:rsid w:val="002F258D"/>
    <w:rsid w:val="002F4DCA"/>
    <w:rsid w:val="002F6A44"/>
    <w:rsid w:val="002F7DCA"/>
    <w:rsid w:val="00306914"/>
    <w:rsid w:val="00310B6A"/>
    <w:rsid w:val="003135A1"/>
    <w:rsid w:val="00320ACC"/>
    <w:rsid w:val="003223E2"/>
    <w:rsid w:val="00322929"/>
    <w:rsid w:val="00322AB2"/>
    <w:rsid w:val="00322DB1"/>
    <w:rsid w:val="00334150"/>
    <w:rsid w:val="00350D44"/>
    <w:rsid w:val="00356CDD"/>
    <w:rsid w:val="003610EF"/>
    <w:rsid w:val="003623CC"/>
    <w:rsid w:val="0036342E"/>
    <w:rsid w:val="003634AB"/>
    <w:rsid w:val="00365C4E"/>
    <w:rsid w:val="003669AC"/>
    <w:rsid w:val="00370DE2"/>
    <w:rsid w:val="00372DCE"/>
    <w:rsid w:val="00374990"/>
    <w:rsid w:val="0037720D"/>
    <w:rsid w:val="00390EE1"/>
    <w:rsid w:val="00395EE9"/>
    <w:rsid w:val="003A0970"/>
    <w:rsid w:val="003A1A27"/>
    <w:rsid w:val="003A1F35"/>
    <w:rsid w:val="003A6A46"/>
    <w:rsid w:val="003B7DF7"/>
    <w:rsid w:val="003C1E87"/>
    <w:rsid w:val="003C2C0D"/>
    <w:rsid w:val="003C47CE"/>
    <w:rsid w:val="003C4F3C"/>
    <w:rsid w:val="003C6982"/>
    <w:rsid w:val="003C69D4"/>
    <w:rsid w:val="003D1C80"/>
    <w:rsid w:val="003D3E58"/>
    <w:rsid w:val="003D7AE6"/>
    <w:rsid w:val="003E2182"/>
    <w:rsid w:val="003E3DB9"/>
    <w:rsid w:val="003F2235"/>
    <w:rsid w:val="003F4574"/>
    <w:rsid w:val="004039A4"/>
    <w:rsid w:val="004050BB"/>
    <w:rsid w:val="0040593D"/>
    <w:rsid w:val="0041023B"/>
    <w:rsid w:val="00416725"/>
    <w:rsid w:val="004315B2"/>
    <w:rsid w:val="004321C8"/>
    <w:rsid w:val="00434601"/>
    <w:rsid w:val="00434D7F"/>
    <w:rsid w:val="0043703E"/>
    <w:rsid w:val="0044159F"/>
    <w:rsid w:val="0046157F"/>
    <w:rsid w:val="00470597"/>
    <w:rsid w:val="004723EF"/>
    <w:rsid w:val="00472D1F"/>
    <w:rsid w:val="00474359"/>
    <w:rsid w:val="004771A7"/>
    <w:rsid w:val="00487716"/>
    <w:rsid w:val="004918F7"/>
    <w:rsid w:val="004929D8"/>
    <w:rsid w:val="00496C5B"/>
    <w:rsid w:val="004A31D3"/>
    <w:rsid w:val="004B1722"/>
    <w:rsid w:val="004B599F"/>
    <w:rsid w:val="004C6925"/>
    <w:rsid w:val="004D3490"/>
    <w:rsid w:val="004E16AD"/>
    <w:rsid w:val="004E2CC9"/>
    <w:rsid w:val="004E6CA5"/>
    <w:rsid w:val="004F37CD"/>
    <w:rsid w:val="00504D4D"/>
    <w:rsid w:val="005055ED"/>
    <w:rsid w:val="00506C45"/>
    <w:rsid w:val="00511332"/>
    <w:rsid w:val="00515D62"/>
    <w:rsid w:val="00516749"/>
    <w:rsid w:val="00527D91"/>
    <w:rsid w:val="0053035C"/>
    <w:rsid w:val="005316F7"/>
    <w:rsid w:val="005371C9"/>
    <w:rsid w:val="0054142A"/>
    <w:rsid w:val="00546F8F"/>
    <w:rsid w:val="00547481"/>
    <w:rsid w:val="00550092"/>
    <w:rsid w:val="005517AF"/>
    <w:rsid w:val="0055300A"/>
    <w:rsid w:val="00553997"/>
    <w:rsid w:val="00554E63"/>
    <w:rsid w:val="005550ED"/>
    <w:rsid w:val="00555DA4"/>
    <w:rsid w:val="00562088"/>
    <w:rsid w:val="00564439"/>
    <w:rsid w:val="00565227"/>
    <w:rsid w:val="00571626"/>
    <w:rsid w:val="005746D0"/>
    <w:rsid w:val="00574E5A"/>
    <w:rsid w:val="005755F4"/>
    <w:rsid w:val="005868AA"/>
    <w:rsid w:val="0059006C"/>
    <w:rsid w:val="00590127"/>
    <w:rsid w:val="005901ED"/>
    <w:rsid w:val="00592716"/>
    <w:rsid w:val="0059432F"/>
    <w:rsid w:val="00595E2E"/>
    <w:rsid w:val="0059639F"/>
    <w:rsid w:val="005A1CD5"/>
    <w:rsid w:val="005A4C79"/>
    <w:rsid w:val="005A6E2E"/>
    <w:rsid w:val="005B790A"/>
    <w:rsid w:val="005C568C"/>
    <w:rsid w:val="005C5B42"/>
    <w:rsid w:val="005D0885"/>
    <w:rsid w:val="005D0A40"/>
    <w:rsid w:val="005D222D"/>
    <w:rsid w:val="005E2C16"/>
    <w:rsid w:val="005E52EF"/>
    <w:rsid w:val="0060435F"/>
    <w:rsid w:val="006118AC"/>
    <w:rsid w:val="00615C13"/>
    <w:rsid w:val="0062760A"/>
    <w:rsid w:val="00632F47"/>
    <w:rsid w:val="0063490A"/>
    <w:rsid w:val="00634B17"/>
    <w:rsid w:val="006370B3"/>
    <w:rsid w:val="00643F3B"/>
    <w:rsid w:val="00650571"/>
    <w:rsid w:val="006630B3"/>
    <w:rsid w:val="006661B4"/>
    <w:rsid w:val="006707CD"/>
    <w:rsid w:val="00671BE5"/>
    <w:rsid w:val="0067559B"/>
    <w:rsid w:val="00677502"/>
    <w:rsid w:val="006812C9"/>
    <w:rsid w:val="0069064B"/>
    <w:rsid w:val="00691C2F"/>
    <w:rsid w:val="00696DDE"/>
    <w:rsid w:val="006A1372"/>
    <w:rsid w:val="006A13D5"/>
    <w:rsid w:val="006A6811"/>
    <w:rsid w:val="006B1147"/>
    <w:rsid w:val="006B2852"/>
    <w:rsid w:val="006C1551"/>
    <w:rsid w:val="006C2621"/>
    <w:rsid w:val="006D4CF2"/>
    <w:rsid w:val="006F1D25"/>
    <w:rsid w:val="006F2F42"/>
    <w:rsid w:val="006F4184"/>
    <w:rsid w:val="00703C7B"/>
    <w:rsid w:val="00704F98"/>
    <w:rsid w:val="007070C6"/>
    <w:rsid w:val="00732447"/>
    <w:rsid w:val="00736313"/>
    <w:rsid w:val="00740F05"/>
    <w:rsid w:val="00745CB2"/>
    <w:rsid w:val="00752910"/>
    <w:rsid w:val="00756EC1"/>
    <w:rsid w:val="00763ADB"/>
    <w:rsid w:val="007642A8"/>
    <w:rsid w:val="00766758"/>
    <w:rsid w:val="00770565"/>
    <w:rsid w:val="0077596E"/>
    <w:rsid w:val="0078561C"/>
    <w:rsid w:val="007964A0"/>
    <w:rsid w:val="007A1419"/>
    <w:rsid w:val="007B5C00"/>
    <w:rsid w:val="007B5FAE"/>
    <w:rsid w:val="007C632B"/>
    <w:rsid w:val="007D2786"/>
    <w:rsid w:val="007E1D1C"/>
    <w:rsid w:val="007E5062"/>
    <w:rsid w:val="007E5CE5"/>
    <w:rsid w:val="007E7586"/>
    <w:rsid w:val="007F4A83"/>
    <w:rsid w:val="007F5CAB"/>
    <w:rsid w:val="0080431D"/>
    <w:rsid w:val="00805718"/>
    <w:rsid w:val="008057E5"/>
    <w:rsid w:val="008108E5"/>
    <w:rsid w:val="00811010"/>
    <w:rsid w:val="008136BE"/>
    <w:rsid w:val="00813DE6"/>
    <w:rsid w:val="00814B24"/>
    <w:rsid w:val="008200B2"/>
    <w:rsid w:val="00820327"/>
    <w:rsid w:val="00825438"/>
    <w:rsid w:val="00825DF8"/>
    <w:rsid w:val="00831D04"/>
    <w:rsid w:val="00834291"/>
    <w:rsid w:val="00835099"/>
    <w:rsid w:val="00836D65"/>
    <w:rsid w:val="00842D97"/>
    <w:rsid w:val="00843185"/>
    <w:rsid w:val="00845FA3"/>
    <w:rsid w:val="0084725F"/>
    <w:rsid w:val="00857858"/>
    <w:rsid w:val="00863F40"/>
    <w:rsid w:val="0086403C"/>
    <w:rsid w:val="00866442"/>
    <w:rsid w:val="00873177"/>
    <w:rsid w:val="00873F56"/>
    <w:rsid w:val="00874006"/>
    <w:rsid w:val="008742F8"/>
    <w:rsid w:val="0087443E"/>
    <w:rsid w:val="00880178"/>
    <w:rsid w:val="00886161"/>
    <w:rsid w:val="00893594"/>
    <w:rsid w:val="00895477"/>
    <w:rsid w:val="0089575B"/>
    <w:rsid w:val="008A7CFF"/>
    <w:rsid w:val="008A7F5C"/>
    <w:rsid w:val="008B22EA"/>
    <w:rsid w:val="008B368D"/>
    <w:rsid w:val="008B49F3"/>
    <w:rsid w:val="008C246C"/>
    <w:rsid w:val="008D5C2C"/>
    <w:rsid w:val="008E1012"/>
    <w:rsid w:val="008E6E36"/>
    <w:rsid w:val="00903475"/>
    <w:rsid w:val="00920795"/>
    <w:rsid w:val="00923D7D"/>
    <w:rsid w:val="009241A6"/>
    <w:rsid w:val="00924EE6"/>
    <w:rsid w:val="0092630C"/>
    <w:rsid w:val="0092789C"/>
    <w:rsid w:val="00940FAE"/>
    <w:rsid w:val="009553A1"/>
    <w:rsid w:val="00955B4B"/>
    <w:rsid w:val="0096127E"/>
    <w:rsid w:val="009672AB"/>
    <w:rsid w:val="00971259"/>
    <w:rsid w:val="00974EE3"/>
    <w:rsid w:val="00985396"/>
    <w:rsid w:val="00991D3F"/>
    <w:rsid w:val="00993C44"/>
    <w:rsid w:val="009953F4"/>
    <w:rsid w:val="009966B7"/>
    <w:rsid w:val="00997E56"/>
    <w:rsid w:val="009A15D0"/>
    <w:rsid w:val="009A3563"/>
    <w:rsid w:val="009A6049"/>
    <w:rsid w:val="009A71CB"/>
    <w:rsid w:val="009A75AB"/>
    <w:rsid w:val="009B1A50"/>
    <w:rsid w:val="009B3131"/>
    <w:rsid w:val="009B48BE"/>
    <w:rsid w:val="009C09BB"/>
    <w:rsid w:val="009C67CA"/>
    <w:rsid w:val="009C6A46"/>
    <w:rsid w:val="009D0086"/>
    <w:rsid w:val="009D41DC"/>
    <w:rsid w:val="009E08FD"/>
    <w:rsid w:val="009E47B3"/>
    <w:rsid w:val="009E675D"/>
    <w:rsid w:val="009E67AA"/>
    <w:rsid w:val="009F07E1"/>
    <w:rsid w:val="009F1353"/>
    <w:rsid w:val="009F1E2D"/>
    <w:rsid w:val="009F589D"/>
    <w:rsid w:val="009F63B0"/>
    <w:rsid w:val="00A01097"/>
    <w:rsid w:val="00A029EE"/>
    <w:rsid w:val="00A02F54"/>
    <w:rsid w:val="00A13C16"/>
    <w:rsid w:val="00A17648"/>
    <w:rsid w:val="00A21D2E"/>
    <w:rsid w:val="00A22994"/>
    <w:rsid w:val="00A26E73"/>
    <w:rsid w:val="00A34317"/>
    <w:rsid w:val="00A415FA"/>
    <w:rsid w:val="00A45B56"/>
    <w:rsid w:val="00A50C1A"/>
    <w:rsid w:val="00A54DD3"/>
    <w:rsid w:val="00A56A7F"/>
    <w:rsid w:val="00A576DF"/>
    <w:rsid w:val="00A57C06"/>
    <w:rsid w:val="00A60E84"/>
    <w:rsid w:val="00A64398"/>
    <w:rsid w:val="00A64A3E"/>
    <w:rsid w:val="00A71AA8"/>
    <w:rsid w:val="00A7396B"/>
    <w:rsid w:val="00A7406A"/>
    <w:rsid w:val="00A81E59"/>
    <w:rsid w:val="00A82C5F"/>
    <w:rsid w:val="00A8461B"/>
    <w:rsid w:val="00A91F3F"/>
    <w:rsid w:val="00A97AF1"/>
    <w:rsid w:val="00AA2F81"/>
    <w:rsid w:val="00AA47EC"/>
    <w:rsid w:val="00AA499C"/>
    <w:rsid w:val="00AA5616"/>
    <w:rsid w:val="00AA7CAE"/>
    <w:rsid w:val="00AB4E3F"/>
    <w:rsid w:val="00AD0B01"/>
    <w:rsid w:val="00AD1F8A"/>
    <w:rsid w:val="00AE2B46"/>
    <w:rsid w:val="00AE5911"/>
    <w:rsid w:val="00AE65F1"/>
    <w:rsid w:val="00AE797C"/>
    <w:rsid w:val="00AE7DC1"/>
    <w:rsid w:val="00AF1631"/>
    <w:rsid w:val="00AF2B48"/>
    <w:rsid w:val="00AF5CF5"/>
    <w:rsid w:val="00AF7F9E"/>
    <w:rsid w:val="00B02ECC"/>
    <w:rsid w:val="00B055BD"/>
    <w:rsid w:val="00B07506"/>
    <w:rsid w:val="00B1294E"/>
    <w:rsid w:val="00B12C70"/>
    <w:rsid w:val="00B15421"/>
    <w:rsid w:val="00B17D70"/>
    <w:rsid w:val="00B23039"/>
    <w:rsid w:val="00B31939"/>
    <w:rsid w:val="00B4001F"/>
    <w:rsid w:val="00B461BB"/>
    <w:rsid w:val="00B51208"/>
    <w:rsid w:val="00B51517"/>
    <w:rsid w:val="00B54898"/>
    <w:rsid w:val="00B57DDB"/>
    <w:rsid w:val="00B62C34"/>
    <w:rsid w:val="00B678A7"/>
    <w:rsid w:val="00B749A7"/>
    <w:rsid w:val="00B749D6"/>
    <w:rsid w:val="00B82CAD"/>
    <w:rsid w:val="00B86A4C"/>
    <w:rsid w:val="00B91E6E"/>
    <w:rsid w:val="00B95F61"/>
    <w:rsid w:val="00B9674E"/>
    <w:rsid w:val="00B96B20"/>
    <w:rsid w:val="00BA103C"/>
    <w:rsid w:val="00BA14A4"/>
    <w:rsid w:val="00BB4338"/>
    <w:rsid w:val="00BB779E"/>
    <w:rsid w:val="00BC137B"/>
    <w:rsid w:val="00BC290E"/>
    <w:rsid w:val="00BC29C2"/>
    <w:rsid w:val="00BC3F65"/>
    <w:rsid w:val="00BC6E78"/>
    <w:rsid w:val="00BD5939"/>
    <w:rsid w:val="00BD6820"/>
    <w:rsid w:val="00BE122C"/>
    <w:rsid w:val="00BE2A44"/>
    <w:rsid w:val="00BE6237"/>
    <w:rsid w:val="00BE7086"/>
    <w:rsid w:val="00BE7784"/>
    <w:rsid w:val="00BE7ED8"/>
    <w:rsid w:val="00BF6BC7"/>
    <w:rsid w:val="00C036B8"/>
    <w:rsid w:val="00C06B54"/>
    <w:rsid w:val="00C0799E"/>
    <w:rsid w:val="00C10F70"/>
    <w:rsid w:val="00C13471"/>
    <w:rsid w:val="00C151B5"/>
    <w:rsid w:val="00C220D4"/>
    <w:rsid w:val="00C26A83"/>
    <w:rsid w:val="00C2707E"/>
    <w:rsid w:val="00C27DD7"/>
    <w:rsid w:val="00C30F19"/>
    <w:rsid w:val="00C3356E"/>
    <w:rsid w:val="00C337FE"/>
    <w:rsid w:val="00C33DE1"/>
    <w:rsid w:val="00C34E54"/>
    <w:rsid w:val="00C44A97"/>
    <w:rsid w:val="00C479D2"/>
    <w:rsid w:val="00C47CE8"/>
    <w:rsid w:val="00C52D6B"/>
    <w:rsid w:val="00C61D38"/>
    <w:rsid w:val="00C630F0"/>
    <w:rsid w:val="00C64508"/>
    <w:rsid w:val="00C64A83"/>
    <w:rsid w:val="00C72820"/>
    <w:rsid w:val="00C743CE"/>
    <w:rsid w:val="00C80C4A"/>
    <w:rsid w:val="00C81FBD"/>
    <w:rsid w:val="00C83C4D"/>
    <w:rsid w:val="00C856E7"/>
    <w:rsid w:val="00C92F82"/>
    <w:rsid w:val="00C9340F"/>
    <w:rsid w:val="00C94563"/>
    <w:rsid w:val="00CB0317"/>
    <w:rsid w:val="00CB0CF7"/>
    <w:rsid w:val="00CB15D3"/>
    <w:rsid w:val="00CB4697"/>
    <w:rsid w:val="00CC0671"/>
    <w:rsid w:val="00CC22F2"/>
    <w:rsid w:val="00CC31B7"/>
    <w:rsid w:val="00CC4FBF"/>
    <w:rsid w:val="00CC6305"/>
    <w:rsid w:val="00CC65E2"/>
    <w:rsid w:val="00CC6FE3"/>
    <w:rsid w:val="00CD1C78"/>
    <w:rsid w:val="00CF3C52"/>
    <w:rsid w:val="00CF545C"/>
    <w:rsid w:val="00CF6DC7"/>
    <w:rsid w:val="00D03E28"/>
    <w:rsid w:val="00D053A9"/>
    <w:rsid w:val="00D10C4C"/>
    <w:rsid w:val="00D126DD"/>
    <w:rsid w:val="00D30B4D"/>
    <w:rsid w:val="00D31732"/>
    <w:rsid w:val="00D423F4"/>
    <w:rsid w:val="00D43D98"/>
    <w:rsid w:val="00D45736"/>
    <w:rsid w:val="00D46E46"/>
    <w:rsid w:val="00D51089"/>
    <w:rsid w:val="00D52551"/>
    <w:rsid w:val="00D56D0F"/>
    <w:rsid w:val="00D63AF3"/>
    <w:rsid w:val="00D660BD"/>
    <w:rsid w:val="00D66306"/>
    <w:rsid w:val="00D72EBB"/>
    <w:rsid w:val="00D73F3C"/>
    <w:rsid w:val="00D849D4"/>
    <w:rsid w:val="00D8548C"/>
    <w:rsid w:val="00D858A9"/>
    <w:rsid w:val="00D92D37"/>
    <w:rsid w:val="00D94071"/>
    <w:rsid w:val="00DA2B59"/>
    <w:rsid w:val="00DA36C9"/>
    <w:rsid w:val="00DA458D"/>
    <w:rsid w:val="00DA68C5"/>
    <w:rsid w:val="00DA7DD2"/>
    <w:rsid w:val="00DB105D"/>
    <w:rsid w:val="00DB25B3"/>
    <w:rsid w:val="00DB40D0"/>
    <w:rsid w:val="00DB5E13"/>
    <w:rsid w:val="00DB703D"/>
    <w:rsid w:val="00DC4A97"/>
    <w:rsid w:val="00DC5570"/>
    <w:rsid w:val="00DC731E"/>
    <w:rsid w:val="00DD12EF"/>
    <w:rsid w:val="00DD59ED"/>
    <w:rsid w:val="00DE59C4"/>
    <w:rsid w:val="00DF124F"/>
    <w:rsid w:val="00DF2992"/>
    <w:rsid w:val="00E016BD"/>
    <w:rsid w:val="00E01F11"/>
    <w:rsid w:val="00E0533A"/>
    <w:rsid w:val="00E05F5E"/>
    <w:rsid w:val="00E07A21"/>
    <w:rsid w:val="00E10A04"/>
    <w:rsid w:val="00E11C85"/>
    <w:rsid w:val="00E1777B"/>
    <w:rsid w:val="00E17AAF"/>
    <w:rsid w:val="00E3498E"/>
    <w:rsid w:val="00E34E77"/>
    <w:rsid w:val="00E37B54"/>
    <w:rsid w:val="00E401C5"/>
    <w:rsid w:val="00E43986"/>
    <w:rsid w:val="00E43DBF"/>
    <w:rsid w:val="00E43E75"/>
    <w:rsid w:val="00E47449"/>
    <w:rsid w:val="00E5303E"/>
    <w:rsid w:val="00E56A39"/>
    <w:rsid w:val="00E57122"/>
    <w:rsid w:val="00E62146"/>
    <w:rsid w:val="00E62CEE"/>
    <w:rsid w:val="00E66C81"/>
    <w:rsid w:val="00E66DFF"/>
    <w:rsid w:val="00E718F2"/>
    <w:rsid w:val="00E731A4"/>
    <w:rsid w:val="00E74D61"/>
    <w:rsid w:val="00E757F8"/>
    <w:rsid w:val="00E75F13"/>
    <w:rsid w:val="00E80E98"/>
    <w:rsid w:val="00E837C9"/>
    <w:rsid w:val="00E916B8"/>
    <w:rsid w:val="00E91969"/>
    <w:rsid w:val="00E949DC"/>
    <w:rsid w:val="00EA26D5"/>
    <w:rsid w:val="00EA41DC"/>
    <w:rsid w:val="00EC0EBB"/>
    <w:rsid w:val="00EC36AB"/>
    <w:rsid w:val="00ED0530"/>
    <w:rsid w:val="00ED3BFD"/>
    <w:rsid w:val="00ED4B10"/>
    <w:rsid w:val="00ED74F9"/>
    <w:rsid w:val="00EE203E"/>
    <w:rsid w:val="00EF2BC5"/>
    <w:rsid w:val="00EF36FD"/>
    <w:rsid w:val="00EF549E"/>
    <w:rsid w:val="00EF78FD"/>
    <w:rsid w:val="00F034BF"/>
    <w:rsid w:val="00F03B70"/>
    <w:rsid w:val="00F1376B"/>
    <w:rsid w:val="00F16520"/>
    <w:rsid w:val="00F21627"/>
    <w:rsid w:val="00F24989"/>
    <w:rsid w:val="00F32259"/>
    <w:rsid w:val="00F4420A"/>
    <w:rsid w:val="00F45F00"/>
    <w:rsid w:val="00F51C3A"/>
    <w:rsid w:val="00F536E5"/>
    <w:rsid w:val="00F60A6E"/>
    <w:rsid w:val="00F61775"/>
    <w:rsid w:val="00F642BD"/>
    <w:rsid w:val="00F668A8"/>
    <w:rsid w:val="00F77B87"/>
    <w:rsid w:val="00F82348"/>
    <w:rsid w:val="00F83B38"/>
    <w:rsid w:val="00F849E9"/>
    <w:rsid w:val="00F86CCA"/>
    <w:rsid w:val="00F92EB5"/>
    <w:rsid w:val="00F958E0"/>
    <w:rsid w:val="00F95B0E"/>
    <w:rsid w:val="00F9745C"/>
    <w:rsid w:val="00F97B88"/>
    <w:rsid w:val="00FA37F5"/>
    <w:rsid w:val="00FA3A5D"/>
    <w:rsid w:val="00FA4CBF"/>
    <w:rsid w:val="00FA7AC6"/>
    <w:rsid w:val="00FB09D9"/>
    <w:rsid w:val="00FB37C4"/>
    <w:rsid w:val="00FB7E8C"/>
    <w:rsid w:val="00FC19E5"/>
    <w:rsid w:val="00FC648D"/>
    <w:rsid w:val="00FC6945"/>
    <w:rsid w:val="00FD038A"/>
    <w:rsid w:val="00FD33CF"/>
    <w:rsid w:val="00FD379D"/>
    <w:rsid w:val="00FD6676"/>
    <w:rsid w:val="00FD6FFD"/>
    <w:rsid w:val="00FD7ED5"/>
    <w:rsid w:val="00FE34C7"/>
    <w:rsid w:val="00FF45E0"/>
    <w:rsid w:val="16B1401E"/>
    <w:rsid w:val="1872F496"/>
    <w:rsid w:val="1AD3A749"/>
    <w:rsid w:val="356DEA8D"/>
    <w:rsid w:val="5CDC8D04"/>
    <w:rsid w:val="7C34C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9788"/>
  <w15:chartTrackingRefBased/>
  <w15:docId w15:val="{05083D5B-7DD6-0E40-92E9-12452B50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EastAsia"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A7CAE"/>
    <w:pPr>
      <w:ind w:left="0"/>
    </w:pPr>
    <w:rPr>
      <w:color w:val="000000" w:themeColor="text1"/>
      <w:sz w:val="24"/>
    </w:rPr>
  </w:style>
  <w:style w:type="paragraph" w:styleId="Heading1">
    <w:name w:val="heading 1"/>
    <w:basedOn w:val="Normal"/>
    <w:next w:val="Normal"/>
    <w:link w:val="Heading1Char"/>
    <w:uiPriority w:val="9"/>
    <w:qFormat/>
    <w:rsid w:val="00B86A4C"/>
    <w:pPr>
      <w:spacing w:before="400" w:after="60" w:line="240" w:lineRule="auto"/>
      <w:contextualSpacing/>
      <w:outlineLvl w:val="0"/>
    </w:pPr>
    <w:rPr>
      <w:rFonts w:asciiTheme="majorHAnsi" w:hAnsiTheme="majorHAnsi" w:eastAsiaTheme="majorEastAsia" w:cstheme="majorBidi"/>
      <w:smallCaps/>
      <w:color w:val="212934" w:themeColor="text2" w:themeShade="7F"/>
      <w:spacing w:val="20"/>
      <w:sz w:val="32"/>
      <w:szCs w:val="32"/>
    </w:rPr>
  </w:style>
  <w:style w:type="paragraph" w:styleId="Heading2">
    <w:name w:val="heading 2"/>
    <w:basedOn w:val="Normal"/>
    <w:next w:val="Normal"/>
    <w:link w:val="Heading2Char"/>
    <w:uiPriority w:val="9"/>
    <w:unhideWhenUsed/>
    <w:qFormat/>
    <w:rsid w:val="00B86A4C"/>
    <w:pPr>
      <w:spacing w:before="120" w:after="60" w:line="240" w:lineRule="auto"/>
      <w:contextualSpacing/>
      <w:outlineLvl w:val="1"/>
    </w:pPr>
    <w:rPr>
      <w:rFonts w:asciiTheme="majorHAnsi" w:hAnsiTheme="majorHAnsi" w:eastAsiaTheme="majorEastAsia" w:cstheme="majorBidi"/>
      <w:smallCaps/>
      <w:color w:val="323E4F" w:themeColor="text2" w:themeShade="BF"/>
      <w:spacing w:val="20"/>
      <w:sz w:val="28"/>
      <w:szCs w:val="28"/>
    </w:rPr>
  </w:style>
  <w:style w:type="paragraph" w:styleId="Heading3">
    <w:name w:val="heading 3"/>
    <w:basedOn w:val="Normal"/>
    <w:next w:val="Normal"/>
    <w:link w:val="Heading3Char"/>
    <w:uiPriority w:val="9"/>
    <w:semiHidden/>
    <w:unhideWhenUsed/>
    <w:qFormat/>
    <w:rsid w:val="00B86A4C"/>
    <w:pPr>
      <w:spacing w:before="120" w:after="60" w:line="240" w:lineRule="auto"/>
      <w:contextualSpacing/>
      <w:outlineLvl w:val="2"/>
    </w:pPr>
    <w:rPr>
      <w:rFonts w:asciiTheme="majorHAnsi" w:hAnsiTheme="majorHAnsi" w:eastAsiaTheme="majorEastAsia" w:cstheme="majorBidi"/>
      <w:smallCaps/>
      <w:color w:val="44546A" w:themeColor="text2"/>
      <w:spacing w:val="20"/>
      <w:szCs w:val="24"/>
    </w:rPr>
  </w:style>
  <w:style w:type="paragraph" w:styleId="Heading4">
    <w:name w:val="heading 4"/>
    <w:basedOn w:val="Normal"/>
    <w:next w:val="Normal"/>
    <w:link w:val="Heading4Char"/>
    <w:uiPriority w:val="9"/>
    <w:semiHidden/>
    <w:unhideWhenUsed/>
    <w:qFormat/>
    <w:rsid w:val="00B86A4C"/>
    <w:pPr>
      <w:pBdr>
        <w:bottom w:val="single" w:color="98A8BD" w:themeColor="text2" w:themeTint="7F" w:sz="4" w:space="1"/>
      </w:pBdr>
      <w:spacing w:before="200" w:after="100" w:line="240" w:lineRule="auto"/>
      <w:contextualSpacing/>
      <w:outlineLvl w:val="3"/>
    </w:pPr>
    <w:rPr>
      <w:rFonts w:asciiTheme="majorHAnsi" w:hAnsiTheme="majorHAnsi" w:eastAsiaTheme="majorEastAsia" w:cstheme="majorBidi"/>
      <w:b/>
      <w:bCs/>
      <w:smallCaps/>
      <w:color w:val="657C9C" w:themeColor="text2" w:themeTint="BF"/>
      <w:spacing w:val="20"/>
    </w:rPr>
  </w:style>
  <w:style w:type="paragraph" w:styleId="Heading5">
    <w:name w:val="heading 5"/>
    <w:basedOn w:val="Normal"/>
    <w:next w:val="Normal"/>
    <w:link w:val="Heading5Char"/>
    <w:uiPriority w:val="9"/>
    <w:semiHidden/>
    <w:unhideWhenUsed/>
    <w:qFormat/>
    <w:rsid w:val="00B86A4C"/>
    <w:pPr>
      <w:pBdr>
        <w:bottom w:val="single" w:color="8496B0" w:themeColor="text2" w:themeTint="99" w:sz="4" w:space="1"/>
      </w:pBdr>
      <w:spacing w:before="200" w:after="100" w:line="240" w:lineRule="auto"/>
      <w:contextualSpacing/>
      <w:outlineLvl w:val="4"/>
    </w:pPr>
    <w:rPr>
      <w:rFonts w:asciiTheme="majorHAnsi" w:hAnsiTheme="majorHAnsi" w:eastAsiaTheme="majorEastAsia" w:cstheme="majorBidi"/>
      <w:smallCaps/>
      <w:color w:val="657C9C" w:themeColor="text2" w:themeTint="BF"/>
      <w:spacing w:val="20"/>
    </w:rPr>
  </w:style>
  <w:style w:type="paragraph" w:styleId="Heading6">
    <w:name w:val="heading 6"/>
    <w:basedOn w:val="Normal"/>
    <w:next w:val="Normal"/>
    <w:link w:val="Heading6Char"/>
    <w:uiPriority w:val="9"/>
    <w:semiHidden/>
    <w:unhideWhenUsed/>
    <w:qFormat/>
    <w:rsid w:val="00B86A4C"/>
    <w:pPr>
      <w:pBdr>
        <w:bottom w:val="dotted" w:color="747070" w:themeColor="background2" w:themeShade="7F" w:sz="8" w:space="1"/>
      </w:pBdr>
      <w:spacing w:before="200" w:after="100"/>
      <w:contextualSpacing/>
      <w:outlineLvl w:val="5"/>
    </w:pPr>
    <w:rPr>
      <w:rFonts w:asciiTheme="majorHAnsi" w:hAnsiTheme="majorHAnsi" w:eastAsiaTheme="majorEastAsia" w:cstheme="majorBidi"/>
      <w:smallCaps/>
      <w:color w:val="747070" w:themeColor="background2" w:themeShade="7F"/>
      <w:spacing w:val="20"/>
    </w:rPr>
  </w:style>
  <w:style w:type="paragraph" w:styleId="Heading7">
    <w:name w:val="heading 7"/>
    <w:basedOn w:val="Normal"/>
    <w:next w:val="Normal"/>
    <w:link w:val="Heading7Char"/>
    <w:uiPriority w:val="9"/>
    <w:semiHidden/>
    <w:unhideWhenUsed/>
    <w:qFormat/>
    <w:rsid w:val="00B86A4C"/>
    <w:pPr>
      <w:pBdr>
        <w:bottom w:val="dotted" w:color="747070" w:themeColor="background2" w:themeShade="7F" w:sz="8" w:space="1"/>
      </w:pBdr>
      <w:spacing w:before="200" w:after="100" w:line="240" w:lineRule="auto"/>
      <w:contextualSpacing/>
      <w:outlineLvl w:val="6"/>
    </w:pPr>
    <w:rPr>
      <w:rFonts w:asciiTheme="majorHAnsi" w:hAnsiTheme="majorHAnsi" w:eastAsiaTheme="majorEastAsia"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B86A4C"/>
    <w:pPr>
      <w:spacing w:before="200" w:after="60" w:line="240" w:lineRule="auto"/>
      <w:contextualSpacing/>
      <w:outlineLvl w:val="7"/>
    </w:pPr>
    <w:rPr>
      <w:rFonts w:asciiTheme="majorHAnsi" w:hAnsiTheme="majorHAnsi" w:eastAsiaTheme="majorEastAsia"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B86A4C"/>
    <w:pPr>
      <w:spacing w:before="200" w:after="60" w:line="240" w:lineRule="auto"/>
      <w:contextualSpacing/>
      <w:outlineLvl w:val="8"/>
    </w:pPr>
    <w:rPr>
      <w:rFonts w:asciiTheme="majorHAnsi" w:hAnsiTheme="majorHAnsi" w:eastAsiaTheme="majorEastAsia" w:cstheme="majorBidi"/>
      <w:smallCaps/>
      <w:color w:val="747070" w:themeColor="background2" w:themeShade="7F"/>
      <w:spacing w:val="20"/>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EndNoteBibliographyTitle" w:customStyle="1">
    <w:name w:val="EndNote Bibliography Title"/>
    <w:basedOn w:val="Normal"/>
    <w:link w:val="EndNoteBibliographyTitleChar"/>
    <w:rsid w:val="00BC6E78"/>
    <w:pPr>
      <w:jc w:val="center"/>
    </w:pPr>
    <w:rPr>
      <w:rFonts w:ascii="Calibri" w:hAnsi="Calibri" w:cs="Calibri"/>
    </w:rPr>
  </w:style>
  <w:style w:type="character" w:styleId="EndNoteBibliographyTitleChar" w:customStyle="1">
    <w:name w:val="EndNote Bibliography Title Char"/>
    <w:basedOn w:val="DefaultParagraphFont"/>
    <w:link w:val="EndNoteBibliographyTitle"/>
    <w:rsid w:val="00BC6E78"/>
    <w:rPr>
      <w:rFonts w:ascii="Calibri" w:hAnsi="Calibri" w:cs="Calibri"/>
    </w:rPr>
  </w:style>
  <w:style w:type="paragraph" w:styleId="EndNoteBibliography" w:customStyle="1">
    <w:name w:val="EndNote Bibliography"/>
    <w:basedOn w:val="Normal"/>
    <w:link w:val="EndNoteBibliographyChar"/>
    <w:rsid w:val="00BC6E78"/>
    <w:rPr>
      <w:rFonts w:ascii="Calibri" w:hAnsi="Calibri" w:cs="Calibri"/>
    </w:rPr>
  </w:style>
  <w:style w:type="character" w:styleId="EndNoteBibliographyChar" w:customStyle="1">
    <w:name w:val="EndNote Bibliography Char"/>
    <w:basedOn w:val="DefaultParagraphFont"/>
    <w:link w:val="EndNoteBibliography"/>
    <w:rsid w:val="00BC6E78"/>
    <w:rPr>
      <w:rFonts w:ascii="Calibri" w:hAnsi="Calibri" w:cs="Calibri"/>
    </w:rPr>
  </w:style>
  <w:style w:type="paragraph" w:styleId="NormalWeb">
    <w:name w:val="Normal (Web)"/>
    <w:basedOn w:val="Normal"/>
    <w:uiPriority w:val="99"/>
    <w:semiHidden/>
    <w:unhideWhenUsed/>
    <w:rsid w:val="00AA47EC"/>
    <w:pPr>
      <w:spacing w:before="100" w:beforeAutospacing="1" w:after="100" w:afterAutospacing="1"/>
    </w:pPr>
    <w:rPr>
      <w:rFonts w:ascii="Calibri" w:hAnsi="Calibri" w:cs="Calibri"/>
      <w:sz w:val="22"/>
      <w:szCs w:val="22"/>
    </w:rPr>
  </w:style>
  <w:style w:type="table" w:styleId="TableGrid">
    <w:name w:val="Table Grid"/>
    <w:basedOn w:val="TableNormal"/>
    <w:uiPriority w:val="39"/>
    <w:rsid w:val="004050B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converted-space" w:customStyle="1">
    <w:name w:val="apple-converted-space"/>
    <w:basedOn w:val="DefaultParagraphFont"/>
    <w:rsid w:val="0007765C"/>
  </w:style>
  <w:style w:type="character" w:styleId="Heading1Char" w:customStyle="1">
    <w:name w:val="Heading 1 Char"/>
    <w:basedOn w:val="DefaultParagraphFont"/>
    <w:link w:val="Heading1"/>
    <w:uiPriority w:val="9"/>
    <w:rsid w:val="00B86A4C"/>
    <w:rPr>
      <w:rFonts w:asciiTheme="majorHAnsi" w:hAnsiTheme="majorHAnsi" w:eastAsiaTheme="majorEastAsia" w:cstheme="majorBidi"/>
      <w:smallCaps/>
      <w:color w:val="212934" w:themeColor="text2" w:themeShade="7F"/>
      <w:spacing w:val="20"/>
      <w:sz w:val="32"/>
      <w:szCs w:val="32"/>
    </w:rPr>
  </w:style>
  <w:style w:type="paragraph" w:styleId="BalloonText">
    <w:name w:val="Balloon Text"/>
    <w:basedOn w:val="Normal"/>
    <w:link w:val="BalloonTextChar"/>
    <w:uiPriority w:val="99"/>
    <w:semiHidden/>
    <w:unhideWhenUsed/>
    <w:rsid w:val="000810BE"/>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0810BE"/>
    <w:rPr>
      <w:rFonts w:ascii="Times New Roman" w:hAnsi="Times New Roman" w:cs="Times New Roman"/>
      <w:sz w:val="18"/>
      <w:szCs w:val="18"/>
    </w:rPr>
  </w:style>
  <w:style w:type="character" w:styleId="Hyperlink">
    <w:name w:val="Hyperlink"/>
    <w:basedOn w:val="DefaultParagraphFont"/>
    <w:uiPriority w:val="99"/>
    <w:unhideWhenUsed/>
    <w:rsid w:val="0006624C"/>
    <w:rPr>
      <w:color w:val="0563C1" w:themeColor="hyperlink"/>
      <w:u w:val="single"/>
    </w:rPr>
  </w:style>
  <w:style w:type="character" w:styleId="UnresolvedMention">
    <w:name w:val="Unresolved Mention"/>
    <w:basedOn w:val="DefaultParagraphFont"/>
    <w:uiPriority w:val="99"/>
    <w:semiHidden/>
    <w:unhideWhenUsed/>
    <w:rsid w:val="0006624C"/>
    <w:rPr>
      <w:color w:val="605E5C"/>
      <w:shd w:val="clear" w:color="auto" w:fill="E1DFDD"/>
    </w:rPr>
  </w:style>
  <w:style w:type="character" w:styleId="FollowedHyperlink">
    <w:name w:val="FollowedHyperlink"/>
    <w:basedOn w:val="DefaultParagraphFont"/>
    <w:uiPriority w:val="99"/>
    <w:semiHidden/>
    <w:unhideWhenUsed/>
    <w:rsid w:val="001D7DE1"/>
    <w:rPr>
      <w:color w:val="954F72" w:themeColor="followedHyperlink"/>
      <w:u w:val="single"/>
    </w:rPr>
  </w:style>
  <w:style w:type="character" w:styleId="identity-handle" w:customStyle="1">
    <w:name w:val="identity-handle"/>
    <w:basedOn w:val="DefaultParagraphFont"/>
    <w:rsid w:val="00AD0B01"/>
  </w:style>
  <w:style w:type="paragraph" w:styleId="Title">
    <w:name w:val="Title"/>
    <w:next w:val="Normal"/>
    <w:link w:val="TitleChar"/>
    <w:uiPriority w:val="10"/>
    <w:qFormat/>
    <w:rsid w:val="00B86A4C"/>
    <w:pPr>
      <w:spacing w:line="240" w:lineRule="auto"/>
      <w:ind w:left="0"/>
      <w:contextualSpacing/>
    </w:pPr>
    <w:rPr>
      <w:rFonts w:asciiTheme="majorHAnsi" w:hAnsiTheme="majorHAnsi" w:eastAsiaTheme="majorEastAsia" w:cstheme="majorBidi"/>
      <w:smallCaps/>
      <w:color w:val="323E4F" w:themeColor="text2" w:themeShade="BF"/>
      <w:spacing w:val="5"/>
      <w:sz w:val="72"/>
      <w:szCs w:val="72"/>
    </w:rPr>
  </w:style>
  <w:style w:type="character" w:styleId="TitleChar" w:customStyle="1">
    <w:name w:val="Title Char"/>
    <w:basedOn w:val="DefaultParagraphFont"/>
    <w:link w:val="Title"/>
    <w:uiPriority w:val="10"/>
    <w:rsid w:val="00B86A4C"/>
    <w:rPr>
      <w:rFonts w:asciiTheme="majorHAnsi" w:hAnsiTheme="majorHAnsi" w:eastAsiaTheme="majorEastAsia" w:cstheme="majorBidi"/>
      <w:smallCaps/>
      <w:color w:val="323E4F" w:themeColor="text2" w:themeShade="BF"/>
      <w:spacing w:val="5"/>
      <w:sz w:val="72"/>
      <w:szCs w:val="72"/>
    </w:rPr>
  </w:style>
  <w:style w:type="paragraph" w:styleId="ListParagraph">
    <w:name w:val="List Paragraph"/>
    <w:basedOn w:val="Normal"/>
    <w:uiPriority w:val="34"/>
    <w:qFormat/>
    <w:rsid w:val="00B86A4C"/>
    <w:pPr>
      <w:ind w:left="720"/>
      <w:contextualSpacing/>
    </w:pPr>
  </w:style>
  <w:style w:type="table" w:styleId="GridTable1Light-Accent1">
    <w:name w:val="Grid Table 1 Light Accent 1"/>
    <w:basedOn w:val="TableNormal"/>
    <w:uiPriority w:val="46"/>
    <w:rsid w:val="009C09BB"/>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character" w:styleId="Heading2Char" w:customStyle="1">
    <w:name w:val="Heading 2 Char"/>
    <w:basedOn w:val="DefaultParagraphFont"/>
    <w:link w:val="Heading2"/>
    <w:uiPriority w:val="9"/>
    <w:rsid w:val="00B86A4C"/>
    <w:rPr>
      <w:rFonts w:asciiTheme="majorHAnsi" w:hAnsiTheme="majorHAnsi" w:eastAsiaTheme="majorEastAsia" w:cstheme="majorBidi"/>
      <w:smallCaps/>
      <w:color w:val="323E4F" w:themeColor="text2" w:themeShade="BF"/>
      <w:spacing w:val="20"/>
      <w:sz w:val="28"/>
      <w:szCs w:val="28"/>
    </w:rPr>
  </w:style>
  <w:style w:type="paragraph" w:styleId="CommentText">
    <w:name w:val="annotation text"/>
    <w:basedOn w:val="Normal"/>
    <w:link w:val="CommentTextChar"/>
    <w:uiPriority w:val="99"/>
    <w:semiHidden/>
    <w:unhideWhenUsed/>
    <w:rsid w:val="001A5131"/>
  </w:style>
  <w:style w:type="character" w:styleId="CommentTextChar" w:customStyle="1">
    <w:name w:val="Comment Text Char"/>
    <w:basedOn w:val="DefaultParagraphFont"/>
    <w:link w:val="CommentText"/>
    <w:uiPriority w:val="99"/>
    <w:semiHidden/>
    <w:rsid w:val="001A5131"/>
    <w:rPr>
      <w:sz w:val="20"/>
      <w:szCs w:val="20"/>
    </w:rPr>
  </w:style>
  <w:style w:type="character" w:styleId="CommentReference">
    <w:name w:val="annotation reference"/>
    <w:basedOn w:val="DefaultParagraphFont"/>
    <w:uiPriority w:val="99"/>
    <w:semiHidden/>
    <w:unhideWhenUsed/>
    <w:rsid w:val="001A5131"/>
    <w:rPr>
      <w:sz w:val="16"/>
      <w:szCs w:val="16"/>
    </w:rPr>
  </w:style>
  <w:style w:type="paragraph" w:styleId="Header">
    <w:name w:val="header"/>
    <w:basedOn w:val="Normal"/>
    <w:link w:val="HeaderChar"/>
    <w:uiPriority w:val="99"/>
    <w:unhideWhenUsed/>
    <w:rsid w:val="00370DE2"/>
    <w:pPr>
      <w:tabs>
        <w:tab w:val="center" w:pos="4680"/>
        <w:tab w:val="right" w:pos="9360"/>
      </w:tabs>
    </w:pPr>
  </w:style>
  <w:style w:type="character" w:styleId="HeaderChar" w:customStyle="1">
    <w:name w:val="Header Char"/>
    <w:basedOn w:val="DefaultParagraphFont"/>
    <w:link w:val="Header"/>
    <w:uiPriority w:val="99"/>
    <w:rsid w:val="00370DE2"/>
  </w:style>
  <w:style w:type="paragraph" w:styleId="Footer">
    <w:name w:val="footer"/>
    <w:basedOn w:val="Normal"/>
    <w:link w:val="FooterChar"/>
    <w:uiPriority w:val="99"/>
    <w:unhideWhenUsed/>
    <w:rsid w:val="00370DE2"/>
    <w:pPr>
      <w:tabs>
        <w:tab w:val="center" w:pos="4680"/>
        <w:tab w:val="right" w:pos="9360"/>
      </w:tabs>
    </w:pPr>
  </w:style>
  <w:style w:type="character" w:styleId="FooterChar" w:customStyle="1">
    <w:name w:val="Footer Char"/>
    <w:basedOn w:val="DefaultParagraphFont"/>
    <w:link w:val="Footer"/>
    <w:uiPriority w:val="99"/>
    <w:rsid w:val="00370DE2"/>
  </w:style>
  <w:style w:type="character" w:styleId="PageNumber">
    <w:name w:val="page number"/>
    <w:basedOn w:val="DefaultParagraphFont"/>
    <w:uiPriority w:val="99"/>
    <w:semiHidden/>
    <w:unhideWhenUsed/>
    <w:rsid w:val="00F958E0"/>
  </w:style>
  <w:style w:type="character" w:styleId="Heading3Char" w:customStyle="1">
    <w:name w:val="Heading 3 Char"/>
    <w:basedOn w:val="DefaultParagraphFont"/>
    <w:link w:val="Heading3"/>
    <w:uiPriority w:val="9"/>
    <w:semiHidden/>
    <w:rsid w:val="00B86A4C"/>
    <w:rPr>
      <w:rFonts w:asciiTheme="majorHAnsi" w:hAnsiTheme="majorHAnsi" w:eastAsiaTheme="majorEastAsia" w:cstheme="majorBidi"/>
      <w:smallCaps/>
      <w:color w:val="44546A" w:themeColor="text2"/>
      <w:spacing w:val="20"/>
      <w:sz w:val="24"/>
      <w:szCs w:val="24"/>
    </w:rPr>
  </w:style>
  <w:style w:type="character" w:styleId="Heading4Char" w:customStyle="1">
    <w:name w:val="Heading 4 Char"/>
    <w:basedOn w:val="DefaultParagraphFont"/>
    <w:link w:val="Heading4"/>
    <w:uiPriority w:val="9"/>
    <w:semiHidden/>
    <w:rsid w:val="00B86A4C"/>
    <w:rPr>
      <w:rFonts w:asciiTheme="majorHAnsi" w:hAnsiTheme="majorHAnsi" w:eastAsiaTheme="majorEastAsia" w:cstheme="majorBidi"/>
      <w:b/>
      <w:bCs/>
      <w:smallCaps/>
      <w:color w:val="657C9C" w:themeColor="text2" w:themeTint="BF"/>
      <w:spacing w:val="20"/>
    </w:rPr>
  </w:style>
  <w:style w:type="character" w:styleId="Heading5Char" w:customStyle="1">
    <w:name w:val="Heading 5 Char"/>
    <w:basedOn w:val="DefaultParagraphFont"/>
    <w:link w:val="Heading5"/>
    <w:uiPriority w:val="9"/>
    <w:semiHidden/>
    <w:rsid w:val="00B86A4C"/>
    <w:rPr>
      <w:rFonts w:asciiTheme="majorHAnsi" w:hAnsiTheme="majorHAnsi" w:eastAsiaTheme="majorEastAsia" w:cstheme="majorBidi"/>
      <w:smallCaps/>
      <w:color w:val="657C9C" w:themeColor="text2" w:themeTint="BF"/>
      <w:spacing w:val="20"/>
    </w:rPr>
  </w:style>
  <w:style w:type="character" w:styleId="Heading6Char" w:customStyle="1">
    <w:name w:val="Heading 6 Char"/>
    <w:basedOn w:val="DefaultParagraphFont"/>
    <w:link w:val="Heading6"/>
    <w:uiPriority w:val="9"/>
    <w:semiHidden/>
    <w:rsid w:val="00B86A4C"/>
    <w:rPr>
      <w:rFonts w:asciiTheme="majorHAnsi" w:hAnsiTheme="majorHAnsi" w:eastAsiaTheme="majorEastAsia" w:cstheme="majorBidi"/>
      <w:smallCaps/>
      <w:color w:val="747070" w:themeColor="background2" w:themeShade="7F"/>
      <w:spacing w:val="20"/>
    </w:rPr>
  </w:style>
  <w:style w:type="character" w:styleId="Heading7Char" w:customStyle="1">
    <w:name w:val="Heading 7 Char"/>
    <w:basedOn w:val="DefaultParagraphFont"/>
    <w:link w:val="Heading7"/>
    <w:uiPriority w:val="9"/>
    <w:semiHidden/>
    <w:rsid w:val="00B86A4C"/>
    <w:rPr>
      <w:rFonts w:asciiTheme="majorHAnsi" w:hAnsiTheme="majorHAnsi" w:eastAsiaTheme="majorEastAsia" w:cstheme="majorBidi"/>
      <w:b/>
      <w:bCs/>
      <w:smallCaps/>
      <w:color w:val="747070" w:themeColor="background2" w:themeShade="7F"/>
      <w:spacing w:val="20"/>
      <w:sz w:val="16"/>
      <w:szCs w:val="16"/>
    </w:rPr>
  </w:style>
  <w:style w:type="character" w:styleId="Heading8Char" w:customStyle="1">
    <w:name w:val="Heading 8 Char"/>
    <w:basedOn w:val="DefaultParagraphFont"/>
    <w:link w:val="Heading8"/>
    <w:uiPriority w:val="9"/>
    <w:semiHidden/>
    <w:rsid w:val="00B86A4C"/>
    <w:rPr>
      <w:rFonts w:asciiTheme="majorHAnsi" w:hAnsiTheme="majorHAnsi" w:eastAsiaTheme="majorEastAsia" w:cstheme="majorBidi"/>
      <w:b/>
      <w:smallCaps/>
      <w:color w:val="747070" w:themeColor="background2" w:themeShade="7F"/>
      <w:spacing w:val="20"/>
      <w:sz w:val="16"/>
      <w:szCs w:val="16"/>
    </w:rPr>
  </w:style>
  <w:style w:type="character" w:styleId="Heading9Char" w:customStyle="1">
    <w:name w:val="Heading 9 Char"/>
    <w:basedOn w:val="DefaultParagraphFont"/>
    <w:link w:val="Heading9"/>
    <w:uiPriority w:val="9"/>
    <w:semiHidden/>
    <w:rsid w:val="00B86A4C"/>
    <w:rPr>
      <w:rFonts w:asciiTheme="majorHAnsi" w:hAnsiTheme="majorHAnsi" w:eastAsiaTheme="majorEastAsia" w:cstheme="majorBidi"/>
      <w:smallCaps/>
      <w:color w:val="747070" w:themeColor="background2" w:themeShade="7F"/>
      <w:spacing w:val="20"/>
      <w:sz w:val="16"/>
      <w:szCs w:val="16"/>
    </w:rPr>
  </w:style>
  <w:style w:type="paragraph" w:styleId="Caption">
    <w:name w:val="caption"/>
    <w:basedOn w:val="Normal"/>
    <w:next w:val="Normal"/>
    <w:uiPriority w:val="35"/>
    <w:semiHidden/>
    <w:unhideWhenUsed/>
    <w:qFormat/>
    <w:rsid w:val="00B86A4C"/>
    <w:rPr>
      <w:b/>
      <w:bCs/>
      <w:smallCaps/>
      <w:color w:val="44546A" w:themeColor="text2"/>
      <w:spacing w:val="10"/>
      <w:sz w:val="18"/>
      <w:szCs w:val="18"/>
    </w:rPr>
  </w:style>
  <w:style w:type="paragraph" w:styleId="Subtitle">
    <w:name w:val="Subtitle"/>
    <w:next w:val="Normal"/>
    <w:link w:val="SubtitleChar"/>
    <w:uiPriority w:val="11"/>
    <w:qFormat/>
    <w:rsid w:val="00B86A4C"/>
    <w:pPr>
      <w:spacing w:after="600" w:line="240" w:lineRule="auto"/>
      <w:ind w:left="0"/>
    </w:pPr>
    <w:rPr>
      <w:smallCaps/>
      <w:color w:val="747070" w:themeColor="background2" w:themeShade="7F"/>
      <w:spacing w:val="5"/>
      <w:sz w:val="28"/>
      <w:szCs w:val="28"/>
    </w:rPr>
  </w:style>
  <w:style w:type="character" w:styleId="SubtitleChar" w:customStyle="1">
    <w:name w:val="Subtitle Char"/>
    <w:basedOn w:val="DefaultParagraphFont"/>
    <w:link w:val="Subtitle"/>
    <w:uiPriority w:val="11"/>
    <w:rsid w:val="00B86A4C"/>
    <w:rPr>
      <w:smallCaps/>
      <w:color w:val="747070" w:themeColor="background2" w:themeShade="7F"/>
      <w:spacing w:val="5"/>
      <w:sz w:val="28"/>
      <w:szCs w:val="28"/>
    </w:rPr>
  </w:style>
  <w:style w:type="character" w:styleId="Strong">
    <w:name w:val="Strong"/>
    <w:uiPriority w:val="22"/>
    <w:qFormat/>
    <w:rsid w:val="00B86A4C"/>
    <w:rPr>
      <w:b/>
      <w:bCs/>
      <w:spacing w:val="0"/>
    </w:rPr>
  </w:style>
  <w:style w:type="character" w:styleId="Emphasis">
    <w:name w:val="Emphasis"/>
    <w:uiPriority w:val="20"/>
    <w:qFormat/>
    <w:rsid w:val="00B86A4C"/>
    <w:rPr>
      <w:b/>
      <w:bCs/>
      <w:smallCaps/>
      <w:dstrike w:val="0"/>
      <w:color w:val="5A5A5A" w:themeColor="text1" w:themeTint="A5"/>
      <w:spacing w:val="20"/>
      <w:kern w:val="0"/>
      <w:vertAlign w:val="baseline"/>
    </w:rPr>
  </w:style>
  <w:style w:type="paragraph" w:styleId="NoSpacing">
    <w:name w:val="No Spacing"/>
    <w:basedOn w:val="Normal"/>
    <w:uiPriority w:val="1"/>
    <w:qFormat/>
    <w:rsid w:val="00B86A4C"/>
    <w:pPr>
      <w:spacing w:after="0" w:line="240" w:lineRule="auto"/>
    </w:pPr>
  </w:style>
  <w:style w:type="paragraph" w:styleId="Quote">
    <w:name w:val="Quote"/>
    <w:basedOn w:val="Normal"/>
    <w:next w:val="Normal"/>
    <w:link w:val="QuoteChar"/>
    <w:uiPriority w:val="29"/>
    <w:qFormat/>
    <w:rsid w:val="00B86A4C"/>
    <w:rPr>
      <w:i/>
      <w:iCs/>
    </w:rPr>
  </w:style>
  <w:style w:type="character" w:styleId="QuoteChar" w:customStyle="1">
    <w:name w:val="Quote Char"/>
    <w:basedOn w:val="DefaultParagraphFont"/>
    <w:link w:val="Quote"/>
    <w:uiPriority w:val="29"/>
    <w:rsid w:val="00B86A4C"/>
    <w:rPr>
      <w:i/>
      <w:iCs/>
      <w:color w:val="5A5A5A" w:themeColor="text1" w:themeTint="A5"/>
    </w:rPr>
  </w:style>
  <w:style w:type="paragraph" w:styleId="IntenseQuote">
    <w:name w:val="Intense Quote"/>
    <w:basedOn w:val="Normal"/>
    <w:next w:val="Normal"/>
    <w:link w:val="IntenseQuoteChar"/>
    <w:uiPriority w:val="30"/>
    <w:qFormat/>
    <w:rsid w:val="00B86A4C"/>
    <w:pPr>
      <w:pBdr>
        <w:top w:val="single" w:color="7295D2" w:themeColor="accent1" w:themeTint="BF" w:sz="4" w:space="12"/>
        <w:left w:val="single" w:color="7295D2" w:themeColor="accent1" w:themeTint="BF" w:sz="4" w:space="15"/>
        <w:bottom w:val="single" w:color="2F5496" w:themeColor="accent1" w:themeShade="BF" w:sz="12" w:space="10"/>
        <w:right w:val="single" w:color="2F5496" w:themeColor="accent1" w:themeShade="BF" w:sz="12" w:space="15"/>
        <w:between w:val="single" w:color="7295D2" w:themeColor="accent1" w:themeTint="BF" w:sz="4" w:space="12"/>
        <w:bar w:val="single" w:color="7295D2" w:themeColor="accent1" w:themeTint="BF" w:sz="4"/>
      </w:pBdr>
      <w:spacing w:line="300" w:lineRule="auto"/>
      <w:ind w:left="2506" w:right="432"/>
    </w:pPr>
    <w:rPr>
      <w:rFonts w:asciiTheme="majorHAnsi" w:hAnsiTheme="majorHAnsi" w:eastAsiaTheme="majorEastAsia" w:cstheme="majorBidi"/>
      <w:smallCaps/>
      <w:color w:val="2F5496" w:themeColor="accent1" w:themeShade="BF"/>
    </w:rPr>
  </w:style>
  <w:style w:type="character" w:styleId="IntenseQuoteChar" w:customStyle="1">
    <w:name w:val="Intense Quote Char"/>
    <w:basedOn w:val="DefaultParagraphFont"/>
    <w:link w:val="IntenseQuote"/>
    <w:uiPriority w:val="30"/>
    <w:rsid w:val="00B86A4C"/>
    <w:rPr>
      <w:rFonts w:asciiTheme="majorHAnsi" w:hAnsiTheme="majorHAnsi" w:eastAsiaTheme="majorEastAsia" w:cstheme="majorBidi"/>
      <w:smallCaps/>
      <w:color w:val="2F5496" w:themeColor="accent1" w:themeShade="BF"/>
    </w:rPr>
  </w:style>
  <w:style w:type="character" w:styleId="SubtleEmphasis">
    <w:name w:val="Subtle Emphasis"/>
    <w:uiPriority w:val="19"/>
    <w:qFormat/>
    <w:rsid w:val="00B86A4C"/>
    <w:rPr>
      <w:smallCaps/>
      <w:dstrike w:val="0"/>
      <w:color w:val="5A5A5A" w:themeColor="text1" w:themeTint="A5"/>
      <w:vertAlign w:val="baseline"/>
    </w:rPr>
  </w:style>
  <w:style w:type="character" w:styleId="IntenseEmphasis">
    <w:name w:val="Intense Emphasis"/>
    <w:uiPriority w:val="21"/>
    <w:qFormat/>
    <w:rsid w:val="00B86A4C"/>
    <w:rPr>
      <w:b/>
      <w:bCs/>
      <w:smallCaps/>
      <w:color w:val="4472C4" w:themeColor="accent1"/>
      <w:spacing w:val="40"/>
    </w:rPr>
  </w:style>
  <w:style w:type="character" w:styleId="SubtleReference">
    <w:name w:val="Subtle Reference"/>
    <w:uiPriority w:val="31"/>
    <w:qFormat/>
    <w:rsid w:val="00B86A4C"/>
    <w:rPr>
      <w:rFonts w:asciiTheme="majorHAnsi" w:hAnsiTheme="majorHAnsi" w:eastAsiaTheme="majorEastAsia" w:cstheme="majorBidi"/>
      <w:i/>
      <w:iCs/>
      <w:smallCaps/>
      <w:color w:val="5A5A5A" w:themeColor="text1" w:themeTint="A5"/>
      <w:spacing w:val="20"/>
    </w:rPr>
  </w:style>
  <w:style w:type="character" w:styleId="IntenseReference">
    <w:name w:val="Intense Reference"/>
    <w:uiPriority w:val="32"/>
    <w:qFormat/>
    <w:rsid w:val="00B86A4C"/>
    <w:rPr>
      <w:rFonts w:asciiTheme="majorHAnsi" w:hAnsiTheme="majorHAnsi" w:eastAsiaTheme="majorEastAsia" w:cstheme="majorBidi"/>
      <w:b/>
      <w:bCs/>
      <w:i/>
      <w:iCs/>
      <w:smallCaps/>
      <w:color w:val="323E4F" w:themeColor="text2" w:themeShade="BF"/>
      <w:spacing w:val="20"/>
    </w:rPr>
  </w:style>
  <w:style w:type="character" w:styleId="BookTitle">
    <w:name w:val="Book Title"/>
    <w:uiPriority w:val="33"/>
    <w:qFormat/>
    <w:rsid w:val="00B86A4C"/>
    <w:rPr>
      <w:rFonts w:asciiTheme="majorHAnsi" w:hAnsiTheme="majorHAnsi" w:eastAsiaTheme="majorEastAsia" w:cstheme="majorBidi"/>
      <w:b/>
      <w:bCs/>
      <w:smallCaps/>
      <w:color w:val="323E4F" w:themeColor="text2" w:themeShade="BF"/>
      <w:spacing w:val="10"/>
      <w:u w:val="single"/>
    </w:rPr>
  </w:style>
  <w:style w:type="paragraph" w:styleId="TOCHeading">
    <w:name w:val="TOC Heading"/>
    <w:basedOn w:val="Heading1"/>
    <w:next w:val="Normal"/>
    <w:uiPriority w:val="39"/>
    <w:semiHidden/>
    <w:unhideWhenUsed/>
    <w:qFormat/>
    <w:rsid w:val="00B86A4C"/>
    <w:pPr>
      <w:outlineLvl w:val="9"/>
    </w:pPr>
  </w:style>
  <w:style w:type="paragraph" w:styleId="Revision">
    <w:name w:val="Revision"/>
    <w:hidden/>
    <w:uiPriority w:val="99"/>
    <w:semiHidden/>
    <w:rsid w:val="00873177"/>
    <w:pPr>
      <w:spacing w:after="0" w:line="240" w:lineRule="auto"/>
      <w:ind w:left="0"/>
    </w:pPr>
    <w:rPr>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06522">
      <w:bodyDiv w:val="1"/>
      <w:marLeft w:val="0"/>
      <w:marRight w:val="0"/>
      <w:marTop w:val="0"/>
      <w:marBottom w:val="0"/>
      <w:divBdr>
        <w:top w:val="none" w:sz="0" w:space="0" w:color="auto"/>
        <w:left w:val="none" w:sz="0" w:space="0" w:color="auto"/>
        <w:bottom w:val="none" w:sz="0" w:space="0" w:color="auto"/>
        <w:right w:val="none" w:sz="0" w:space="0" w:color="auto"/>
      </w:divBdr>
      <w:divsChild>
        <w:div w:id="144051077">
          <w:marLeft w:val="0"/>
          <w:marRight w:val="0"/>
          <w:marTop w:val="0"/>
          <w:marBottom w:val="45"/>
          <w:divBdr>
            <w:top w:val="none" w:sz="0" w:space="0" w:color="auto"/>
            <w:left w:val="none" w:sz="0" w:space="0" w:color="auto"/>
            <w:bottom w:val="none" w:sz="0" w:space="0" w:color="auto"/>
            <w:right w:val="none" w:sz="0" w:space="0" w:color="auto"/>
          </w:divBdr>
          <w:divsChild>
            <w:div w:id="2034723127">
              <w:marLeft w:val="0"/>
              <w:marRight w:val="0"/>
              <w:marTop w:val="0"/>
              <w:marBottom w:val="0"/>
              <w:divBdr>
                <w:top w:val="none" w:sz="0" w:space="0" w:color="auto"/>
                <w:left w:val="none" w:sz="0" w:space="0" w:color="auto"/>
                <w:bottom w:val="none" w:sz="0" w:space="0" w:color="auto"/>
                <w:right w:val="none" w:sz="0" w:space="0" w:color="auto"/>
              </w:divBdr>
            </w:div>
          </w:divsChild>
        </w:div>
        <w:div w:id="1866097291">
          <w:marLeft w:val="0"/>
          <w:marRight w:val="0"/>
          <w:marTop w:val="0"/>
          <w:marBottom w:val="0"/>
          <w:divBdr>
            <w:top w:val="none" w:sz="0" w:space="0" w:color="auto"/>
            <w:left w:val="none" w:sz="0" w:space="0" w:color="auto"/>
            <w:bottom w:val="none" w:sz="0" w:space="0" w:color="auto"/>
            <w:right w:val="none" w:sz="0" w:space="0" w:color="auto"/>
          </w:divBdr>
        </w:div>
      </w:divsChild>
    </w:div>
    <w:div w:id="83503118">
      <w:bodyDiv w:val="1"/>
      <w:marLeft w:val="0"/>
      <w:marRight w:val="0"/>
      <w:marTop w:val="0"/>
      <w:marBottom w:val="0"/>
      <w:divBdr>
        <w:top w:val="none" w:sz="0" w:space="0" w:color="auto"/>
        <w:left w:val="none" w:sz="0" w:space="0" w:color="auto"/>
        <w:bottom w:val="none" w:sz="0" w:space="0" w:color="auto"/>
        <w:right w:val="none" w:sz="0" w:space="0" w:color="auto"/>
      </w:divBdr>
    </w:div>
    <w:div w:id="212431632">
      <w:bodyDiv w:val="1"/>
      <w:marLeft w:val="0"/>
      <w:marRight w:val="0"/>
      <w:marTop w:val="0"/>
      <w:marBottom w:val="0"/>
      <w:divBdr>
        <w:top w:val="none" w:sz="0" w:space="0" w:color="auto"/>
        <w:left w:val="none" w:sz="0" w:space="0" w:color="auto"/>
        <w:bottom w:val="none" w:sz="0" w:space="0" w:color="auto"/>
        <w:right w:val="none" w:sz="0" w:space="0" w:color="auto"/>
      </w:divBdr>
    </w:div>
    <w:div w:id="660816663">
      <w:bodyDiv w:val="1"/>
      <w:marLeft w:val="0"/>
      <w:marRight w:val="0"/>
      <w:marTop w:val="0"/>
      <w:marBottom w:val="0"/>
      <w:divBdr>
        <w:top w:val="none" w:sz="0" w:space="0" w:color="auto"/>
        <w:left w:val="none" w:sz="0" w:space="0" w:color="auto"/>
        <w:bottom w:val="none" w:sz="0" w:space="0" w:color="auto"/>
        <w:right w:val="none" w:sz="0" w:space="0" w:color="auto"/>
      </w:divBdr>
    </w:div>
    <w:div w:id="1186555498">
      <w:bodyDiv w:val="1"/>
      <w:marLeft w:val="0"/>
      <w:marRight w:val="0"/>
      <w:marTop w:val="0"/>
      <w:marBottom w:val="0"/>
      <w:divBdr>
        <w:top w:val="none" w:sz="0" w:space="0" w:color="auto"/>
        <w:left w:val="none" w:sz="0" w:space="0" w:color="auto"/>
        <w:bottom w:val="none" w:sz="0" w:space="0" w:color="auto"/>
        <w:right w:val="none" w:sz="0" w:space="0" w:color="auto"/>
      </w:divBdr>
    </w:div>
    <w:div w:id="1246526418">
      <w:bodyDiv w:val="1"/>
      <w:marLeft w:val="0"/>
      <w:marRight w:val="0"/>
      <w:marTop w:val="0"/>
      <w:marBottom w:val="0"/>
      <w:divBdr>
        <w:top w:val="none" w:sz="0" w:space="0" w:color="auto"/>
        <w:left w:val="none" w:sz="0" w:space="0" w:color="auto"/>
        <w:bottom w:val="none" w:sz="0" w:space="0" w:color="auto"/>
        <w:right w:val="none" w:sz="0" w:space="0" w:color="auto"/>
      </w:divBdr>
    </w:div>
    <w:div w:id="1675835589">
      <w:bodyDiv w:val="1"/>
      <w:marLeft w:val="0"/>
      <w:marRight w:val="0"/>
      <w:marTop w:val="0"/>
      <w:marBottom w:val="0"/>
      <w:divBdr>
        <w:top w:val="none" w:sz="0" w:space="0" w:color="auto"/>
        <w:left w:val="none" w:sz="0" w:space="0" w:color="auto"/>
        <w:bottom w:val="none" w:sz="0" w:space="0" w:color="auto"/>
        <w:right w:val="none" w:sz="0" w:space="0" w:color="auto"/>
      </w:divBdr>
    </w:div>
    <w:div w:id="191046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rhart@amgen.com" TargetMode="Externa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glossaryDocument" Target="/word/glossary/document.xml" Id="Rb016c7a69528444f"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69b1f260-878a-44ab-b5b2-15ea40ffe2bf}"/>
      </w:docPartPr>
      <w:docPartBody>
        <w:p w14:paraId="7A35A97D">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803C8-76CC-7448-B50C-542BA6FD7BA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Coffman, Jon</dc:creator>
  <keywords/>
  <dc:description/>
  <lastModifiedBy>Jon Coffman</lastModifiedBy>
  <revision>103</revision>
  <lastPrinted>2020-08-30T19:28:00.0000000Z</lastPrinted>
  <dcterms:created xsi:type="dcterms:W3CDTF">2020-08-15T20:37:00.0000000Z</dcterms:created>
  <dcterms:modified xsi:type="dcterms:W3CDTF">2020-09-01T18:17:24.1608152Z</dcterms:modified>
</coreProperties>
</file>