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12CDC1A5" w:rsidR="00C94563" w:rsidRDefault="00C94563" w:rsidP="00C94563">
      <w:pPr>
        <w:pStyle w:val="Title"/>
      </w:pPr>
      <w:r>
        <w:t>A Framework for Integrated and Continuous Processing</w:t>
      </w:r>
    </w:p>
    <w:p w14:paraId="7A8A92BB" w14:textId="17D78491" w:rsidR="00C94563" w:rsidRDefault="00C94563" w:rsidP="00C94563">
      <w:r>
        <w:t>© 2020 AstraZeneca</w:t>
      </w:r>
    </w:p>
    <w:p w14:paraId="60041BB0" w14:textId="77777777" w:rsidR="00C94563" w:rsidRPr="00C94563" w:rsidRDefault="00C94563" w:rsidP="00C94563"/>
    <w:p w14:paraId="01A2E201" w14:textId="171A4145" w:rsidR="009F1E2D" w:rsidRDefault="009F1E2D" w:rsidP="00CF3C52">
      <w:pPr>
        <w:pStyle w:val="Heading1"/>
      </w:pPr>
      <w:r>
        <w:t>Abstract</w:t>
      </w:r>
    </w:p>
    <w:p w14:paraId="169F7D72" w14:textId="59648DDB" w:rsidR="00EF36FD" w:rsidRDefault="00AA47EC" w:rsidP="00EF36FD">
      <w:pPr>
        <w:pStyle w:val="NormalWeb"/>
        <w:spacing w:beforeAutospacing="0" w:after="0" w:afterAutospacing="0"/>
        <w:ind w:left="540"/>
      </w:pPr>
      <w:r>
        <w:rPr>
          <w:color w:val="000000"/>
        </w:rPr>
        <w:t xml:space="preserve">There is a growing interest in using continuous and integrated bioprocessing (ICB) as a manufacturing platform for the production of recombinant protein therapeutics produced from mammalian cells. </w:t>
      </w:r>
    </w:p>
    <w:p w14:paraId="063DD892" w14:textId="0CF8808D" w:rsidR="00AA47EC" w:rsidRPr="00EF36FD" w:rsidRDefault="00AA47EC" w:rsidP="00EF36FD">
      <w:pPr>
        <w:pStyle w:val="NormalWeb"/>
        <w:spacing w:beforeAutospacing="0" w:after="0" w:afterAutospacing="0"/>
        <w:ind w:left="540"/>
      </w:pPr>
      <w:r>
        <w:rPr>
          <w:color w:val="000000"/>
        </w:rPr>
        <w:t xml:space="preserve">At first glance, the newly evolved ICB has created a vast diversity of platforms. A closer inspection reveals convergent evolution: nearly all of the major </w:t>
      </w:r>
      <w:r w:rsidR="00634B17">
        <w:rPr>
          <w:color w:val="000000"/>
        </w:rPr>
        <w:t>ICB</w:t>
      </w:r>
      <w:r>
        <w:rPr>
          <w:color w:val="000000"/>
        </w:rPr>
        <w:t xml:space="preserve"> methods have a common </w:t>
      </w:r>
      <w:r w:rsidR="00634B17">
        <w:rPr>
          <w:color w:val="000000"/>
        </w:rPr>
        <w:t>denominator framework</w:t>
      </w:r>
      <w:r>
        <w:rPr>
          <w:color w:val="000000"/>
        </w:rPr>
        <w:t xml:space="preserve"> that </w:t>
      </w:r>
      <w:r w:rsidR="00880178">
        <w:rPr>
          <w:color w:val="000000"/>
        </w:rPr>
        <w:t>c</w:t>
      </w:r>
      <w:r>
        <w:rPr>
          <w:color w:val="000000"/>
        </w:rPr>
        <w:t xml:space="preserve">ould allow manufacturing across a global ecosystem of manufacturers using simple, yet effective, equipment designs. This </w:t>
      </w:r>
      <w:r w:rsidR="00634B17">
        <w:rPr>
          <w:color w:val="000000"/>
        </w:rPr>
        <w:t>simple framework</w:t>
      </w:r>
      <w:r>
        <w:rPr>
          <w:color w:val="000000"/>
        </w:rPr>
        <w:t xml:space="preserve"> is not as efficient or productive as the many sub-species of ICB promoted by those active in this space. The </w:t>
      </w:r>
      <w:r w:rsidR="00634B17">
        <w:rPr>
          <w:color w:val="000000"/>
        </w:rPr>
        <w:t xml:space="preserve">framework </w:t>
      </w:r>
      <w:r>
        <w:rPr>
          <w:color w:val="000000"/>
        </w:rPr>
        <w:t xml:space="preserve">is, however, capable of supporting the manufacturing of </w:t>
      </w:r>
      <w:r w:rsidR="00634B17">
        <w:rPr>
          <w:color w:val="000000"/>
        </w:rPr>
        <w:t xml:space="preserve">most major biopharmaceutical </w:t>
      </w:r>
      <w:r>
        <w:rPr>
          <w:color w:val="000000"/>
        </w:rPr>
        <w:t>ICB without major changes in the regulator licensure, while achieving most of the efficiency and productivity benefits of the more varied ICB</w:t>
      </w:r>
      <w:r w:rsidR="00634B17">
        <w:rPr>
          <w:color w:val="000000"/>
        </w:rPr>
        <w:t xml:space="preserve"> platforms</w:t>
      </w:r>
      <w:r>
        <w:rPr>
          <w:color w:val="000000"/>
        </w:rPr>
        <w:t>.</w:t>
      </w:r>
    </w:p>
    <w:p w14:paraId="33CD7554" w14:textId="420CA65A" w:rsidR="00E916B8" w:rsidRDefault="00D03E28" w:rsidP="00AA47EC">
      <w:pPr>
        <w:pStyle w:val="NormalWeb"/>
        <w:ind w:left="540"/>
      </w:pPr>
      <w:r>
        <w:rPr>
          <w:color w:val="000000"/>
        </w:rPr>
        <w:t xml:space="preserve">The common </w:t>
      </w:r>
      <w:r w:rsidR="00634B17">
        <w:rPr>
          <w:color w:val="000000"/>
        </w:rPr>
        <w:t>framework</w:t>
      </w:r>
      <w:r>
        <w:rPr>
          <w:color w:val="000000"/>
        </w:rPr>
        <w:t xml:space="preserve"> lends itself to implementation in a stepping-stone approach. </w:t>
      </w:r>
      <w:r w:rsidR="00634B17">
        <w:rPr>
          <w:color w:val="000000"/>
        </w:rPr>
        <w:t xml:space="preserve">The biggest change, and biggest benefit, comes from moving from fed-batch cell culture to high-density, continuous perfusion cell culture, linked with an integrated batch downstream. </w:t>
      </w:r>
      <w:r w:rsidR="00BD5939">
        <w:rPr>
          <w:color w:val="000000"/>
        </w:rPr>
        <w:t xml:space="preserve">Manufacturers can </w:t>
      </w:r>
      <w:r w:rsidR="00634B17">
        <w:rPr>
          <w:color w:val="000000"/>
        </w:rPr>
        <w:t xml:space="preserve">first </w:t>
      </w:r>
      <w:r w:rsidR="00BD5939">
        <w:rPr>
          <w:color w:val="000000"/>
        </w:rPr>
        <w:t xml:space="preserve">implement single-column </w:t>
      </w:r>
      <w:r w:rsidR="009F589D">
        <w:rPr>
          <w:color w:val="000000"/>
        </w:rPr>
        <w:t xml:space="preserve">(SCC) </w:t>
      </w:r>
      <w:r w:rsidR="00B07506">
        <w:rPr>
          <w:color w:val="000000"/>
        </w:rPr>
        <w:t>then</w:t>
      </w:r>
      <w:r w:rsidR="00BD5939">
        <w:rPr>
          <w:color w:val="000000"/>
        </w:rPr>
        <w:t xml:space="preserve"> multicolumn </w:t>
      </w:r>
      <w:r w:rsidR="009F589D">
        <w:rPr>
          <w:color w:val="000000"/>
        </w:rPr>
        <w:t>capture (MCC)</w:t>
      </w:r>
      <w:r w:rsidR="00B07506">
        <w:rPr>
          <w:color w:val="000000"/>
        </w:rPr>
        <w:t xml:space="preserve"> </w:t>
      </w:r>
      <w:r w:rsidR="009F589D">
        <w:rPr>
          <w:color w:val="000000"/>
        </w:rPr>
        <w:t xml:space="preserve"> capture </w:t>
      </w:r>
      <w:r w:rsidR="00B07506">
        <w:rPr>
          <w:color w:val="000000"/>
        </w:rPr>
        <w:t>in stages throughout the lifecycle of a project.</w:t>
      </w:r>
      <w:r w:rsidR="00634B17">
        <w:rPr>
          <w:color w:val="000000"/>
        </w:rPr>
        <w:t xml:space="preserve"> The framework also supports legacy fed-batch processes.</w:t>
      </w:r>
    </w:p>
    <w:p w14:paraId="5F4C9E8B" w14:textId="14D474C0" w:rsidR="00F86CCA" w:rsidRDefault="00AA47EC" w:rsidP="00880178">
      <w:pPr>
        <w:pStyle w:val="NormalWeb"/>
        <w:ind w:left="540"/>
        <w:rPr>
          <w:color w:val="000000"/>
        </w:rPr>
      </w:pPr>
      <w:r>
        <w:rPr>
          <w:color w:val="000000"/>
        </w:rPr>
        <w:t xml:space="preserve">This paper reviews the ICB that are being used, or are soon to be used, in a GMP manufacturing setting for recombinant protein production. </w:t>
      </w:r>
      <w:r w:rsidR="00634B17">
        <w:rPr>
          <w:color w:val="000000"/>
        </w:rPr>
        <w:t xml:space="preserve">The ICB </w:t>
      </w:r>
      <w:r w:rsidR="00AF2B48">
        <w:rPr>
          <w:color w:val="000000"/>
        </w:rPr>
        <w:t>platforms are</w:t>
      </w:r>
      <w:r w:rsidR="00634B17">
        <w:rPr>
          <w:color w:val="000000"/>
        </w:rPr>
        <w:t xml:space="preserve"> used primarily for </w:t>
      </w:r>
      <w:proofErr w:type="spellStart"/>
      <w:r w:rsidR="00634B17">
        <w:rPr>
          <w:color w:val="000000"/>
        </w:rPr>
        <w:t>mAb</w:t>
      </w:r>
      <w:proofErr w:type="spellEnd"/>
      <w:r w:rsidR="00634B17">
        <w:rPr>
          <w:color w:val="000000"/>
        </w:rPr>
        <w:t xml:space="preserve"> and </w:t>
      </w:r>
      <w:proofErr w:type="spellStart"/>
      <w:r w:rsidR="00634B17">
        <w:rPr>
          <w:color w:val="000000"/>
        </w:rPr>
        <w:t>mAb</w:t>
      </w:r>
      <w:proofErr w:type="spellEnd"/>
      <w:r w:rsidR="00634B17">
        <w:rPr>
          <w:color w:val="000000"/>
        </w:rPr>
        <w:t xml:space="preserve">-like products, yet can be adapted to all recombinant proteins. </w:t>
      </w:r>
      <w:r w:rsidR="00AF2B48">
        <w:rPr>
          <w:color w:val="000000"/>
        </w:rPr>
        <w:t xml:space="preserve">This paper </w:t>
      </w:r>
      <w:r w:rsidR="00045812">
        <w:rPr>
          <w:color w:val="000000"/>
        </w:rPr>
        <w:t>provides examples of</w:t>
      </w:r>
      <w:r>
        <w:rPr>
          <w:color w:val="000000"/>
        </w:rPr>
        <w:t xml:space="preserve"> the design </w:t>
      </w:r>
      <w:r w:rsidR="00AF2B48">
        <w:rPr>
          <w:color w:val="000000"/>
        </w:rPr>
        <w:t>basis</w:t>
      </w:r>
      <w:r w:rsidR="00CC4FBF">
        <w:rPr>
          <w:color w:val="000000"/>
        </w:rPr>
        <w:t xml:space="preserve">, including flow rates, column sizes, </w:t>
      </w:r>
      <w:r w:rsidR="00C151B5">
        <w:rPr>
          <w:color w:val="000000"/>
        </w:rPr>
        <w:t xml:space="preserve">material production, buffer and media volumes, </w:t>
      </w:r>
      <w:r w:rsidR="00634B17">
        <w:rPr>
          <w:color w:val="000000"/>
        </w:rPr>
        <w:t xml:space="preserve">for </w:t>
      </w:r>
      <w:r w:rsidR="00AF2B48">
        <w:rPr>
          <w:color w:val="000000"/>
        </w:rPr>
        <w:t>a plant</w:t>
      </w:r>
      <w:r w:rsidR="00045812">
        <w:rPr>
          <w:color w:val="000000"/>
        </w:rPr>
        <w:t xml:space="preserve"> capable of manufacturing </w:t>
      </w:r>
      <w:r w:rsidR="00AF2B48">
        <w:rPr>
          <w:color w:val="000000"/>
        </w:rPr>
        <w:t xml:space="preserve">as little as </w:t>
      </w:r>
      <w:r w:rsidR="00045812">
        <w:rPr>
          <w:color w:val="000000"/>
        </w:rPr>
        <w:t>6kg to</w:t>
      </w:r>
      <w:r w:rsidR="00AF2B48">
        <w:rPr>
          <w:color w:val="000000"/>
        </w:rPr>
        <w:t xml:space="preserve"> as much as</w:t>
      </w:r>
      <w:r w:rsidR="00045812">
        <w:rPr>
          <w:color w:val="000000"/>
        </w:rPr>
        <w:t xml:space="preserve"> </w:t>
      </w:r>
      <w:r w:rsidR="00AF2B48">
        <w:rPr>
          <w:color w:val="000000"/>
        </w:rPr>
        <w:t>200</w:t>
      </w:r>
      <w:r w:rsidR="00045812">
        <w:rPr>
          <w:color w:val="000000"/>
        </w:rPr>
        <w:t xml:space="preserve">kg </w:t>
      </w:r>
      <w:r w:rsidR="00AF2B48">
        <w:rPr>
          <w:color w:val="000000"/>
        </w:rPr>
        <w:t>per batch or up to 4</w:t>
      </w:r>
      <w:r w:rsidR="00045812">
        <w:rPr>
          <w:color w:val="000000"/>
        </w:rPr>
        <w:t xml:space="preserve"> tons per year. </w:t>
      </w:r>
    </w:p>
    <w:p w14:paraId="56D52EBE" w14:textId="72B4AB98" w:rsidR="003F4574" w:rsidRPr="00C337FE" w:rsidRDefault="00CF3C52" w:rsidP="00CF3C52">
      <w:pPr>
        <w:pStyle w:val="Heading1"/>
        <w:rPr>
          <w:rFonts w:eastAsia="Times New Roman"/>
          <w:b/>
          <w:bCs/>
        </w:rPr>
      </w:pPr>
      <w:r>
        <w:rPr>
          <w:rFonts w:eastAsia="Times New Roman"/>
        </w:rPr>
        <w:t>Introduction</w:t>
      </w:r>
    </w:p>
    <w:p w14:paraId="359CDA0E" w14:textId="77777777" w:rsidR="00E62CEE" w:rsidRDefault="00C337FE" w:rsidP="00C337F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Many </w:t>
      </w:r>
      <w:r w:rsidR="00834291">
        <w:rPr>
          <w:rFonts w:ascii="Calibri" w:eastAsia="Times New Roman" w:hAnsi="Calibri" w:cs="Calibri"/>
          <w:color w:val="000000"/>
          <w:sz w:val="22"/>
          <w:szCs w:val="22"/>
        </w:rPr>
        <w:t>biopharmaceutical</w:t>
      </w:r>
      <w:r>
        <w:rPr>
          <w:rFonts w:ascii="Calibri" w:eastAsia="Times New Roman" w:hAnsi="Calibri" w:cs="Calibri"/>
          <w:color w:val="000000"/>
          <w:sz w:val="22"/>
          <w:szCs w:val="22"/>
        </w:rPr>
        <w:t xml:space="preserve"> companies are considering </w:t>
      </w:r>
      <w:r w:rsidR="00CB0CF7">
        <w:rPr>
          <w:rFonts w:ascii="Calibri" w:eastAsia="Times New Roman" w:hAnsi="Calibri" w:cs="Calibri"/>
          <w:color w:val="000000"/>
          <w:sz w:val="22"/>
          <w:szCs w:val="22"/>
        </w:rPr>
        <w:t>switching from fed-batch bioreactors and independent</w:t>
      </w:r>
      <w:r w:rsidR="00A576DF">
        <w:rPr>
          <w:rFonts w:ascii="Calibri" w:eastAsia="Times New Roman" w:hAnsi="Calibri" w:cs="Calibri"/>
          <w:color w:val="000000"/>
          <w:sz w:val="22"/>
          <w:szCs w:val="22"/>
        </w:rPr>
        <w:t xml:space="preserve">, </w:t>
      </w:r>
      <w:r w:rsidR="003D3E58">
        <w:rPr>
          <w:rFonts w:ascii="Calibri" w:eastAsia="Times New Roman" w:hAnsi="Calibri" w:cs="Calibri"/>
          <w:color w:val="000000"/>
          <w:sz w:val="22"/>
          <w:szCs w:val="22"/>
        </w:rPr>
        <w:t xml:space="preserve">batch </w:t>
      </w:r>
      <w:r w:rsidR="00372DCE">
        <w:rPr>
          <w:rFonts w:ascii="Calibri" w:eastAsia="Times New Roman" w:hAnsi="Calibri" w:cs="Calibri"/>
          <w:color w:val="000000"/>
          <w:sz w:val="22"/>
          <w:szCs w:val="22"/>
        </w:rPr>
        <w:t xml:space="preserve">downstream </w:t>
      </w:r>
      <w:r w:rsidR="00CB0CF7">
        <w:rPr>
          <w:rFonts w:ascii="Calibri" w:eastAsia="Times New Roman" w:hAnsi="Calibri" w:cs="Calibri"/>
          <w:color w:val="000000"/>
          <w:sz w:val="22"/>
          <w:szCs w:val="22"/>
        </w:rPr>
        <w:t>unit operations to</w:t>
      </w:r>
      <w:r>
        <w:rPr>
          <w:rFonts w:ascii="Calibri" w:eastAsia="Times New Roman" w:hAnsi="Calibri" w:cs="Calibri"/>
          <w:color w:val="000000"/>
          <w:sz w:val="22"/>
          <w:szCs w:val="22"/>
        </w:rPr>
        <w:t xml:space="preserve"> integrated and </w:t>
      </w:r>
      <w:r w:rsidR="00DC731E">
        <w:rPr>
          <w:rFonts w:ascii="Calibri" w:eastAsia="Times New Roman" w:hAnsi="Calibri" w:cs="Calibri"/>
          <w:color w:val="000000"/>
          <w:sz w:val="22"/>
          <w:szCs w:val="22"/>
        </w:rPr>
        <w:t>continuous</w:t>
      </w:r>
      <w:r>
        <w:rPr>
          <w:rFonts w:ascii="Calibri" w:eastAsia="Times New Roman" w:hAnsi="Calibri" w:cs="Calibri"/>
          <w:color w:val="000000"/>
          <w:sz w:val="22"/>
          <w:szCs w:val="22"/>
        </w:rPr>
        <w:t xml:space="preserve"> bioprocessing (ICB)</w:t>
      </w:r>
      <w:r w:rsidR="00CB0CF7">
        <w:rPr>
          <w:rFonts w:ascii="Calibri" w:eastAsia="Times New Roman" w:hAnsi="Calibri" w:cs="Calibri"/>
          <w:color w:val="000000"/>
          <w:sz w:val="22"/>
          <w:szCs w:val="22"/>
        </w:rPr>
        <w:t>, which uses continuous perfusion bioreactors and</w:t>
      </w:r>
      <w:r w:rsidR="003C6982">
        <w:rPr>
          <w:rFonts w:ascii="Calibri" w:eastAsia="Times New Roman" w:hAnsi="Calibri" w:cs="Calibri"/>
          <w:color w:val="000000"/>
          <w:sz w:val="22"/>
          <w:szCs w:val="22"/>
        </w:rPr>
        <w:t xml:space="preserve"> a linked and somewhat continuous downstream. </w:t>
      </w:r>
      <w:r w:rsidR="00A45B56">
        <w:rPr>
          <w:rFonts w:ascii="Calibri" w:eastAsia="Times New Roman" w:hAnsi="Calibri" w:cs="Calibri"/>
          <w:color w:val="000000"/>
          <w:sz w:val="22"/>
          <w:szCs w:val="22"/>
        </w:rPr>
        <w:t>ICB ha</w:t>
      </w:r>
      <w:r w:rsidR="007964A0">
        <w:rPr>
          <w:rFonts w:ascii="Calibri" w:eastAsia="Times New Roman" w:hAnsi="Calibri" w:cs="Calibri"/>
          <w:color w:val="000000"/>
          <w:sz w:val="22"/>
          <w:szCs w:val="22"/>
        </w:rPr>
        <w:t xml:space="preserve">s well-reviewed advantages in the cost of clinical </w:t>
      </w:r>
      <w:r w:rsidR="00EC36AB">
        <w:rPr>
          <w:rFonts w:ascii="Calibri" w:eastAsia="Times New Roman" w:hAnsi="Calibri" w:cs="Calibri"/>
          <w:color w:val="000000"/>
          <w:sz w:val="22"/>
          <w:szCs w:val="22"/>
        </w:rPr>
        <w:t>[ref] and</w:t>
      </w:r>
      <w:r w:rsidR="00825DF8">
        <w:rPr>
          <w:rFonts w:ascii="Calibri" w:eastAsia="Times New Roman" w:hAnsi="Calibri" w:cs="Calibri"/>
          <w:color w:val="000000"/>
          <w:sz w:val="22"/>
          <w:szCs w:val="22"/>
        </w:rPr>
        <w:t>, for some scales,</w:t>
      </w:r>
      <w:r w:rsidR="00EC36AB">
        <w:rPr>
          <w:rFonts w:ascii="Calibri" w:eastAsia="Times New Roman" w:hAnsi="Calibri" w:cs="Calibri"/>
          <w:color w:val="000000"/>
          <w:sz w:val="22"/>
          <w:szCs w:val="22"/>
        </w:rPr>
        <w:t xml:space="preserve"> commercial [ref] </w:t>
      </w:r>
      <w:r w:rsidR="007964A0">
        <w:rPr>
          <w:rFonts w:ascii="Calibri" w:eastAsia="Times New Roman" w:hAnsi="Calibri" w:cs="Calibri"/>
          <w:color w:val="000000"/>
          <w:sz w:val="22"/>
          <w:szCs w:val="22"/>
        </w:rPr>
        <w:t>manufacturing</w:t>
      </w:r>
      <w:r w:rsidR="00825DF8">
        <w:rPr>
          <w:rFonts w:ascii="Calibri" w:eastAsia="Times New Roman" w:hAnsi="Calibri" w:cs="Calibri"/>
          <w:color w:val="000000"/>
          <w:sz w:val="22"/>
          <w:szCs w:val="22"/>
        </w:rPr>
        <w:t xml:space="preserve">. </w:t>
      </w:r>
      <w:r w:rsidR="00A34317">
        <w:rPr>
          <w:rFonts w:ascii="Calibri" w:eastAsia="Times New Roman" w:hAnsi="Calibri" w:cs="Calibri"/>
          <w:color w:val="000000"/>
          <w:sz w:val="22"/>
          <w:szCs w:val="22"/>
        </w:rPr>
        <w:t>The productivity of capital (kg production/$ invested) can be higher for ICB</w:t>
      </w:r>
      <w:r w:rsidR="004C6925">
        <w:rPr>
          <w:rFonts w:ascii="Calibri" w:eastAsia="Times New Roman" w:hAnsi="Calibri" w:cs="Calibri"/>
          <w:color w:val="000000"/>
          <w:sz w:val="22"/>
          <w:szCs w:val="22"/>
        </w:rPr>
        <w:t xml:space="preserve">, </w:t>
      </w:r>
      <w:r w:rsidR="00BC290E">
        <w:rPr>
          <w:rFonts w:ascii="Calibri" w:eastAsia="Times New Roman" w:hAnsi="Calibri" w:cs="Calibri"/>
          <w:color w:val="000000"/>
          <w:sz w:val="22"/>
          <w:szCs w:val="22"/>
        </w:rPr>
        <w:t>because ICB</w:t>
      </w:r>
      <w:r w:rsidR="00BC29C2">
        <w:rPr>
          <w:rFonts w:ascii="Calibri" w:eastAsia="Times New Roman" w:hAnsi="Calibri" w:cs="Calibri"/>
          <w:color w:val="000000"/>
          <w:sz w:val="22"/>
          <w:szCs w:val="22"/>
        </w:rPr>
        <w:t xml:space="preserve"> equipment</w:t>
      </w:r>
      <w:r w:rsidR="00BB779E">
        <w:rPr>
          <w:rFonts w:ascii="Calibri" w:eastAsia="Times New Roman" w:hAnsi="Calibri" w:cs="Calibri"/>
          <w:color w:val="000000"/>
          <w:sz w:val="22"/>
          <w:szCs w:val="22"/>
        </w:rPr>
        <w:t xml:space="preserve"> </w:t>
      </w:r>
      <w:r w:rsidR="00D660BD">
        <w:rPr>
          <w:rFonts w:ascii="Calibri" w:eastAsia="Times New Roman" w:hAnsi="Calibri" w:cs="Calibri"/>
          <w:color w:val="000000"/>
          <w:sz w:val="22"/>
          <w:szCs w:val="22"/>
        </w:rPr>
        <w:t xml:space="preserve">operates 24 hours per day, nearly 365 days per year. </w:t>
      </w:r>
      <w:r w:rsidR="004A31D3">
        <w:rPr>
          <w:rFonts w:ascii="Calibri" w:eastAsia="Times New Roman" w:hAnsi="Calibri" w:cs="Calibri"/>
          <w:color w:val="000000"/>
          <w:sz w:val="22"/>
          <w:szCs w:val="22"/>
        </w:rPr>
        <w:t xml:space="preserve">Due largely to automation, ICB can have </w:t>
      </w:r>
      <w:r w:rsidR="00555DA4">
        <w:rPr>
          <w:rFonts w:ascii="Calibri" w:eastAsia="Times New Roman" w:hAnsi="Calibri" w:cs="Calibri"/>
          <w:color w:val="000000"/>
          <w:sz w:val="22"/>
          <w:szCs w:val="22"/>
        </w:rPr>
        <w:t>increase</w:t>
      </w:r>
      <w:r w:rsidR="004A31D3">
        <w:rPr>
          <w:rFonts w:ascii="Calibri" w:eastAsia="Times New Roman" w:hAnsi="Calibri" w:cs="Calibri"/>
          <w:color w:val="000000"/>
          <w:sz w:val="22"/>
          <w:szCs w:val="22"/>
        </w:rPr>
        <w:t>d</w:t>
      </w:r>
      <w:r w:rsidR="00555DA4">
        <w:rPr>
          <w:rFonts w:ascii="Calibri" w:eastAsia="Times New Roman" w:hAnsi="Calibri" w:cs="Calibri"/>
          <w:color w:val="000000"/>
          <w:sz w:val="22"/>
          <w:szCs w:val="22"/>
        </w:rPr>
        <w:t xml:space="preserve"> labor productivity</w:t>
      </w:r>
      <w:r w:rsidR="00820327">
        <w:rPr>
          <w:rFonts w:ascii="Calibri" w:eastAsia="Times New Roman" w:hAnsi="Calibri" w:cs="Calibri"/>
          <w:color w:val="000000"/>
          <w:sz w:val="22"/>
          <w:szCs w:val="22"/>
        </w:rPr>
        <w:t xml:space="preserve"> [ref]. </w:t>
      </w:r>
      <w:r w:rsidR="00C9340F">
        <w:rPr>
          <w:rFonts w:ascii="Calibri" w:eastAsia="Times New Roman" w:hAnsi="Calibri" w:cs="Calibri"/>
          <w:color w:val="000000"/>
          <w:sz w:val="22"/>
          <w:szCs w:val="22"/>
        </w:rPr>
        <w:t>ICB has also been shown to have similar or worse</w:t>
      </w:r>
      <w:r w:rsidR="00131F05">
        <w:rPr>
          <w:rFonts w:ascii="Calibri" w:eastAsia="Times New Roman" w:hAnsi="Calibri" w:cs="Calibri"/>
          <w:color w:val="000000"/>
          <w:sz w:val="22"/>
          <w:szCs w:val="22"/>
        </w:rPr>
        <w:t xml:space="preserve"> operating</w:t>
      </w:r>
      <w:r w:rsidR="00C9340F">
        <w:rPr>
          <w:rFonts w:ascii="Calibri" w:eastAsia="Times New Roman" w:hAnsi="Calibri" w:cs="Calibri"/>
          <w:color w:val="000000"/>
          <w:sz w:val="22"/>
          <w:szCs w:val="22"/>
        </w:rPr>
        <w:t xml:space="preserve"> </w:t>
      </w:r>
      <w:r w:rsidR="00C9340F">
        <w:rPr>
          <w:rFonts w:ascii="Calibri" w:eastAsia="Times New Roman" w:hAnsi="Calibri" w:cs="Calibri"/>
          <w:color w:val="000000"/>
          <w:sz w:val="22"/>
          <w:szCs w:val="22"/>
        </w:rPr>
        <w:lastRenderedPageBreak/>
        <w:t>costs compared to fed-batch for certain situations</w:t>
      </w:r>
      <w:r w:rsidR="0092630C">
        <w:rPr>
          <w:rFonts w:ascii="Calibri" w:eastAsia="Times New Roman" w:hAnsi="Calibri" w:cs="Calibri"/>
          <w:color w:val="000000"/>
          <w:sz w:val="22"/>
          <w:szCs w:val="22"/>
        </w:rPr>
        <w:t xml:space="preserve"> [ref]</w:t>
      </w:r>
      <w:r w:rsidR="00971259">
        <w:rPr>
          <w:rFonts w:ascii="Calibri" w:eastAsia="Times New Roman" w:hAnsi="Calibri" w:cs="Calibri"/>
          <w:color w:val="000000"/>
          <w:sz w:val="22"/>
          <w:szCs w:val="22"/>
        </w:rPr>
        <w:t>.</w:t>
      </w:r>
      <w:r w:rsidR="0092630C">
        <w:rPr>
          <w:rFonts w:ascii="Calibri" w:eastAsia="Times New Roman" w:hAnsi="Calibri" w:cs="Calibri"/>
          <w:color w:val="000000"/>
          <w:sz w:val="22"/>
          <w:szCs w:val="22"/>
        </w:rPr>
        <w:t xml:space="preserve"> </w:t>
      </w:r>
      <w:r w:rsidR="00BC137B">
        <w:rPr>
          <w:rFonts w:ascii="Calibri" w:eastAsia="Times New Roman" w:hAnsi="Calibri" w:cs="Calibri"/>
          <w:color w:val="000000"/>
          <w:sz w:val="22"/>
          <w:szCs w:val="22"/>
        </w:rPr>
        <w:t xml:space="preserve">The largest benefit to ICB appears to be when </w:t>
      </w:r>
      <w:r w:rsidR="000B42EF">
        <w:rPr>
          <w:rFonts w:ascii="Calibri" w:eastAsia="Times New Roman" w:hAnsi="Calibri" w:cs="Calibri"/>
          <w:color w:val="000000"/>
          <w:sz w:val="22"/>
          <w:szCs w:val="22"/>
        </w:rPr>
        <w:t>perfusion bioreactor</w:t>
      </w:r>
      <w:r w:rsidR="007E1D1C">
        <w:rPr>
          <w:rFonts w:ascii="Calibri" w:eastAsia="Times New Roman" w:hAnsi="Calibri" w:cs="Calibri"/>
          <w:color w:val="000000"/>
          <w:sz w:val="22"/>
          <w:szCs w:val="22"/>
        </w:rPr>
        <w:t xml:space="preserve"> with a productivity five-fold over </w:t>
      </w:r>
      <w:r w:rsidR="0078561C">
        <w:rPr>
          <w:rFonts w:ascii="Calibri" w:eastAsia="Times New Roman" w:hAnsi="Calibri" w:cs="Calibri"/>
          <w:color w:val="000000"/>
          <w:sz w:val="22"/>
          <w:szCs w:val="22"/>
        </w:rPr>
        <w:t>that of fed batch</w:t>
      </w:r>
      <w:r w:rsidR="000B42EF">
        <w:rPr>
          <w:rFonts w:ascii="Calibri" w:eastAsia="Times New Roman" w:hAnsi="Calibri" w:cs="Calibri"/>
          <w:color w:val="000000"/>
          <w:sz w:val="22"/>
          <w:szCs w:val="22"/>
        </w:rPr>
        <w:t xml:space="preserve"> is linked to an automated, </w:t>
      </w:r>
      <w:r w:rsidR="009A71CB">
        <w:rPr>
          <w:rFonts w:ascii="Calibri" w:eastAsia="Times New Roman" w:hAnsi="Calibri" w:cs="Calibri"/>
          <w:color w:val="000000"/>
          <w:sz w:val="22"/>
          <w:szCs w:val="22"/>
        </w:rPr>
        <w:t>fully utilized</w:t>
      </w:r>
      <w:r w:rsidR="000B42EF">
        <w:rPr>
          <w:rFonts w:ascii="Calibri" w:eastAsia="Times New Roman" w:hAnsi="Calibri" w:cs="Calibri"/>
          <w:color w:val="000000"/>
          <w:sz w:val="22"/>
          <w:szCs w:val="22"/>
        </w:rPr>
        <w:t xml:space="preserve"> downstream</w:t>
      </w:r>
      <w:r w:rsidR="00F849E9">
        <w:rPr>
          <w:rFonts w:ascii="Calibri" w:eastAsia="Times New Roman" w:hAnsi="Calibri" w:cs="Calibri"/>
          <w:color w:val="000000"/>
          <w:sz w:val="22"/>
          <w:szCs w:val="22"/>
        </w:rPr>
        <w:t>.</w:t>
      </w:r>
      <w:r w:rsidR="003A6A46">
        <w:rPr>
          <w:rFonts w:ascii="Calibri" w:eastAsia="Times New Roman" w:hAnsi="Calibri" w:cs="Calibri"/>
          <w:color w:val="000000"/>
          <w:sz w:val="22"/>
          <w:szCs w:val="22"/>
        </w:rPr>
        <w:t xml:space="preserve"> </w:t>
      </w:r>
    </w:p>
    <w:p w14:paraId="6C59FC6D" w14:textId="4B0C2791" w:rsidR="00E016BD" w:rsidRDefault="001D70E3" w:rsidP="00C337F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While there is significant synergy between ICB and single-use manufacturing, they should not be conflated.</w:t>
      </w:r>
      <w:r w:rsidR="00C479D2">
        <w:rPr>
          <w:rFonts w:ascii="Calibri" w:eastAsia="Times New Roman" w:hAnsi="Calibri" w:cs="Calibri"/>
          <w:color w:val="000000"/>
          <w:sz w:val="22"/>
          <w:szCs w:val="22"/>
        </w:rPr>
        <w:t xml:space="preserve"> </w:t>
      </w:r>
      <w:r w:rsidR="00971259">
        <w:rPr>
          <w:rFonts w:ascii="Calibri" w:eastAsia="Times New Roman" w:hAnsi="Calibri" w:cs="Calibri"/>
          <w:color w:val="000000"/>
          <w:sz w:val="22"/>
          <w:szCs w:val="22"/>
        </w:rPr>
        <w:t>While m</w:t>
      </w:r>
      <w:r w:rsidR="003A6A46">
        <w:rPr>
          <w:rFonts w:ascii="Calibri" w:eastAsia="Times New Roman" w:hAnsi="Calibri" w:cs="Calibri"/>
          <w:color w:val="000000"/>
          <w:sz w:val="22"/>
          <w:szCs w:val="22"/>
        </w:rPr>
        <w:t>ost of the benefits of ICB can be obtained in either stainless-steel plants or single-use plants</w:t>
      </w:r>
      <w:r w:rsidR="00131F05">
        <w:rPr>
          <w:rFonts w:ascii="Calibri" w:eastAsia="Times New Roman" w:hAnsi="Calibri" w:cs="Calibri"/>
          <w:color w:val="000000"/>
          <w:sz w:val="22"/>
          <w:szCs w:val="22"/>
        </w:rPr>
        <w:t>, the productivity of perfusion bioreactors enables single use bioreactors (SUB) to be as productive as plants based on larger and more expensive stainless-steel bioreactors [ref].</w:t>
      </w:r>
      <w:r w:rsidR="00320ACC">
        <w:rPr>
          <w:rFonts w:ascii="Calibri" w:eastAsia="Times New Roman" w:hAnsi="Calibri" w:cs="Calibri"/>
          <w:color w:val="000000"/>
          <w:sz w:val="22"/>
          <w:szCs w:val="22"/>
        </w:rPr>
        <w:t xml:space="preserve"> </w:t>
      </w:r>
      <w:r w:rsidR="00C479D2">
        <w:rPr>
          <w:rFonts w:ascii="Calibri" w:eastAsia="Times New Roman" w:hAnsi="Calibri" w:cs="Calibri"/>
          <w:color w:val="000000"/>
          <w:sz w:val="22"/>
          <w:szCs w:val="22"/>
        </w:rPr>
        <w:t xml:space="preserve">SU technologies and ICB increase the </w:t>
      </w:r>
      <w:r w:rsidR="007642A8">
        <w:rPr>
          <w:rFonts w:ascii="Calibri" w:eastAsia="Times New Roman" w:hAnsi="Calibri" w:cs="Calibri"/>
          <w:color w:val="000000"/>
          <w:sz w:val="22"/>
          <w:szCs w:val="22"/>
        </w:rPr>
        <w:t>productivity of capital by reducing the overall capital cost.</w:t>
      </w:r>
      <w:r w:rsidR="00C479D2">
        <w:rPr>
          <w:rFonts w:ascii="Calibri" w:eastAsia="Times New Roman" w:hAnsi="Calibri" w:cs="Calibri"/>
          <w:color w:val="000000"/>
          <w:sz w:val="22"/>
          <w:szCs w:val="22"/>
        </w:rPr>
        <w:t xml:space="preserve"> </w:t>
      </w:r>
      <w:r w:rsidR="006B1147">
        <w:rPr>
          <w:rFonts w:ascii="Calibri" w:eastAsia="Times New Roman" w:hAnsi="Calibri" w:cs="Calibri"/>
          <w:color w:val="000000"/>
          <w:sz w:val="22"/>
          <w:szCs w:val="22"/>
        </w:rPr>
        <w:t>Due to shorter build times, SU plants also allow capital investment with less risk [ref]</w:t>
      </w:r>
      <w:r w:rsidR="00E016BD">
        <w:rPr>
          <w:rFonts w:ascii="Calibri" w:eastAsia="Times New Roman" w:hAnsi="Calibri" w:cs="Calibri"/>
          <w:color w:val="000000"/>
          <w:sz w:val="22"/>
          <w:szCs w:val="22"/>
        </w:rPr>
        <w:t xml:space="preserve">, which also increases the productivity of capital. </w:t>
      </w:r>
      <w:r w:rsidR="003A1F35">
        <w:rPr>
          <w:rFonts w:ascii="Calibri" w:eastAsia="Times New Roman" w:hAnsi="Calibri" w:cs="Calibri"/>
          <w:color w:val="000000"/>
          <w:sz w:val="22"/>
          <w:szCs w:val="22"/>
        </w:rPr>
        <w:t xml:space="preserve">Most authors agree that </w:t>
      </w:r>
      <w:r w:rsidR="00E43DBF">
        <w:rPr>
          <w:rFonts w:ascii="Calibri" w:eastAsia="Times New Roman" w:hAnsi="Calibri" w:cs="Calibri"/>
          <w:color w:val="000000"/>
          <w:sz w:val="22"/>
          <w:szCs w:val="22"/>
        </w:rPr>
        <w:t xml:space="preserve">the bioreactor is the most important </w:t>
      </w:r>
      <w:r w:rsidR="00C92F82">
        <w:rPr>
          <w:rFonts w:ascii="Calibri" w:eastAsia="Times New Roman" w:hAnsi="Calibri" w:cs="Calibri"/>
          <w:color w:val="000000"/>
          <w:sz w:val="22"/>
          <w:szCs w:val="22"/>
        </w:rPr>
        <w:t>operation to convert to single use due to its simplicity, fast change over,</w:t>
      </w:r>
      <w:r w:rsidR="00474359">
        <w:rPr>
          <w:rFonts w:ascii="Calibri" w:eastAsia="Times New Roman" w:hAnsi="Calibri" w:cs="Calibri"/>
          <w:color w:val="000000"/>
          <w:sz w:val="22"/>
          <w:szCs w:val="22"/>
        </w:rPr>
        <w:t xml:space="preserve"> not needing clean steam</w:t>
      </w:r>
      <w:r w:rsidR="0040593D">
        <w:rPr>
          <w:rFonts w:ascii="Calibri" w:eastAsia="Times New Roman" w:hAnsi="Calibri" w:cs="Calibri"/>
          <w:color w:val="000000"/>
          <w:sz w:val="22"/>
          <w:szCs w:val="22"/>
        </w:rPr>
        <w:t xml:space="preserve"> utilities,</w:t>
      </w:r>
      <w:r w:rsidR="00C92F82">
        <w:rPr>
          <w:rFonts w:ascii="Calibri" w:eastAsia="Times New Roman" w:hAnsi="Calibri" w:cs="Calibri"/>
          <w:color w:val="000000"/>
          <w:sz w:val="22"/>
          <w:szCs w:val="22"/>
        </w:rPr>
        <w:t xml:space="preserve"> low capital cost, and low labor requirement</w:t>
      </w:r>
      <w:r w:rsidR="0040593D">
        <w:rPr>
          <w:rFonts w:ascii="Calibri" w:eastAsia="Times New Roman" w:hAnsi="Calibri" w:cs="Calibri"/>
          <w:color w:val="000000"/>
          <w:sz w:val="22"/>
          <w:szCs w:val="22"/>
        </w:rPr>
        <w:t xml:space="preserve">. </w:t>
      </w:r>
      <w:r w:rsidR="004D3490">
        <w:rPr>
          <w:rFonts w:ascii="Calibri" w:eastAsia="Times New Roman" w:hAnsi="Calibri" w:cs="Calibri"/>
          <w:color w:val="000000"/>
          <w:sz w:val="22"/>
          <w:szCs w:val="22"/>
        </w:rPr>
        <w:t xml:space="preserve">The authors </w:t>
      </w:r>
      <w:r w:rsidR="000A1D8F">
        <w:rPr>
          <w:rFonts w:ascii="Calibri" w:eastAsia="Times New Roman" w:hAnsi="Calibri" w:cs="Calibri"/>
          <w:color w:val="000000"/>
          <w:sz w:val="22"/>
          <w:szCs w:val="22"/>
        </w:rPr>
        <w:t xml:space="preserve">largely </w:t>
      </w:r>
      <w:r w:rsidR="004D3490">
        <w:rPr>
          <w:rFonts w:ascii="Calibri" w:eastAsia="Times New Roman" w:hAnsi="Calibri" w:cs="Calibri"/>
          <w:color w:val="000000"/>
          <w:sz w:val="22"/>
          <w:szCs w:val="22"/>
        </w:rPr>
        <w:t xml:space="preserve">agree that </w:t>
      </w:r>
      <w:r w:rsidR="000A1D8F">
        <w:rPr>
          <w:rFonts w:ascii="Calibri" w:eastAsia="Times New Roman" w:hAnsi="Calibri" w:cs="Calibri"/>
          <w:color w:val="000000"/>
          <w:sz w:val="22"/>
          <w:szCs w:val="22"/>
        </w:rPr>
        <w:t>downstream unit operations can be either stainless steel or single use</w:t>
      </w:r>
      <w:r w:rsidR="00B749A7">
        <w:rPr>
          <w:rFonts w:ascii="Calibri" w:eastAsia="Times New Roman" w:hAnsi="Calibri" w:cs="Calibri"/>
          <w:color w:val="000000"/>
          <w:sz w:val="22"/>
          <w:szCs w:val="22"/>
        </w:rPr>
        <w:t xml:space="preserve">. </w:t>
      </w:r>
    </w:p>
    <w:p w14:paraId="11F77F1F" w14:textId="7269CDC3" w:rsidR="002F4DCA" w:rsidRPr="002F4DCA" w:rsidRDefault="00C479D2" w:rsidP="00C337F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Similarly,</w:t>
      </w:r>
      <w:r w:rsidR="00EF549E">
        <w:rPr>
          <w:rFonts w:ascii="Calibri" w:eastAsia="Times New Roman" w:hAnsi="Calibri" w:cs="Calibri"/>
          <w:color w:val="000000"/>
          <w:sz w:val="22"/>
          <w:szCs w:val="22"/>
        </w:rPr>
        <w:t xml:space="preserve"> many of the benefits attributed to </w:t>
      </w:r>
      <w:r>
        <w:rPr>
          <w:rFonts w:ascii="Calibri" w:eastAsia="Times New Roman" w:hAnsi="Calibri" w:cs="Calibri"/>
          <w:color w:val="000000"/>
          <w:sz w:val="22"/>
          <w:szCs w:val="22"/>
        </w:rPr>
        <w:t xml:space="preserve">ICB </w:t>
      </w:r>
      <w:r w:rsidR="00EF549E">
        <w:rPr>
          <w:rFonts w:ascii="Calibri" w:eastAsia="Times New Roman" w:hAnsi="Calibri" w:cs="Calibri"/>
          <w:color w:val="000000"/>
          <w:sz w:val="22"/>
          <w:szCs w:val="22"/>
        </w:rPr>
        <w:t xml:space="preserve">are due to </w:t>
      </w:r>
      <w:r w:rsidR="005A4C79">
        <w:rPr>
          <w:rFonts w:ascii="Calibri" w:eastAsia="Times New Roman" w:hAnsi="Calibri" w:cs="Calibri"/>
          <w:color w:val="000000"/>
          <w:sz w:val="22"/>
          <w:szCs w:val="22"/>
        </w:rPr>
        <w:t>high</w:t>
      </w:r>
      <w:r>
        <w:rPr>
          <w:rFonts w:ascii="Calibri" w:eastAsia="Times New Roman" w:hAnsi="Calibri" w:cs="Calibri"/>
          <w:color w:val="000000"/>
          <w:sz w:val="22"/>
          <w:szCs w:val="22"/>
        </w:rPr>
        <w:t xml:space="preserve"> degree of automation</w:t>
      </w:r>
      <w:r w:rsidR="007642A8">
        <w:rPr>
          <w:rFonts w:ascii="Calibri" w:eastAsia="Times New Roman" w:hAnsi="Calibri" w:cs="Calibri"/>
          <w:color w:val="000000"/>
          <w:sz w:val="22"/>
          <w:szCs w:val="22"/>
        </w:rPr>
        <w:t xml:space="preserve">, which reduces labor costs. This same degree of automation would also reduce labor costs for classic batch processing as well. </w:t>
      </w:r>
    </w:p>
    <w:p w14:paraId="75B9DAEC" w14:textId="0F39A668" w:rsidR="00DC731E" w:rsidRDefault="00DC731E"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Here we </w:t>
      </w:r>
      <w:r w:rsidR="00177100">
        <w:rPr>
          <w:rFonts w:ascii="Calibri" w:eastAsia="Times New Roman" w:hAnsi="Calibri" w:cs="Calibri"/>
          <w:color w:val="000000"/>
          <w:sz w:val="22"/>
          <w:szCs w:val="22"/>
        </w:rPr>
        <w:t xml:space="preserve">report and </w:t>
      </w:r>
      <w:r>
        <w:rPr>
          <w:rFonts w:ascii="Calibri" w:eastAsia="Times New Roman" w:hAnsi="Calibri" w:cs="Calibri"/>
          <w:color w:val="000000"/>
          <w:sz w:val="22"/>
          <w:szCs w:val="22"/>
        </w:rPr>
        <w:t xml:space="preserve">review </w:t>
      </w:r>
      <w:r w:rsidR="002F4DCA">
        <w:rPr>
          <w:rFonts w:ascii="Calibri" w:eastAsia="Times New Roman" w:hAnsi="Calibri" w:cs="Calibri"/>
          <w:color w:val="000000"/>
          <w:sz w:val="22"/>
          <w:szCs w:val="22"/>
        </w:rPr>
        <w:t xml:space="preserve">several of </w:t>
      </w:r>
      <w:r>
        <w:rPr>
          <w:rFonts w:ascii="Calibri" w:eastAsia="Times New Roman" w:hAnsi="Calibri" w:cs="Calibri"/>
          <w:color w:val="000000"/>
          <w:sz w:val="22"/>
          <w:szCs w:val="22"/>
        </w:rPr>
        <w:t xml:space="preserve">the </w:t>
      </w:r>
      <w:r w:rsidR="00E17AAF">
        <w:rPr>
          <w:rFonts w:ascii="Calibri" w:eastAsia="Times New Roman" w:hAnsi="Calibri" w:cs="Calibri"/>
          <w:color w:val="000000"/>
          <w:sz w:val="22"/>
          <w:szCs w:val="22"/>
        </w:rPr>
        <w:t>largest biopharmaceutical companies ICB</w:t>
      </w:r>
      <w:r w:rsidR="00DF124F">
        <w:rPr>
          <w:rFonts w:ascii="Calibri" w:eastAsia="Times New Roman" w:hAnsi="Calibri" w:cs="Calibri"/>
          <w:color w:val="000000"/>
          <w:sz w:val="22"/>
          <w:szCs w:val="22"/>
        </w:rPr>
        <w:t xml:space="preserve"> platforms</w:t>
      </w:r>
      <w:r w:rsidR="00E17AAF">
        <w:rPr>
          <w:rFonts w:ascii="Calibri" w:eastAsia="Times New Roman" w:hAnsi="Calibri" w:cs="Calibri"/>
          <w:color w:val="000000"/>
          <w:sz w:val="22"/>
          <w:szCs w:val="22"/>
        </w:rPr>
        <w:t xml:space="preserve"> </w:t>
      </w:r>
      <w:r w:rsidR="009B1A50">
        <w:rPr>
          <w:rFonts w:ascii="Calibri" w:eastAsia="Times New Roman" w:hAnsi="Calibri" w:cs="Calibri"/>
          <w:color w:val="000000"/>
          <w:sz w:val="22"/>
          <w:szCs w:val="22"/>
        </w:rPr>
        <w:t>to determine if the</w:t>
      </w:r>
      <w:r w:rsidR="009E67AA">
        <w:rPr>
          <w:rFonts w:ascii="Calibri" w:eastAsia="Times New Roman" w:hAnsi="Calibri" w:cs="Calibri"/>
          <w:color w:val="000000"/>
          <w:sz w:val="22"/>
          <w:szCs w:val="22"/>
        </w:rPr>
        <w:t>re</w:t>
      </w:r>
      <w:r w:rsidR="009B1A50">
        <w:rPr>
          <w:rFonts w:ascii="Calibri" w:eastAsia="Times New Roman" w:hAnsi="Calibri" w:cs="Calibri"/>
          <w:color w:val="000000"/>
          <w:sz w:val="22"/>
          <w:szCs w:val="22"/>
        </w:rPr>
        <w:t xml:space="preserve"> exists a common denominator in the industry. </w:t>
      </w:r>
      <w:r w:rsidR="00DF124F">
        <w:rPr>
          <w:rFonts w:ascii="Calibri" w:eastAsia="Times New Roman" w:hAnsi="Calibri" w:cs="Calibri"/>
          <w:color w:val="000000"/>
          <w:sz w:val="22"/>
          <w:szCs w:val="22"/>
        </w:rPr>
        <w:t xml:space="preserve">These processes are not often well described in the literature, and a significant amount of information comes from </w:t>
      </w:r>
      <w:r w:rsidR="00AE2B46">
        <w:rPr>
          <w:rFonts w:ascii="Calibri" w:eastAsia="Times New Roman" w:hAnsi="Calibri" w:cs="Calibri"/>
          <w:color w:val="000000"/>
          <w:sz w:val="22"/>
          <w:szCs w:val="22"/>
        </w:rPr>
        <w:t>public presentations.</w:t>
      </w:r>
      <w:r w:rsidR="009E67AA">
        <w:rPr>
          <w:rFonts w:ascii="Calibri" w:eastAsia="Times New Roman" w:hAnsi="Calibri" w:cs="Calibri"/>
          <w:color w:val="000000"/>
          <w:sz w:val="22"/>
          <w:szCs w:val="22"/>
        </w:rPr>
        <w:t xml:space="preserve"> </w:t>
      </w:r>
      <w:r w:rsidR="001E6AA2">
        <w:rPr>
          <w:rFonts w:ascii="Calibri" w:eastAsia="Times New Roman" w:hAnsi="Calibri" w:cs="Calibri"/>
          <w:color w:val="000000"/>
          <w:sz w:val="22"/>
          <w:szCs w:val="22"/>
        </w:rPr>
        <w:t>There are many ICB processes</w:t>
      </w:r>
      <w:r w:rsidR="00472D1F">
        <w:rPr>
          <w:rFonts w:ascii="Calibri" w:eastAsia="Times New Roman" w:hAnsi="Calibri" w:cs="Calibri"/>
          <w:color w:val="000000"/>
          <w:sz w:val="22"/>
          <w:szCs w:val="22"/>
        </w:rPr>
        <w:t xml:space="preserve"> that have not found their way into common </w:t>
      </w:r>
      <w:r w:rsidR="0043703E">
        <w:rPr>
          <w:rFonts w:ascii="Calibri" w:eastAsia="Times New Roman" w:hAnsi="Calibri" w:cs="Calibri"/>
          <w:color w:val="000000"/>
          <w:sz w:val="22"/>
          <w:szCs w:val="22"/>
        </w:rPr>
        <w:t>practice and will not be discussed</w:t>
      </w:r>
      <w:r w:rsidR="00472D1F">
        <w:rPr>
          <w:rFonts w:ascii="Calibri" w:eastAsia="Times New Roman" w:hAnsi="Calibri" w:cs="Calibri"/>
          <w:color w:val="000000"/>
          <w:sz w:val="22"/>
          <w:szCs w:val="22"/>
        </w:rPr>
        <w:t xml:space="preserve">. Many of these processes are valuable and will likely be implemented in the future. </w:t>
      </w:r>
      <w:r w:rsidR="00F16520">
        <w:rPr>
          <w:rFonts w:ascii="Calibri" w:eastAsia="Times New Roman" w:hAnsi="Calibri" w:cs="Calibri"/>
          <w:color w:val="000000"/>
          <w:sz w:val="22"/>
          <w:szCs w:val="22"/>
        </w:rPr>
        <w:t xml:space="preserve">This article will not disclose individual </w:t>
      </w:r>
      <w:r w:rsidR="00504D4D">
        <w:rPr>
          <w:rFonts w:ascii="Calibri" w:eastAsia="Times New Roman" w:hAnsi="Calibri" w:cs="Calibri"/>
          <w:color w:val="000000"/>
          <w:sz w:val="22"/>
          <w:szCs w:val="22"/>
        </w:rPr>
        <w:t>companies’</w:t>
      </w:r>
      <w:r w:rsidR="00A97AF1">
        <w:rPr>
          <w:rFonts w:ascii="Calibri" w:eastAsia="Times New Roman" w:hAnsi="Calibri" w:cs="Calibri"/>
          <w:color w:val="000000"/>
          <w:sz w:val="22"/>
          <w:szCs w:val="22"/>
        </w:rPr>
        <w:t xml:space="preserve"> platforms except where a citation </w:t>
      </w:r>
      <w:r w:rsidR="00AA2F81">
        <w:rPr>
          <w:rFonts w:ascii="Calibri" w:eastAsia="Times New Roman" w:hAnsi="Calibri" w:cs="Calibri"/>
          <w:color w:val="000000"/>
          <w:sz w:val="22"/>
          <w:szCs w:val="22"/>
        </w:rPr>
        <w:t>exists,</w:t>
      </w:r>
      <w:r w:rsidR="00A97AF1">
        <w:rPr>
          <w:rFonts w:ascii="Calibri" w:eastAsia="Times New Roman" w:hAnsi="Calibri" w:cs="Calibri"/>
          <w:color w:val="000000"/>
          <w:sz w:val="22"/>
          <w:szCs w:val="22"/>
        </w:rPr>
        <w:t xml:space="preserve"> or disclosure permission is given. </w:t>
      </w:r>
      <w:r w:rsidR="00177100">
        <w:rPr>
          <w:rFonts w:ascii="Calibri" w:eastAsia="Times New Roman" w:hAnsi="Calibri" w:cs="Calibri"/>
          <w:color w:val="000000"/>
          <w:sz w:val="22"/>
          <w:szCs w:val="22"/>
        </w:rPr>
        <w:t xml:space="preserve">Other features will remain </w:t>
      </w:r>
      <w:r w:rsidR="00B1294E">
        <w:rPr>
          <w:rFonts w:ascii="Calibri" w:eastAsia="Times New Roman" w:hAnsi="Calibri" w:cs="Calibri"/>
          <w:color w:val="000000"/>
          <w:sz w:val="22"/>
          <w:szCs w:val="22"/>
        </w:rPr>
        <w:t>proprietary</w:t>
      </w:r>
      <w:r w:rsidR="00177100">
        <w:rPr>
          <w:rFonts w:ascii="Calibri" w:eastAsia="Times New Roman" w:hAnsi="Calibri" w:cs="Calibri"/>
          <w:color w:val="000000"/>
          <w:sz w:val="22"/>
          <w:szCs w:val="22"/>
        </w:rPr>
        <w:t xml:space="preserve"> and w</w:t>
      </w:r>
      <w:r w:rsidR="00B1294E">
        <w:rPr>
          <w:rFonts w:ascii="Calibri" w:eastAsia="Times New Roman" w:hAnsi="Calibri" w:cs="Calibri"/>
          <w:color w:val="000000"/>
          <w:sz w:val="22"/>
          <w:szCs w:val="22"/>
        </w:rPr>
        <w:t>ill not be described.</w:t>
      </w:r>
      <w:r w:rsidR="00831D04">
        <w:rPr>
          <w:rFonts w:ascii="Calibri" w:eastAsia="Times New Roman" w:hAnsi="Calibri" w:cs="Calibri"/>
          <w:color w:val="000000"/>
          <w:sz w:val="22"/>
          <w:szCs w:val="22"/>
        </w:rPr>
        <w:t xml:space="preserve"> </w:t>
      </w:r>
    </w:p>
    <w:p w14:paraId="6D84B2F0" w14:textId="33E96483" w:rsidR="00472D1F" w:rsidRDefault="00472D1F"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After discussing the various ICB implementation strategies, w</w:t>
      </w:r>
      <w:r w:rsidR="006A1372">
        <w:rPr>
          <w:rFonts w:ascii="Calibri" w:eastAsia="Times New Roman" w:hAnsi="Calibri" w:cs="Calibri"/>
          <w:color w:val="000000"/>
          <w:sz w:val="22"/>
          <w:szCs w:val="22"/>
        </w:rPr>
        <w:t xml:space="preserve">e outline a stepping-stone approach for conversion from fed-batch to </w:t>
      </w:r>
      <w:r w:rsidR="00EA41DC">
        <w:rPr>
          <w:rFonts w:ascii="Calibri" w:eastAsia="Times New Roman" w:hAnsi="Calibri" w:cs="Calibri"/>
          <w:color w:val="000000"/>
          <w:sz w:val="22"/>
          <w:szCs w:val="22"/>
        </w:rPr>
        <w:t>perfusion bioreactors</w:t>
      </w:r>
      <w:r>
        <w:rPr>
          <w:rFonts w:ascii="Calibri" w:eastAsia="Times New Roman" w:hAnsi="Calibri" w:cs="Calibri"/>
          <w:color w:val="000000"/>
          <w:sz w:val="22"/>
          <w:szCs w:val="22"/>
        </w:rPr>
        <w:t xml:space="preserve"> </w:t>
      </w:r>
      <w:r w:rsidR="009E67AA">
        <w:rPr>
          <w:rFonts w:ascii="Calibri" w:eastAsia="Times New Roman" w:hAnsi="Calibri" w:cs="Calibri"/>
          <w:color w:val="000000"/>
          <w:sz w:val="22"/>
          <w:szCs w:val="22"/>
        </w:rPr>
        <w:t>with an</w:t>
      </w:r>
      <w:r>
        <w:rPr>
          <w:rFonts w:ascii="Calibri" w:eastAsia="Times New Roman" w:hAnsi="Calibri" w:cs="Calibri"/>
          <w:color w:val="000000"/>
          <w:sz w:val="22"/>
          <w:szCs w:val="22"/>
        </w:rPr>
        <w:t xml:space="preserve"> integrated</w:t>
      </w:r>
      <w:r w:rsidR="009E67AA">
        <w:rPr>
          <w:rFonts w:ascii="Calibri" w:eastAsia="Times New Roman" w:hAnsi="Calibri" w:cs="Calibri"/>
          <w:color w:val="000000"/>
          <w:sz w:val="22"/>
          <w:szCs w:val="22"/>
        </w:rPr>
        <w:t xml:space="preserve"> downstream</w:t>
      </w:r>
      <w:r w:rsidR="00506C45">
        <w:rPr>
          <w:rFonts w:ascii="Calibri" w:eastAsia="Times New Roman" w:hAnsi="Calibri" w:cs="Calibri"/>
          <w:color w:val="000000"/>
          <w:sz w:val="22"/>
          <w:szCs w:val="22"/>
        </w:rPr>
        <w:t xml:space="preserve">. </w:t>
      </w:r>
      <w:r w:rsidR="009E67AA">
        <w:rPr>
          <w:rFonts w:ascii="Calibri" w:eastAsia="Times New Roman" w:hAnsi="Calibri" w:cs="Calibri"/>
          <w:color w:val="000000"/>
          <w:sz w:val="22"/>
          <w:szCs w:val="22"/>
        </w:rPr>
        <w:t xml:space="preserve">This will allow the use of existing manufacturing facilities to use ICB and obtain most of the benefits associated with ICB. </w:t>
      </w:r>
    </w:p>
    <w:p w14:paraId="02B6FA34" w14:textId="3B98C466" w:rsidR="003E2182" w:rsidRDefault="00472D1F"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We then conclude with a quantitative description of the framework integrated and continuous bioprocess.</w:t>
      </w:r>
      <w:r w:rsidR="009E67AA">
        <w:rPr>
          <w:rFonts w:ascii="Calibri" w:eastAsia="Times New Roman" w:hAnsi="Calibri" w:cs="Calibri"/>
          <w:color w:val="000000"/>
          <w:sz w:val="22"/>
          <w:szCs w:val="22"/>
        </w:rPr>
        <w:t xml:space="preserve"> This process description</w:t>
      </w:r>
      <w:r>
        <w:rPr>
          <w:rFonts w:ascii="Calibri" w:eastAsia="Times New Roman" w:hAnsi="Calibri" w:cs="Calibri"/>
          <w:color w:val="000000"/>
          <w:sz w:val="22"/>
          <w:szCs w:val="22"/>
        </w:rPr>
        <w:t xml:space="preserve"> </w:t>
      </w:r>
      <w:r w:rsidR="009E67AA">
        <w:rPr>
          <w:rFonts w:ascii="Calibri" w:eastAsia="Times New Roman" w:hAnsi="Calibri" w:cs="Calibri"/>
          <w:color w:val="000000"/>
          <w:sz w:val="22"/>
          <w:szCs w:val="22"/>
        </w:rPr>
        <w:t>is sufficient for companies to develop a</w:t>
      </w:r>
      <w:r w:rsidR="00265513">
        <w:rPr>
          <w:rFonts w:ascii="Calibri" w:eastAsia="Times New Roman" w:hAnsi="Calibri" w:cs="Calibri"/>
          <w:color w:val="000000"/>
          <w:sz w:val="22"/>
          <w:szCs w:val="22"/>
        </w:rPr>
        <w:t>n</w:t>
      </w:r>
      <w:r w:rsidR="009E67AA">
        <w:rPr>
          <w:rFonts w:ascii="Calibri" w:eastAsia="Times New Roman" w:hAnsi="Calibri" w:cs="Calibri"/>
          <w:color w:val="000000"/>
          <w:sz w:val="22"/>
          <w:szCs w:val="22"/>
        </w:rPr>
        <w:t xml:space="preserve"> ICB platform, and as a design basis for equipment vendors and CMOs. Some features that companies have built on top of the common denominator will be described in sufficient detail to allow CMOs and vendors to design equipment that will allow expansion.  </w:t>
      </w:r>
    </w:p>
    <w:p w14:paraId="333A8217" w14:textId="2262A526" w:rsidR="0041023B" w:rsidRDefault="0041023B" w:rsidP="00DC731E">
      <w:pPr>
        <w:textAlignment w:val="center"/>
        <w:rPr>
          <w:rFonts w:ascii="Calibri" w:eastAsia="Times New Roman" w:hAnsi="Calibri" w:cs="Calibri"/>
          <w:color w:val="000000"/>
          <w:sz w:val="22"/>
          <w:szCs w:val="22"/>
        </w:rPr>
      </w:pPr>
    </w:p>
    <w:p w14:paraId="60BCA8C4" w14:textId="43380F50" w:rsidR="00177100" w:rsidRDefault="00472D1F"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At a high level, the integrated and continuous bioprocesses being used by industry reflect the </w:t>
      </w:r>
      <w:proofErr w:type="spellStart"/>
      <w:r>
        <w:rPr>
          <w:rFonts w:ascii="Calibri" w:eastAsia="Times New Roman" w:hAnsi="Calibri" w:cs="Calibri"/>
          <w:color w:val="000000"/>
          <w:sz w:val="22"/>
          <w:szCs w:val="22"/>
        </w:rPr>
        <w:t>mAb</w:t>
      </w:r>
      <w:proofErr w:type="spellEnd"/>
      <w:r>
        <w:rPr>
          <w:rFonts w:ascii="Calibri" w:eastAsia="Times New Roman" w:hAnsi="Calibri" w:cs="Calibri"/>
          <w:color w:val="000000"/>
          <w:sz w:val="22"/>
          <w:szCs w:val="22"/>
        </w:rPr>
        <w:t xml:space="preserve"> platform processes [Kelley 2008, </w:t>
      </w:r>
      <w:proofErr w:type="spellStart"/>
      <w:r>
        <w:rPr>
          <w:rFonts w:ascii="Calibri" w:eastAsia="Times New Roman" w:hAnsi="Calibri" w:cs="Calibri"/>
          <w:color w:val="000000"/>
          <w:sz w:val="22"/>
          <w:szCs w:val="22"/>
        </w:rPr>
        <w:t>etc</w:t>
      </w:r>
      <w:proofErr w:type="spellEnd"/>
      <w:r>
        <w:rPr>
          <w:rFonts w:ascii="Calibri" w:eastAsia="Times New Roman" w:hAnsi="Calibri" w:cs="Calibri"/>
          <w:color w:val="000000"/>
          <w:sz w:val="22"/>
          <w:szCs w:val="22"/>
        </w:rPr>
        <w:t xml:space="preserve">] upon which they were built. </w:t>
      </w:r>
      <w:r w:rsidR="00A91F3F">
        <w:rPr>
          <w:rFonts w:ascii="Calibri" w:eastAsia="Times New Roman" w:hAnsi="Calibri" w:cs="Calibri"/>
          <w:color w:val="000000"/>
          <w:sz w:val="22"/>
          <w:szCs w:val="22"/>
        </w:rPr>
        <w:t>Thes</w:t>
      </w:r>
      <w:r w:rsidR="00E3498E">
        <w:rPr>
          <w:rFonts w:ascii="Calibri" w:eastAsia="Times New Roman" w:hAnsi="Calibri" w:cs="Calibri"/>
          <w:color w:val="000000"/>
          <w:sz w:val="22"/>
          <w:szCs w:val="22"/>
        </w:rPr>
        <w:t xml:space="preserve">e processes begin with </w:t>
      </w:r>
      <w:r w:rsidR="00204FE4">
        <w:rPr>
          <w:rFonts w:ascii="Calibri" w:eastAsia="Times New Roman" w:hAnsi="Calibri" w:cs="Calibri"/>
          <w:color w:val="000000"/>
          <w:sz w:val="22"/>
          <w:szCs w:val="22"/>
        </w:rPr>
        <w:t>bioreactors with only minor modifications from those used for decades. The</w:t>
      </w:r>
      <w:r w:rsidR="002A6B55">
        <w:rPr>
          <w:rFonts w:ascii="Calibri" w:eastAsia="Times New Roman" w:hAnsi="Calibri" w:cs="Calibri"/>
          <w:color w:val="000000"/>
          <w:sz w:val="22"/>
          <w:szCs w:val="22"/>
        </w:rPr>
        <w:t xml:space="preserve">y link the bioreactor directly to an integrated downstream </w:t>
      </w:r>
      <w:r w:rsidR="006661B4">
        <w:rPr>
          <w:rFonts w:ascii="Calibri" w:eastAsia="Times New Roman" w:hAnsi="Calibri" w:cs="Calibri"/>
          <w:color w:val="000000"/>
          <w:sz w:val="22"/>
          <w:szCs w:val="22"/>
        </w:rPr>
        <w:t>that</w:t>
      </w:r>
      <w:r w:rsidR="002A6B55">
        <w:rPr>
          <w:rFonts w:ascii="Calibri" w:eastAsia="Times New Roman" w:hAnsi="Calibri" w:cs="Calibri"/>
          <w:color w:val="000000"/>
          <w:sz w:val="22"/>
          <w:szCs w:val="22"/>
        </w:rPr>
        <w:t xml:space="preserve"> is based on batch chromatography processes </w:t>
      </w:r>
      <w:r w:rsidR="008B368D">
        <w:rPr>
          <w:rFonts w:ascii="Calibri" w:eastAsia="Times New Roman" w:hAnsi="Calibri" w:cs="Calibri"/>
          <w:color w:val="000000"/>
          <w:sz w:val="22"/>
          <w:szCs w:val="22"/>
        </w:rPr>
        <w:t xml:space="preserve">that also have been used for decades. </w:t>
      </w:r>
      <w:r w:rsidR="007B5FAE">
        <w:rPr>
          <w:rFonts w:ascii="Calibri" w:eastAsia="Times New Roman" w:hAnsi="Calibri" w:cs="Calibri"/>
          <w:color w:val="000000"/>
          <w:sz w:val="22"/>
          <w:szCs w:val="22"/>
        </w:rPr>
        <w:t>In many cases,</w:t>
      </w:r>
      <w:r w:rsidR="008A7CFF">
        <w:rPr>
          <w:rFonts w:ascii="Calibri" w:eastAsia="Times New Roman" w:hAnsi="Calibri" w:cs="Calibri"/>
          <w:color w:val="000000"/>
          <w:sz w:val="22"/>
          <w:szCs w:val="22"/>
        </w:rPr>
        <w:t xml:space="preserve"> the chemistry (</w:t>
      </w:r>
      <w:r w:rsidR="007B5FAE">
        <w:rPr>
          <w:rFonts w:ascii="Calibri" w:eastAsia="Times New Roman" w:hAnsi="Calibri" w:cs="Calibri"/>
          <w:color w:val="000000"/>
          <w:sz w:val="22"/>
          <w:szCs w:val="22"/>
        </w:rPr>
        <w:t xml:space="preserve">resins, buffer composition, and </w:t>
      </w:r>
      <w:r w:rsidR="00E43986">
        <w:rPr>
          <w:rFonts w:ascii="Calibri" w:eastAsia="Times New Roman" w:hAnsi="Calibri" w:cs="Calibri"/>
          <w:color w:val="000000"/>
          <w:sz w:val="22"/>
          <w:szCs w:val="22"/>
        </w:rPr>
        <w:t>membrane composition)</w:t>
      </w:r>
      <w:r w:rsidR="007B5FAE">
        <w:rPr>
          <w:rFonts w:ascii="Calibri" w:eastAsia="Times New Roman" w:hAnsi="Calibri" w:cs="Calibri"/>
          <w:color w:val="000000"/>
          <w:sz w:val="22"/>
          <w:szCs w:val="22"/>
        </w:rPr>
        <w:t xml:space="preserve"> </w:t>
      </w:r>
      <w:r w:rsidR="00DD12EF">
        <w:rPr>
          <w:rFonts w:ascii="Calibri" w:eastAsia="Times New Roman" w:hAnsi="Calibri" w:cs="Calibri"/>
          <w:color w:val="000000"/>
          <w:sz w:val="22"/>
          <w:szCs w:val="22"/>
        </w:rPr>
        <w:t>is</w:t>
      </w:r>
      <w:r w:rsidR="007B5FAE">
        <w:rPr>
          <w:rFonts w:ascii="Calibri" w:eastAsia="Times New Roman" w:hAnsi="Calibri" w:cs="Calibri"/>
          <w:color w:val="000000"/>
          <w:sz w:val="22"/>
          <w:szCs w:val="22"/>
        </w:rPr>
        <w:t xml:space="preserve"> </w:t>
      </w:r>
      <w:r w:rsidR="000A0048">
        <w:rPr>
          <w:rFonts w:ascii="Calibri" w:eastAsia="Times New Roman" w:hAnsi="Calibri" w:cs="Calibri"/>
          <w:color w:val="000000"/>
          <w:sz w:val="22"/>
          <w:szCs w:val="22"/>
        </w:rPr>
        <w:t>identical</w:t>
      </w:r>
      <w:r w:rsidR="007B5FAE">
        <w:rPr>
          <w:rFonts w:ascii="Calibri" w:eastAsia="Times New Roman" w:hAnsi="Calibri" w:cs="Calibri"/>
          <w:color w:val="000000"/>
          <w:sz w:val="22"/>
          <w:szCs w:val="22"/>
        </w:rPr>
        <w:t xml:space="preserve"> to historical platform. </w:t>
      </w:r>
      <w:r w:rsidR="008B368D">
        <w:rPr>
          <w:rFonts w:ascii="Calibri" w:eastAsia="Times New Roman" w:hAnsi="Calibri" w:cs="Calibri"/>
          <w:color w:val="000000"/>
          <w:sz w:val="22"/>
          <w:szCs w:val="22"/>
        </w:rPr>
        <w:t>Product pools are eliminated or minimized.</w:t>
      </w:r>
      <w:r w:rsidR="000C5F98">
        <w:rPr>
          <w:rFonts w:ascii="Calibri" w:eastAsia="Times New Roman" w:hAnsi="Calibri" w:cs="Calibri"/>
          <w:color w:val="000000"/>
          <w:sz w:val="22"/>
          <w:szCs w:val="22"/>
        </w:rPr>
        <w:t xml:space="preserve"> </w:t>
      </w:r>
      <w:r w:rsidR="0006775C">
        <w:rPr>
          <w:rFonts w:ascii="Calibri" w:eastAsia="Times New Roman" w:hAnsi="Calibri" w:cs="Calibri"/>
          <w:color w:val="000000"/>
          <w:sz w:val="22"/>
          <w:szCs w:val="22"/>
        </w:rPr>
        <w:t>Media and b</w:t>
      </w:r>
      <w:r w:rsidR="000C5F98">
        <w:rPr>
          <w:rFonts w:ascii="Calibri" w:eastAsia="Times New Roman" w:hAnsi="Calibri" w:cs="Calibri"/>
          <w:color w:val="000000"/>
          <w:sz w:val="22"/>
          <w:szCs w:val="22"/>
        </w:rPr>
        <w:t xml:space="preserve">uffer </w:t>
      </w:r>
      <w:r w:rsidR="00E62CEE">
        <w:rPr>
          <w:rFonts w:ascii="Calibri" w:eastAsia="Times New Roman" w:hAnsi="Calibri" w:cs="Calibri"/>
          <w:color w:val="000000"/>
          <w:sz w:val="22"/>
          <w:szCs w:val="22"/>
        </w:rPr>
        <w:t>concentrates</w:t>
      </w:r>
      <w:r w:rsidR="000C5F98">
        <w:rPr>
          <w:rFonts w:ascii="Calibri" w:eastAsia="Times New Roman" w:hAnsi="Calibri" w:cs="Calibri"/>
          <w:color w:val="000000"/>
          <w:sz w:val="22"/>
          <w:szCs w:val="22"/>
        </w:rPr>
        <w:t xml:space="preserve"> are </w:t>
      </w:r>
      <w:r w:rsidR="0006775C">
        <w:rPr>
          <w:rFonts w:ascii="Calibri" w:eastAsia="Times New Roman" w:hAnsi="Calibri" w:cs="Calibri"/>
          <w:color w:val="000000"/>
          <w:sz w:val="22"/>
          <w:szCs w:val="22"/>
        </w:rPr>
        <w:t>required</w:t>
      </w:r>
      <w:r w:rsidR="00DD12EF">
        <w:rPr>
          <w:rFonts w:ascii="Calibri" w:eastAsia="Times New Roman" w:hAnsi="Calibri" w:cs="Calibri"/>
          <w:color w:val="000000"/>
          <w:sz w:val="22"/>
          <w:szCs w:val="22"/>
        </w:rPr>
        <w:t xml:space="preserve"> due to space constraints</w:t>
      </w:r>
      <w:r w:rsidR="0006775C">
        <w:rPr>
          <w:rFonts w:ascii="Calibri" w:eastAsia="Times New Roman" w:hAnsi="Calibri" w:cs="Calibri"/>
          <w:color w:val="000000"/>
          <w:sz w:val="22"/>
          <w:szCs w:val="22"/>
        </w:rPr>
        <w:t xml:space="preserve"> for the more productive processes. In-line </w:t>
      </w:r>
      <w:r w:rsidR="00174A70">
        <w:rPr>
          <w:rFonts w:ascii="Calibri" w:eastAsia="Times New Roman" w:hAnsi="Calibri" w:cs="Calibri"/>
          <w:color w:val="000000"/>
          <w:sz w:val="22"/>
          <w:szCs w:val="22"/>
        </w:rPr>
        <w:t xml:space="preserve">titration is also required for </w:t>
      </w:r>
      <w:r w:rsidR="00232214">
        <w:rPr>
          <w:rFonts w:ascii="Calibri" w:eastAsia="Times New Roman" w:hAnsi="Calibri" w:cs="Calibri"/>
          <w:color w:val="000000"/>
          <w:sz w:val="22"/>
          <w:szCs w:val="22"/>
        </w:rPr>
        <w:t>many linked unit operations. Process Analytical Technologies (PAT) are used</w:t>
      </w:r>
      <w:r w:rsidR="00FB7E8C">
        <w:rPr>
          <w:rFonts w:ascii="Calibri" w:eastAsia="Times New Roman" w:hAnsi="Calibri" w:cs="Calibri"/>
          <w:color w:val="000000"/>
          <w:sz w:val="22"/>
          <w:szCs w:val="22"/>
        </w:rPr>
        <w:t xml:space="preserve">, but in many </w:t>
      </w:r>
      <w:r w:rsidR="00E62CEE">
        <w:rPr>
          <w:rFonts w:ascii="Calibri" w:eastAsia="Times New Roman" w:hAnsi="Calibri" w:cs="Calibri"/>
          <w:color w:val="000000"/>
          <w:sz w:val="22"/>
          <w:szCs w:val="22"/>
        </w:rPr>
        <w:t xml:space="preserve">cases, </w:t>
      </w:r>
      <w:r w:rsidR="00FB7E8C">
        <w:rPr>
          <w:rFonts w:ascii="Calibri" w:eastAsia="Times New Roman" w:hAnsi="Calibri" w:cs="Calibri"/>
          <w:color w:val="000000"/>
          <w:sz w:val="22"/>
          <w:szCs w:val="22"/>
        </w:rPr>
        <w:t xml:space="preserve">they are not much more complex than those used in batch processes. </w:t>
      </w:r>
    </w:p>
    <w:p w14:paraId="557951F5" w14:textId="77777777" w:rsidR="00FB7E8C" w:rsidRDefault="00FB7E8C" w:rsidP="00DC731E">
      <w:pPr>
        <w:textAlignment w:val="center"/>
        <w:rPr>
          <w:rFonts w:ascii="Calibri" w:eastAsia="Times New Roman" w:hAnsi="Calibri" w:cs="Calibri"/>
          <w:color w:val="000000"/>
          <w:sz w:val="22"/>
          <w:szCs w:val="22"/>
        </w:rPr>
      </w:pPr>
    </w:p>
    <w:p w14:paraId="4B532824" w14:textId="506F029A" w:rsidR="00177100" w:rsidRPr="00FB7E8C" w:rsidRDefault="00177100" w:rsidP="00DC731E">
      <w:pPr>
        <w:textAlignment w:val="center"/>
        <w:rPr>
          <w:rFonts w:ascii="Calibri" w:eastAsia="Times New Roman" w:hAnsi="Calibri" w:cs="Calibri"/>
          <w:b/>
          <w:bCs/>
          <w:color w:val="000000"/>
          <w:sz w:val="22"/>
          <w:szCs w:val="22"/>
        </w:rPr>
      </w:pPr>
      <w:r w:rsidRPr="00FB7E8C">
        <w:rPr>
          <w:rFonts w:ascii="Calibri" w:eastAsia="Times New Roman" w:hAnsi="Calibri" w:cs="Calibri"/>
          <w:b/>
          <w:bCs/>
          <w:color w:val="000000"/>
          <w:sz w:val="22"/>
          <w:szCs w:val="22"/>
        </w:rPr>
        <w:t xml:space="preserve">N-1 Bioreactor description </w:t>
      </w:r>
    </w:p>
    <w:p w14:paraId="66694A95" w14:textId="2A59DAC5" w:rsidR="00A91F3F" w:rsidRDefault="00A91F3F" w:rsidP="00472D1F">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The N-1 bioreactor is often the first step that differs from classical batch processing. This step is often intensified by adding a perfusion step to </w:t>
      </w:r>
      <w:r w:rsidR="00487716">
        <w:rPr>
          <w:rFonts w:ascii="Calibri" w:eastAsia="Times New Roman" w:hAnsi="Calibri" w:cs="Calibri"/>
          <w:color w:val="000000"/>
          <w:sz w:val="22"/>
          <w:szCs w:val="22"/>
        </w:rPr>
        <w:t xml:space="preserve">achieve a high density of viable cells, which </w:t>
      </w:r>
      <w:r>
        <w:rPr>
          <w:rFonts w:ascii="Calibri" w:eastAsia="Times New Roman" w:hAnsi="Calibri" w:cs="Calibri"/>
          <w:color w:val="000000"/>
          <w:sz w:val="22"/>
          <w:szCs w:val="22"/>
        </w:rPr>
        <w:t xml:space="preserve">increase the inoculation cell density for the N-stage reactor. Like many of the process intensification </w:t>
      </w:r>
      <w:r>
        <w:rPr>
          <w:rFonts w:ascii="Calibri" w:eastAsia="Times New Roman" w:hAnsi="Calibri" w:cs="Calibri"/>
          <w:color w:val="000000"/>
          <w:sz w:val="22"/>
          <w:szCs w:val="22"/>
        </w:rPr>
        <w:lastRenderedPageBreak/>
        <w:t xml:space="preserve">methods described here, the N-1 perfusion step can be used in batch processing and in ICB. Indeed, N-1 perfusion has been used for decades at the 2000L scale [Ref Enbrel, </w:t>
      </w:r>
      <w:proofErr w:type="spellStart"/>
      <w:r>
        <w:rPr>
          <w:rFonts w:ascii="Calibri" w:eastAsia="Times New Roman" w:hAnsi="Calibri" w:cs="Calibri"/>
          <w:color w:val="000000"/>
          <w:sz w:val="22"/>
          <w:szCs w:val="22"/>
        </w:rPr>
        <w:t>etc</w:t>
      </w:r>
      <w:proofErr w:type="spellEnd"/>
      <w:r>
        <w:rPr>
          <w:rFonts w:ascii="Calibri" w:eastAsia="Times New Roman" w:hAnsi="Calibri" w:cs="Calibri"/>
          <w:color w:val="000000"/>
          <w:sz w:val="22"/>
          <w:szCs w:val="22"/>
        </w:rPr>
        <w:t xml:space="preserve">]. These processes used tangential flow filtration </w:t>
      </w:r>
      <w:r w:rsidR="00434601">
        <w:rPr>
          <w:rFonts w:ascii="Calibri" w:eastAsia="Times New Roman" w:hAnsi="Calibri" w:cs="Calibri"/>
          <w:color w:val="000000"/>
          <w:sz w:val="22"/>
          <w:szCs w:val="22"/>
        </w:rPr>
        <w:t xml:space="preserve">(TFF) </w:t>
      </w:r>
      <w:r>
        <w:rPr>
          <w:rFonts w:ascii="Calibri" w:eastAsia="Times New Roman" w:hAnsi="Calibri" w:cs="Calibri"/>
          <w:color w:val="000000"/>
          <w:sz w:val="22"/>
          <w:szCs w:val="22"/>
        </w:rPr>
        <w:t xml:space="preserve">with flat-sheet membranes as a cell-retention method. More recently, many processes use alternating tangential flow filtration </w:t>
      </w:r>
      <w:r w:rsidR="00434601">
        <w:rPr>
          <w:rFonts w:ascii="Calibri" w:eastAsia="Times New Roman" w:hAnsi="Calibri" w:cs="Calibri"/>
          <w:color w:val="000000"/>
          <w:sz w:val="22"/>
          <w:szCs w:val="22"/>
        </w:rPr>
        <w:t xml:space="preserve">(ATF) </w:t>
      </w:r>
      <w:r>
        <w:rPr>
          <w:rFonts w:ascii="Calibri" w:eastAsia="Times New Roman" w:hAnsi="Calibri" w:cs="Calibri"/>
          <w:color w:val="000000"/>
          <w:sz w:val="22"/>
          <w:szCs w:val="22"/>
        </w:rPr>
        <w:t xml:space="preserve">with hollow fibers [ref </w:t>
      </w:r>
      <w:proofErr w:type="spellStart"/>
      <w:r>
        <w:rPr>
          <w:rFonts w:ascii="Calibri" w:eastAsia="Times New Roman" w:hAnsi="Calibri" w:cs="Calibri"/>
          <w:color w:val="000000"/>
          <w:sz w:val="22"/>
          <w:szCs w:val="22"/>
        </w:rPr>
        <w:t>Repligen</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etc</w:t>
      </w:r>
      <w:proofErr w:type="spellEnd"/>
      <w:r>
        <w:rPr>
          <w:rFonts w:ascii="Calibri" w:eastAsia="Times New Roman" w:hAnsi="Calibri" w:cs="Calibri"/>
          <w:color w:val="000000"/>
          <w:sz w:val="22"/>
          <w:szCs w:val="22"/>
        </w:rPr>
        <w:t>].</w:t>
      </w:r>
      <w:r w:rsidR="00434601">
        <w:rPr>
          <w:rFonts w:ascii="Calibri" w:eastAsia="Times New Roman" w:hAnsi="Calibri" w:cs="Calibri"/>
          <w:color w:val="000000"/>
          <w:sz w:val="22"/>
          <w:szCs w:val="22"/>
        </w:rPr>
        <w:t xml:space="preserve"> ATF uses alternating retentate flow to reverse the Starling flow in the hollow fiber, which allows cleaning of fouled membrane, and uses more of the membrane surface area than standard TFF [Ref </w:t>
      </w:r>
      <w:proofErr w:type="spellStart"/>
      <w:r w:rsidR="00434601">
        <w:rPr>
          <w:rFonts w:ascii="Calibri" w:eastAsia="Times New Roman" w:hAnsi="Calibri" w:cs="Calibri"/>
          <w:color w:val="000000"/>
          <w:sz w:val="22"/>
          <w:szCs w:val="22"/>
        </w:rPr>
        <w:t>Flaka</w:t>
      </w:r>
      <w:proofErr w:type="spellEnd"/>
      <w:r w:rsidR="00434601">
        <w:rPr>
          <w:rFonts w:ascii="Calibri" w:eastAsia="Times New Roman" w:hAnsi="Calibri" w:cs="Calibri"/>
          <w:color w:val="000000"/>
          <w:sz w:val="22"/>
          <w:szCs w:val="22"/>
        </w:rPr>
        <w:t xml:space="preserve"> </w:t>
      </w:r>
      <w:proofErr w:type="spellStart"/>
      <w:r w:rsidR="00434601">
        <w:rPr>
          <w:rFonts w:ascii="Calibri" w:eastAsia="Times New Roman" w:hAnsi="Calibri" w:cs="Calibri"/>
          <w:color w:val="000000"/>
          <w:sz w:val="22"/>
          <w:szCs w:val="22"/>
        </w:rPr>
        <w:t>Radoniqi</w:t>
      </w:r>
      <w:proofErr w:type="spellEnd"/>
      <w:r w:rsidR="00434601">
        <w:rPr>
          <w:rFonts w:ascii="Calibri" w:eastAsia="Times New Roman" w:hAnsi="Calibri" w:cs="Calibri"/>
          <w:color w:val="000000"/>
          <w:sz w:val="22"/>
          <w:szCs w:val="22"/>
        </w:rPr>
        <w:t xml:space="preserve"> 2018]. These attributes of ATF are more </w:t>
      </w:r>
      <w:r w:rsidR="00487716">
        <w:rPr>
          <w:rFonts w:ascii="Calibri" w:eastAsia="Times New Roman" w:hAnsi="Calibri" w:cs="Calibri"/>
          <w:color w:val="000000"/>
          <w:sz w:val="22"/>
          <w:szCs w:val="22"/>
        </w:rPr>
        <w:t>for</w:t>
      </w:r>
      <w:r w:rsidR="00434601">
        <w:rPr>
          <w:rFonts w:ascii="Calibri" w:eastAsia="Times New Roman" w:hAnsi="Calibri" w:cs="Calibri"/>
          <w:color w:val="000000"/>
          <w:sz w:val="22"/>
          <w:szCs w:val="22"/>
        </w:rPr>
        <w:t xml:space="preserve"> the N-stage</w:t>
      </w:r>
      <w:r w:rsidR="00487716">
        <w:rPr>
          <w:rFonts w:ascii="Calibri" w:eastAsia="Times New Roman" w:hAnsi="Calibri" w:cs="Calibri"/>
          <w:color w:val="000000"/>
          <w:sz w:val="22"/>
          <w:szCs w:val="22"/>
        </w:rPr>
        <w:t xml:space="preserve"> perfusion bioreactor</w:t>
      </w:r>
      <w:r w:rsidR="00434601">
        <w:rPr>
          <w:rFonts w:ascii="Calibri" w:eastAsia="Times New Roman" w:hAnsi="Calibri" w:cs="Calibri"/>
          <w:color w:val="000000"/>
          <w:sz w:val="22"/>
          <w:szCs w:val="22"/>
        </w:rPr>
        <w:t xml:space="preserve">. </w:t>
      </w:r>
    </w:p>
    <w:p w14:paraId="481026F2" w14:textId="77777777" w:rsidR="00434601" w:rsidRPr="00472D1F" w:rsidRDefault="00434601" w:rsidP="00472D1F">
      <w:pPr>
        <w:textAlignment w:val="center"/>
        <w:rPr>
          <w:rFonts w:ascii="Calibri" w:eastAsia="Times New Roman" w:hAnsi="Calibri" w:cs="Calibri"/>
          <w:color w:val="000000"/>
          <w:sz w:val="22"/>
          <w:szCs w:val="22"/>
        </w:rPr>
      </w:pPr>
    </w:p>
    <w:p w14:paraId="34F1464E" w14:textId="437DD52B" w:rsidR="00177100" w:rsidRDefault="00177100"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Bioreactor description (FB and perfusion)</w:t>
      </w:r>
    </w:p>
    <w:p w14:paraId="4D67BC6B" w14:textId="50CE3E39" w:rsidR="006118AC" w:rsidRDefault="006118AC"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Many </w:t>
      </w:r>
      <w:r w:rsidR="0059639F">
        <w:rPr>
          <w:rFonts w:ascii="Calibri" w:eastAsia="Times New Roman" w:hAnsi="Calibri" w:cs="Calibri"/>
          <w:color w:val="000000"/>
          <w:sz w:val="22"/>
          <w:szCs w:val="22"/>
        </w:rPr>
        <w:t>companies</w:t>
      </w:r>
      <w:r w:rsidR="00632F47">
        <w:rPr>
          <w:rFonts w:ascii="Calibri" w:eastAsia="Times New Roman" w:hAnsi="Calibri" w:cs="Calibri"/>
          <w:color w:val="000000"/>
          <w:sz w:val="22"/>
          <w:szCs w:val="22"/>
        </w:rPr>
        <w:t xml:space="preserve"> have moved to</w:t>
      </w:r>
      <w:r w:rsidR="0059639F">
        <w:rPr>
          <w:rFonts w:ascii="Calibri" w:eastAsia="Times New Roman" w:hAnsi="Calibri" w:cs="Calibri"/>
          <w:color w:val="000000"/>
          <w:sz w:val="22"/>
          <w:szCs w:val="22"/>
        </w:rPr>
        <w:t>, or are exploring,</w:t>
      </w:r>
      <w:r w:rsidR="00632F47">
        <w:rPr>
          <w:rFonts w:ascii="Calibri" w:eastAsia="Times New Roman" w:hAnsi="Calibri" w:cs="Calibri"/>
          <w:color w:val="000000"/>
          <w:sz w:val="22"/>
          <w:szCs w:val="22"/>
        </w:rPr>
        <w:t xml:space="preserve"> perfusion-based bioreactor processes. Several have developed high-intensity fed-batch processes. </w:t>
      </w:r>
      <w:r w:rsidR="000072E6">
        <w:rPr>
          <w:rFonts w:ascii="Calibri" w:eastAsia="Times New Roman" w:hAnsi="Calibri" w:cs="Calibri"/>
          <w:color w:val="000000"/>
          <w:sz w:val="22"/>
          <w:szCs w:val="22"/>
        </w:rPr>
        <w:t xml:space="preserve">The high-density cultures require </w:t>
      </w:r>
      <w:r w:rsidR="009F1353">
        <w:rPr>
          <w:rFonts w:ascii="Calibri" w:eastAsia="Times New Roman" w:hAnsi="Calibri" w:cs="Calibri"/>
          <w:color w:val="000000"/>
          <w:sz w:val="22"/>
          <w:szCs w:val="22"/>
        </w:rPr>
        <w:t xml:space="preserve">higher gas transfer, </w:t>
      </w:r>
      <w:r w:rsidR="000072E6">
        <w:rPr>
          <w:rFonts w:ascii="Calibri" w:eastAsia="Times New Roman" w:hAnsi="Calibri" w:cs="Calibri"/>
          <w:color w:val="000000"/>
          <w:sz w:val="22"/>
          <w:szCs w:val="22"/>
        </w:rPr>
        <w:t>rich</w:t>
      </w:r>
      <w:r w:rsidR="00F45F00">
        <w:rPr>
          <w:rFonts w:ascii="Calibri" w:eastAsia="Times New Roman" w:hAnsi="Calibri" w:cs="Calibri"/>
          <w:color w:val="000000"/>
          <w:sz w:val="22"/>
          <w:szCs w:val="22"/>
        </w:rPr>
        <w:t>,</w:t>
      </w:r>
      <w:r w:rsidR="00562088">
        <w:rPr>
          <w:rFonts w:ascii="Calibri" w:eastAsia="Times New Roman" w:hAnsi="Calibri" w:cs="Calibri"/>
          <w:color w:val="000000"/>
          <w:sz w:val="22"/>
          <w:szCs w:val="22"/>
        </w:rPr>
        <w:t xml:space="preserve"> concentrated</w:t>
      </w:r>
      <w:r w:rsidR="000072E6">
        <w:rPr>
          <w:rFonts w:ascii="Calibri" w:eastAsia="Times New Roman" w:hAnsi="Calibri" w:cs="Calibri"/>
          <w:color w:val="000000"/>
          <w:sz w:val="22"/>
          <w:szCs w:val="22"/>
        </w:rPr>
        <w:t xml:space="preserve"> media, </w:t>
      </w:r>
      <w:r w:rsidR="00071E4F">
        <w:rPr>
          <w:rFonts w:ascii="Calibri" w:eastAsia="Times New Roman" w:hAnsi="Calibri" w:cs="Calibri"/>
          <w:color w:val="000000"/>
          <w:sz w:val="22"/>
          <w:szCs w:val="22"/>
        </w:rPr>
        <w:t>and</w:t>
      </w:r>
      <w:r w:rsidR="009F1353">
        <w:rPr>
          <w:rFonts w:ascii="Calibri" w:eastAsia="Times New Roman" w:hAnsi="Calibri" w:cs="Calibri"/>
          <w:color w:val="000000"/>
          <w:sz w:val="22"/>
          <w:szCs w:val="22"/>
        </w:rPr>
        <w:t xml:space="preserve"> PAT that supports media feed strategies. </w:t>
      </w:r>
      <w:r w:rsidR="00F45F00">
        <w:rPr>
          <w:rFonts w:ascii="Calibri" w:eastAsia="Times New Roman" w:hAnsi="Calibri" w:cs="Calibri"/>
          <w:color w:val="000000"/>
          <w:sz w:val="22"/>
          <w:szCs w:val="22"/>
        </w:rPr>
        <w:t xml:space="preserve">The bioreactor designs discussed later will support both perfusion-based and high-intensity fed-batch processes. </w:t>
      </w:r>
      <w:r w:rsidR="00770565">
        <w:rPr>
          <w:rFonts w:ascii="Calibri" w:eastAsia="Times New Roman" w:hAnsi="Calibri" w:cs="Calibri"/>
          <w:color w:val="000000"/>
          <w:sz w:val="22"/>
          <w:szCs w:val="22"/>
        </w:rPr>
        <w:t>Some authors believe that the batch process will give way to the perfusion processes as</w:t>
      </w:r>
      <w:r w:rsidR="00EA26D5">
        <w:rPr>
          <w:rFonts w:ascii="Calibri" w:eastAsia="Times New Roman" w:hAnsi="Calibri" w:cs="Calibri"/>
          <w:color w:val="000000"/>
          <w:sz w:val="22"/>
          <w:szCs w:val="22"/>
        </w:rPr>
        <w:t xml:space="preserve"> companies </w:t>
      </w:r>
      <w:r w:rsidR="006370B3">
        <w:rPr>
          <w:rFonts w:ascii="Calibri" w:eastAsia="Times New Roman" w:hAnsi="Calibri" w:cs="Calibri"/>
          <w:color w:val="000000"/>
          <w:sz w:val="22"/>
          <w:szCs w:val="22"/>
        </w:rPr>
        <w:t xml:space="preserve">continue to develop perfusion processes that exceed 5x the productivity of the batch bioreactors. </w:t>
      </w:r>
    </w:p>
    <w:p w14:paraId="1335F8A3" w14:textId="77777777" w:rsidR="006370B3" w:rsidRDefault="006370B3" w:rsidP="00DC731E">
      <w:pPr>
        <w:textAlignment w:val="center"/>
        <w:rPr>
          <w:rFonts w:ascii="Calibri" w:eastAsia="Times New Roman" w:hAnsi="Calibri" w:cs="Calibri"/>
          <w:color w:val="000000"/>
          <w:sz w:val="22"/>
          <w:szCs w:val="22"/>
        </w:rPr>
      </w:pPr>
    </w:p>
    <w:p w14:paraId="0C0FA87A" w14:textId="39B06D1C" w:rsidR="00177100" w:rsidRDefault="00177100" w:rsidP="00177100">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Why perfusion </w:t>
      </w:r>
    </w:p>
    <w:p w14:paraId="4056AC94" w14:textId="70A2902F" w:rsidR="00177100" w:rsidRDefault="00177100" w:rsidP="00177100">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SU and SS</w:t>
      </w:r>
    </w:p>
    <w:p w14:paraId="278259DB" w14:textId="00E9B452" w:rsidR="0041023B" w:rsidRDefault="0041023B" w:rsidP="00177100">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bioreactors</w:t>
      </w:r>
    </w:p>
    <w:p w14:paraId="20B754C1" w14:textId="3BAE4C7E" w:rsidR="0041023B" w:rsidRDefault="0041023B" w:rsidP="0041023B">
      <w:pPr>
        <w:pStyle w:val="ListParagraph"/>
        <w:numPr>
          <w:ilvl w:val="1"/>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Run in staggered with staged downstream</w:t>
      </w:r>
    </w:p>
    <w:p w14:paraId="42DA98C0" w14:textId="4E993B30" w:rsidR="0041023B" w:rsidRPr="00177100" w:rsidRDefault="0041023B" w:rsidP="0041023B">
      <w:pPr>
        <w:pStyle w:val="ListParagraph"/>
        <w:numPr>
          <w:ilvl w:val="1"/>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Run staggered with same downstream</w:t>
      </w:r>
    </w:p>
    <w:p w14:paraId="47D9DC37" w14:textId="02FE0B88" w:rsidR="0041023B" w:rsidRDefault="00177100"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Cell Retention device</w:t>
      </w:r>
    </w:p>
    <w:p w14:paraId="670D21F7" w14:textId="5A0F2439" w:rsidR="0041023B" w:rsidRDefault="0041023B" w:rsidP="0041023B">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ATF—typically up to 500L or 1000L</w:t>
      </w:r>
    </w:p>
    <w:p w14:paraId="305496C0" w14:textId="1CD02734" w:rsidR="0041023B" w:rsidRDefault="0041023B" w:rsidP="0041023B">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TFF—more likely at 1000L or above</w:t>
      </w:r>
    </w:p>
    <w:p w14:paraId="578E7455" w14:textId="19F6A38E" w:rsidR="0041023B" w:rsidRPr="0041023B" w:rsidRDefault="0041023B" w:rsidP="0041023B">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Other methods (short paragraph listing inclined settler, spin filters, </w:t>
      </w:r>
    </w:p>
    <w:p w14:paraId="4A53741C" w14:textId="10056C9D" w:rsidR="00177100" w:rsidRDefault="00177100"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Protein A Capture step</w:t>
      </w:r>
    </w:p>
    <w:p w14:paraId="3B248772" w14:textId="4D8817D1" w:rsidR="00177100" w:rsidRDefault="00177100" w:rsidP="00177100">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Pooling before VI option with stability discussion</w:t>
      </w:r>
    </w:p>
    <w:p w14:paraId="4D8642D8" w14:textId="04EEC1E8" w:rsidR="00177100" w:rsidRPr="00177100" w:rsidRDefault="00177100" w:rsidP="00177100">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Surge tank</w:t>
      </w:r>
    </w:p>
    <w:p w14:paraId="3D05B52B" w14:textId="44737536" w:rsidR="00177100" w:rsidRDefault="00177100"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Low pH virus inactivation</w:t>
      </w:r>
    </w:p>
    <w:p w14:paraId="1C647C93" w14:textId="1899F1A5" w:rsidR="00177100" w:rsidRPr="00177100" w:rsidRDefault="00177100" w:rsidP="00177100">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Pooling after VI option</w:t>
      </w:r>
    </w:p>
    <w:p w14:paraId="3AF0A0AC" w14:textId="569185FF" w:rsidR="00177100" w:rsidRDefault="00177100"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Polishing Step 1, typically AEX</w:t>
      </w:r>
    </w:p>
    <w:p w14:paraId="27CE61A1" w14:textId="5BD7D513" w:rsidR="00177100" w:rsidRPr="00177100" w:rsidRDefault="00177100" w:rsidP="00177100">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Pooling after AEX option with stability discussion</w:t>
      </w:r>
    </w:p>
    <w:p w14:paraId="6FA6724B" w14:textId="787CA6F7" w:rsidR="00177100" w:rsidRDefault="00177100"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Polishing Step 2, typically CEX</w:t>
      </w:r>
    </w:p>
    <w:p w14:paraId="611E50F5" w14:textId="4974B32A" w:rsidR="0041023B" w:rsidRPr="0041023B" w:rsidRDefault="0041023B" w:rsidP="0041023B">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Pooling after CEX option</w:t>
      </w:r>
    </w:p>
    <w:p w14:paraId="7AFA473B" w14:textId="793B66F8" w:rsidR="00177100" w:rsidRDefault="00177100"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VRF</w:t>
      </w:r>
    </w:p>
    <w:p w14:paraId="76EA202B" w14:textId="1D0A279B" w:rsidR="00177100" w:rsidRDefault="00177100" w:rsidP="00DC731E">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UFDF or SPTFF and ILDF</w:t>
      </w:r>
    </w:p>
    <w:p w14:paraId="299E1484" w14:textId="58206CE7" w:rsidR="0041023B" w:rsidRDefault="0041023B" w:rsidP="0041023B">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End-to-end processing option</w:t>
      </w:r>
    </w:p>
    <w:p w14:paraId="6EFEB135" w14:textId="4D3B8A0D" w:rsidR="0041023B" w:rsidRPr="0041023B" w:rsidRDefault="0041023B" w:rsidP="0041023B">
      <w:pPr>
        <w:pStyle w:val="ListParagraph"/>
        <w:numPr>
          <w:ilvl w:val="0"/>
          <w:numId w:val="3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t>Impact of product quality variability during run</w:t>
      </w:r>
    </w:p>
    <w:p w14:paraId="2A793FCE" w14:textId="43504324" w:rsidR="001814F8" w:rsidRDefault="001814F8" w:rsidP="00DC731E">
      <w:pPr>
        <w:textAlignment w:val="center"/>
        <w:rPr>
          <w:rFonts w:ascii="Calibri" w:eastAsia="Times New Roman" w:hAnsi="Calibri" w:cs="Calibri"/>
          <w:color w:val="000000"/>
          <w:sz w:val="22"/>
          <w:szCs w:val="22"/>
        </w:rPr>
      </w:pPr>
    </w:p>
    <w:p w14:paraId="121B523A" w14:textId="77777777" w:rsidR="003F4574" w:rsidRPr="003F4574" w:rsidRDefault="003F4574" w:rsidP="003F4574">
      <w:pPr>
        <w:numPr>
          <w:ilvl w:val="0"/>
          <w:numId w:val="5"/>
        </w:numPr>
        <w:ind w:left="108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 xml:space="preserve">High level NGM framework </w:t>
      </w:r>
    </w:p>
    <w:p w14:paraId="3D2E26C1" w14:textId="77777777" w:rsidR="003F4574" w:rsidRPr="003F4574" w:rsidRDefault="003F4574" w:rsidP="003F4574">
      <w:pPr>
        <w:numPr>
          <w:ilvl w:val="1"/>
          <w:numId w:val="6"/>
        </w:numPr>
        <w:ind w:left="1620"/>
        <w:textAlignment w:val="center"/>
        <w:rPr>
          <w:rFonts w:ascii="Calibri" w:eastAsia="Times New Roman" w:hAnsi="Calibri" w:cs="Calibri"/>
          <w:sz w:val="22"/>
          <w:szCs w:val="22"/>
        </w:rPr>
      </w:pPr>
      <w:r w:rsidRPr="003F4574">
        <w:rPr>
          <w:rFonts w:ascii="Calibri" w:eastAsia="Times New Roman" w:hAnsi="Calibri" w:cs="Calibri"/>
          <w:color w:val="000000"/>
          <w:sz w:val="22"/>
          <w:szCs w:val="22"/>
        </w:rPr>
        <w:t>Review of publicly disclosed IBC (see table and figure)</w:t>
      </w:r>
    </w:p>
    <w:p w14:paraId="2E51877C" w14:textId="244327FC" w:rsidR="00012D10" w:rsidRDefault="003F4574" w:rsidP="003F4574">
      <w:pPr>
        <w:ind w:left="540"/>
        <w:rPr>
          <w:rFonts w:ascii="Calibri" w:eastAsia="Times New Roman" w:hAnsi="Calibri" w:cs="Calibri"/>
          <w:color w:val="000000"/>
          <w:sz w:val="22"/>
          <w:szCs w:val="22"/>
        </w:rPr>
      </w:pPr>
      <w:r w:rsidRPr="003F4574">
        <w:rPr>
          <w:rFonts w:ascii="Calibri" w:eastAsia="Times New Roman" w:hAnsi="Calibri" w:cs="Calibri"/>
          <w:color w:val="000000"/>
          <w:sz w:val="22"/>
          <w:szCs w:val="22"/>
        </w:rPr>
        <w:t> </w:t>
      </w:r>
      <w:r w:rsidR="004B1722" w:rsidRPr="004B1722">
        <w:rPr>
          <w:rFonts w:ascii="Calibri" w:eastAsia="Times New Roman" w:hAnsi="Calibri" w:cs="Calibri"/>
          <w:noProof/>
          <w:color w:val="000000"/>
          <w:sz w:val="22"/>
          <w:szCs w:val="22"/>
        </w:rPr>
        <w:drawing>
          <wp:inline distT="0" distB="0" distL="0" distR="0" wp14:anchorId="5B07FA45" wp14:editId="2053ECF9">
            <wp:extent cx="5943600" cy="29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46400"/>
                    </a:xfrm>
                    <a:prstGeom prst="rect">
                      <a:avLst/>
                    </a:prstGeom>
                  </pic:spPr>
                </pic:pic>
              </a:graphicData>
            </a:graphic>
          </wp:inline>
        </w:drawing>
      </w:r>
    </w:p>
    <w:p w14:paraId="2115A065" w14:textId="77777777" w:rsidR="009C09BB" w:rsidRDefault="009C09BB" w:rsidP="009C09BB">
      <w:pPr>
        <w:pStyle w:val="Heading1"/>
      </w:pPr>
      <w:r>
        <w:t>Assumptions</w:t>
      </w:r>
    </w:p>
    <w:p w14:paraId="55B708D3" w14:textId="77777777" w:rsidR="009C09BB" w:rsidRDefault="009C09BB" w:rsidP="009C09BB">
      <w:pPr>
        <w:pStyle w:val="NormalWeb"/>
        <w:ind w:left="540"/>
        <w:rPr>
          <w:color w:val="000000"/>
        </w:rPr>
      </w:pPr>
      <w:r>
        <w:rPr>
          <w:color w:val="000000"/>
        </w:rPr>
        <w:t>The assumptions in the framework process are described below. These assumptions are typical throughout the industry and do not represent confidential information.</w:t>
      </w:r>
    </w:p>
    <w:tbl>
      <w:tblPr>
        <w:tblStyle w:val="GridTable1Light-Accent1"/>
        <w:tblW w:w="0" w:type="auto"/>
        <w:tblLook w:val="04A0" w:firstRow="1" w:lastRow="0" w:firstColumn="1" w:lastColumn="0" w:noHBand="0" w:noVBand="1"/>
      </w:tblPr>
      <w:tblGrid>
        <w:gridCol w:w="5644"/>
        <w:gridCol w:w="1141"/>
      </w:tblGrid>
      <w:tr w:rsidR="009C09BB" w:rsidRPr="005613C4" w14:paraId="11BCA4EF" w14:textId="77777777" w:rsidTr="00603A67">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69DA6117" w14:textId="77777777" w:rsidR="009C09BB" w:rsidRPr="005613C4" w:rsidRDefault="009C09BB" w:rsidP="00603A67">
            <w:pPr>
              <w:rPr>
                <w:rFonts w:ascii="Calibri (Body)" w:eastAsia="Times New Roman" w:hAnsi="Calibri (Body)" w:cs="Calibri"/>
                <w:color w:val="000000"/>
              </w:rPr>
            </w:pPr>
            <w:r w:rsidRPr="005613C4">
              <w:rPr>
                <w:rFonts w:ascii="Calibri (Body)" w:eastAsia="Times New Roman" w:hAnsi="Calibri (Body)" w:cs="Calibri"/>
                <w:color w:val="000000"/>
              </w:rPr>
              <w:t>Bioreactor</w:t>
            </w:r>
          </w:p>
        </w:tc>
        <w:tc>
          <w:tcPr>
            <w:tcW w:w="0" w:type="auto"/>
            <w:hideMark/>
          </w:tcPr>
          <w:p w14:paraId="79CB9268" w14:textId="77777777" w:rsidR="009C09BB" w:rsidRPr="005613C4" w:rsidRDefault="009C09BB" w:rsidP="00603A6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C09BB" w:rsidRPr="005613C4" w14:paraId="008052CD"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100FC3"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Bioreactor Size (L)</w:t>
            </w:r>
          </w:p>
        </w:tc>
        <w:tc>
          <w:tcPr>
            <w:tcW w:w="0" w:type="auto"/>
            <w:noWrap/>
            <w:hideMark/>
          </w:tcPr>
          <w:p w14:paraId="3C396263"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500-2000</w:t>
            </w:r>
          </w:p>
        </w:tc>
      </w:tr>
      <w:tr w:rsidR="009C09BB" w:rsidRPr="005613C4" w14:paraId="1AE7406C"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5F525FD"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Avg cell density (million cells/mL)</w:t>
            </w:r>
          </w:p>
        </w:tc>
        <w:tc>
          <w:tcPr>
            <w:tcW w:w="0" w:type="auto"/>
            <w:noWrap/>
            <w:hideMark/>
          </w:tcPr>
          <w:p w14:paraId="38BF387F"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50-150</w:t>
            </w:r>
          </w:p>
        </w:tc>
      </w:tr>
      <w:tr w:rsidR="009C09BB" w:rsidRPr="005613C4" w14:paraId="1EAD9EEC"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49F325F" w14:textId="77777777" w:rsidR="009C09BB" w:rsidRPr="005613C4" w:rsidRDefault="009C09BB" w:rsidP="00603A67">
            <w:pPr>
              <w:rPr>
                <w:rFonts w:ascii="Calibri" w:eastAsia="Times New Roman" w:hAnsi="Calibri" w:cs="Calibri"/>
                <w:b w:val="0"/>
                <w:bCs w:val="0"/>
                <w:color w:val="000000"/>
              </w:rPr>
            </w:pPr>
            <w:proofErr w:type="spellStart"/>
            <w:r w:rsidRPr="005613C4">
              <w:rPr>
                <w:rFonts w:ascii="Calibri" w:eastAsia="Times New Roman" w:hAnsi="Calibri" w:cs="Calibri"/>
                <w:b w:val="0"/>
                <w:bCs w:val="0"/>
                <w:color w:val="000000"/>
              </w:rPr>
              <w:t>Qp</w:t>
            </w:r>
            <w:proofErr w:type="spellEnd"/>
            <w:r w:rsidRPr="005613C4">
              <w:rPr>
                <w:rFonts w:ascii="Calibri" w:eastAsia="Times New Roman" w:hAnsi="Calibri" w:cs="Calibri"/>
                <w:b w:val="0"/>
                <w:bCs w:val="0"/>
                <w:color w:val="000000"/>
              </w:rPr>
              <w:t xml:space="preserve"> (</w:t>
            </w:r>
            <w:proofErr w:type="spellStart"/>
            <w:r w:rsidRPr="005613C4">
              <w:rPr>
                <w:rFonts w:ascii="Calibri" w:eastAsia="Times New Roman" w:hAnsi="Calibri" w:cs="Calibri"/>
                <w:b w:val="0"/>
                <w:bCs w:val="0"/>
                <w:color w:val="000000"/>
              </w:rPr>
              <w:t>pg</w:t>
            </w:r>
            <w:proofErr w:type="spellEnd"/>
            <w:r w:rsidRPr="005613C4">
              <w:rPr>
                <w:rFonts w:ascii="Calibri" w:eastAsia="Times New Roman" w:hAnsi="Calibri" w:cs="Calibri"/>
                <w:b w:val="0"/>
                <w:bCs w:val="0"/>
                <w:color w:val="000000"/>
              </w:rPr>
              <w:t>/cell/day)</w:t>
            </w:r>
          </w:p>
        </w:tc>
        <w:tc>
          <w:tcPr>
            <w:tcW w:w="0" w:type="auto"/>
            <w:noWrap/>
            <w:hideMark/>
          </w:tcPr>
          <w:p w14:paraId="5A5C36C2"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20-60</w:t>
            </w:r>
          </w:p>
        </w:tc>
      </w:tr>
      <w:tr w:rsidR="009C09BB" w:rsidRPr="005613C4" w14:paraId="5B5D5EF1"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B69389"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 xml:space="preserve">Permeate Perfusion Rate (bioreactor volumes/day, </w:t>
            </w:r>
            <w:proofErr w:type="spellStart"/>
            <w:r w:rsidRPr="005613C4">
              <w:rPr>
                <w:rFonts w:ascii="Calibri" w:eastAsia="Times New Roman" w:hAnsi="Calibri" w:cs="Calibri"/>
                <w:b w:val="0"/>
                <w:bCs w:val="0"/>
                <w:color w:val="000000"/>
              </w:rPr>
              <w:t>vvd</w:t>
            </w:r>
            <w:proofErr w:type="spellEnd"/>
            <w:r w:rsidRPr="005613C4">
              <w:rPr>
                <w:rFonts w:ascii="Calibri" w:eastAsia="Times New Roman" w:hAnsi="Calibri" w:cs="Calibri"/>
                <w:b w:val="0"/>
                <w:bCs w:val="0"/>
                <w:color w:val="000000"/>
              </w:rPr>
              <w:t>)</w:t>
            </w:r>
          </w:p>
        </w:tc>
        <w:tc>
          <w:tcPr>
            <w:tcW w:w="0" w:type="auto"/>
            <w:noWrap/>
            <w:hideMark/>
          </w:tcPr>
          <w:p w14:paraId="4846B367"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1.5</w:t>
            </w:r>
          </w:p>
        </w:tc>
      </w:tr>
      <w:tr w:rsidR="009C09BB" w:rsidRPr="005613C4" w14:paraId="4A86C4A2"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8102C4D"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lastRenderedPageBreak/>
              <w:t>Batch Duration</w:t>
            </w:r>
          </w:p>
        </w:tc>
        <w:tc>
          <w:tcPr>
            <w:tcW w:w="0" w:type="auto"/>
            <w:noWrap/>
            <w:hideMark/>
          </w:tcPr>
          <w:p w14:paraId="0F805D44"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14-30</w:t>
            </w:r>
          </w:p>
        </w:tc>
      </w:tr>
      <w:tr w:rsidR="009C09BB" w:rsidRPr="005613C4" w14:paraId="6F529CF6"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F3246E8"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 xml:space="preserve"> Media Concentration Factor </w:t>
            </w:r>
          </w:p>
        </w:tc>
        <w:tc>
          <w:tcPr>
            <w:tcW w:w="0" w:type="auto"/>
            <w:noWrap/>
            <w:hideMark/>
          </w:tcPr>
          <w:p w14:paraId="36D6F3C5"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xml:space="preserve"> 1-5x </w:t>
            </w:r>
          </w:p>
        </w:tc>
      </w:tr>
    </w:tbl>
    <w:p w14:paraId="4F5C85BF" w14:textId="389C98D4" w:rsidR="009C09BB" w:rsidRDefault="009C09BB" w:rsidP="009C09BB">
      <w:pPr>
        <w:rPr>
          <w:rFonts w:ascii="Calibri" w:eastAsia="Times New Roman" w:hAnsi="Calibri" w:cs="Calibri"/>
          <w:color w:val="000000"/>
        </w:rPr>
      </w:pPr>
    </w:p>
    <w:p w14:paraId="6A9FD042" w14:textId="77777777" w:rsidR="00177100" w:rsidRPr="009F26C2" w:rsidRDefault="00177100" w:rsidP="009C09BB">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3164"/>
        <w:gridCol w:w="777"/>
      </w:tblGrid>
      <w:tr w:rsidR="009C09BB" w:rsidRPr="005613C4" w14:paraId="4198011C" w14:textId="77777777" w:rsidTr="00603A67">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2B83DE4F" w14:textId="251762E2" w:rsidR="009C09BB" w:rsidRPr="005613C4" w:rsidRDefault="009C09BB" w:rsidP="00603A67">
            <w:pPr>
              <w:rPr>
                <w:rFonts w:ascii="Calibri (Body)" w:eastAsia="Times New Roman" w:hAnsi="Calibri (Body)" w:cs="Calibri"/>
                <w:color w:val="000000"/>
              </w:rPr>
            </w:pPr>
            <w:r w:rsidRPr="005613C4">
              <w:rPr>
                <w:rFonts w:ascii="Calibri (Body)" w:eastAsia="Times New Roman" w:hAnsi="Calibri (Body)" w:cs="Calibri"/>
                <w:color w:val="000000"/>
              </w:rPr>
              <w:t xml:space="preserve">General Column </w:t>
            </w:r>
            <w:r w:rsidR="001A63A2">
              <w:rPr>
                <w:rFonts w:ascii="Calibri (Body)" w:eastAsia="Times New Roman" w:hAnsi="Calibri (Body)" w:cs="Calibri"/>
                <w:color w:val="000000"/>
              </w:rPr>
              <w:t>Assumptions</w:t>
            </w:r>
          </w:p>
        </w:tc>
        <w:tc>
          <w:tcPr>
            <w:tcW w:w="0" w:type="auto"/>
            <w:noWrap/>
            <w:hideMark/>
          </w:tcPr>
          <w:p w14:paraId="7CF44214" w14:textId="77777777" w:rsidR="009C09BB" w:rsidRPr="005613C4" w:rsidRDefault="009C09BB" w:rsidP="00603A6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C09BB" w:rsidRPr="005613C4" w14:paraId="55A13984"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F6F7525"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Linear flowrate (cm/</w:t>
            </w:r>
            <w:proofErr w:type="spellStart"/>
            <w:r w:rsidRPr="005613C4">
              <w:rPr>
                <w:rFonts w:ascii="Calibri" w:eastAsia="Times New Roman" w:hAnsi="Calibri" w:cs="Calibri"/>
                <w:b w:val="0"/>
                <w:bCs w:val="0"/>
                <w:color w:val="000000"/>
              </w:rPr>
              <w:t>hr</w:t>
            </w:r>
            <w:proofErr w:type="spellEnd"/>
            <w:r w:rsidRPr="005613C4">
              <w:rPr>
                <w:rFonts w:ascii="Calibri" w:eastAsia="Times New Roman" w:hAnsi="Calibri" w:cs="Calibri"/>
                <w:b w:val="0"/>
                <w:bCs w:val="0"/>
                <w:color w:val="000000"/>
              </w:rPr>
              <w:t>)</w:t>
            </w:r>
          </w:p>
        </w:tc>
        <w:tc>
          <w:tcPr>
            <w:tcW w:w="0" w:type="auto"/>
            <w:noWrap/>
            <w:hideMark/>
          </w:tcPr>
          <w:p w14:paraId="71EE14CF"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300</w:t>
            </w:r>
          </w:p>
        </w:tc>
      </w:tr>
      <w:tr w:rsidR="009C09BB" w:rsidRPr="005613C4" w14:paraId="0AA52185"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5286195"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Bed Height (cm)</w:t>
            </w:r>
          </w:p>
        </w:tc>
        <w:tc>
          <w:tcPr>
            <w:tcW w:w="0" w:type="auto"/>
            <w:noWrap/>
            <w:hideMark/>
          </w:tcPr>
          <w:p w14:paraId="193468CC" w14:textId="283FF4BC" w:rsidR="009C09BB" w:rsidRPr="005613C4" w:rsidRDefault="00177100"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10-</w:t>
            </w:r>
            <w:r w:rsidR="009C09BB" w:rsidRPr="005613C4">
              <w:rPr>
                <w:rFonts w:ascii="Calibri" w:eastAsia="Times New Roman" w:hAnsi="Calibri" w:cs="Calibri"/>
                <w:color w:val="000000"/>
              </w:rPr>
              <w:t>20</w:t>
            </w:r>
          </w:p>
        </w:tc>
      </w:tr>
      <w:tr w:rsidR="009C09BB" w:rsidRPr="005613C4" w14:paraId="25F1058B"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C03A2C3"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Buffer Concentration Factor</w:t>
            </w:r>
          </w:p>
        </w:tc>
        <w:tc>
          <w:tcPr>
            <w:tcW w:w="0" w:type="auto"/>
            <w:noWrap/>
            <w:hideMark/>
          </w:tcPr>
          <w:p w14:paraId="3287FC91"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w:t>
            </w:r>
          </w:p>
        </w:tc>
      </w:tr>
      <w:tr w:rsidR="009C09BB" w:rsidRPr="005613C4" w14:paraId="4EC5352F"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A6E682F"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 Columns</w:t>
            </w:r>
          </w:p>
        </w:tc>
        <w:tc>
          <w:tcPr>
            <w:tcW w:w="0" w:type="auto"/>
            <w:noWrap/>
            <w:hideMark/>
          </w:tcPr>
          <w:p w14:paraId="689F9FE0"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1-2</w:t>
            </w:r>
          </w:p>
        </w:tc>
      </w:tr>
    </w:tbl>
    <w:p w14:paraId="4A303DAE" w14:textId="77777777" w:rsidR="009C09BB" w:rsidRPr="009F26C2" w:rsidRDefault="009C09BB" w:rsidP="009C09BB">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4718"/>
        <w:gridCol w:w="1150"/>
        <w:gridCol w:w="1581"/>
        <w:gridCol w:w="1280"/>
      </w:tblGrid>
      <w:tr w:rsidR="009C09BB" w:rsidRPr="005613C4" w14:paraId="7BB63E06" w14:textId="77777777" w:rsidTr="00603A67">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noWrap/>
            <w:hideMark/>
          </w:tcPr>
          <w:p w14:paraId="37BB27A9" w14:textId="77777777" w:rsidR="009C09BB" w:rsidRPr="005613C4" w:rsidRDefault="009C09BB" w:rsidP="00603A67">
            <w:pPr>
              <w:rPr>
                <w:rFonts w:ascii="Calibri" w:eastAsia="Times New Roman" w:hAnsi="Calibri" w:cs="Calibri"/>
                <w:color w:val="000000"/>
              </w:rPr>
            </w:pPr>
            <w:r w:rsidRPr="005613C4">
              <w:rPr>
                <w:rFonts w:ascii="Calibri" w:eastAsia="Times New Roman" w:hAnsi="Calibri" w:cs="Calibri"/>
                <w:color w:val="000000"/>
              </w:rPr>
              <w:t>Chromatography</w:t>
            </w:r>
          </w:p>
        </w:tc>
        <w:tc>
          <w:tcPr>
            <w:tcW w:w="0" w:type="auto"/>
            <w:noWrap/>
            <w:hideMark/>
          </w:tcPr>
          <w:p w14:paraId="21ED4401" w14:textId="77777777" w:rsidR="009C09BB" w:rsidRPr="005613C4" w:rsidRDefault="009C09BB" w:rsidP="00603A6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Protein A</w:t>
            </w:r>
          </w:p>
        </w:tc>
        <w:tc>
          <w:tcPr>
            <w:tcW w:w="0" w:type="auto"/>
            <w:noWrap/>
            <w:hideMark/>
          </w:tcPr>
          <w:p w14:paraId="2656AA63" w14:textId="77777777" w:rsidR="009C09BB" w:rsidRPr="005613C4" w:rsidRDefault="009C09BB" w:rsidP="00603A6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Flow Through</w:t>
            </w:r>
          </w:p>
        </w:tc>
        <w:tc>
          <w:tcPr>
            <w:tcW w:w="0" w:type="auto"/>
            <w:noWrap/>
            <w:hideMark/>
          </w:tcPr>
          <w:p w14:paraId="65D37181" w14:textId="77777777" w:rsidR="009C09BB" w:rsidRPr="005613C4" w:rsidRDefault="009C09BB" w:rsidP="00603A6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Bind/Elute</w:t>
            </w:r>
          </w:p>
        </w:tc>
      </w:tr>
      <w:tr w:rsidR="009C09BB" w:rsidRPr="005613C4" w14:paraId="48EFD4F3"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976560E"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Capacity (g/L)</w:t>
            </w:r>
          </w:p>
        </w:tc>
        <w:tc>
          <w:tcPr>
            <w:tcW w:w="0" w:type="auto"/>
            <w:noWrap/>
            <w:hideMark/>
          </w:tcPr>
          <w:p w14:paraId="6BD023E3"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c>
          <w:tcPr>
            <w:tcW w:w="0" w:type="auto"/>
            <w:noWrap/>
            <w:hideMark/>
          </w:tcPr>
          <w:p w14:paraId="2AFD9C46"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50-150</w:t>
            </w:r>
          </w:p>
        </w:tc>
        <w:tc>
          <w:tcPr>
            <w:tcW w:w="0" w:type="auto"/>
            <w:noWrap/>
            <w:hideMark/>
          </w:tcPr>
          <w:p w14:paraId="5E60F6FB"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r>
      <w:tr w:rsidR="009C09BB" w:rsidRPr="005613C4" w14:paraId="0B8250CE"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3C938FB"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Buffer Volume (1x) used (Column Volume, CV)</w:t>
            </w:r>
          </w:p>
        </w:tc>
        <w:tc>
          <w:tcPr>
            <w:tcW w:w="0" w:type="auto"/>
            <w:noWrap/>
            <w:hideMark/>
          </w:tcPr>
          <w:p w14:paraId="499BD2B2" w14:textId="77777777" w:rsidR="009C09BB" w:rsidRPr="005613C4" w:rsidRDefault="009C09BB" w:rsidP="00603A6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22</w:t>
            </w:r>
          </w:p>
        </w:tc>
        <w:tc>
          <w:tcPr>
            <w:tcW w:w="0" w:type="auto"/>
            <w:noWrap/>
            <w:hideMark/>
          </w:tcPr>
          <w:p w14:paraId="79EEC483" w14:textId="77777777" w:rsidR="009C09BB" w:rsidRPr="005613C4" w:rsidRDefault="009C09BB" w:rsidP="00603A6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16</w:t>
            </w:r>
          </w:p>
        </w:tc>
        <w:tc>
          <w:tcPr>
            <w:tcW w:w="0" w:type="auto"/>
            <w:noWrap/>
            <w:hideMark/>
          </w:tcPr>
          <w:p w14:paraId="57F5CB3A" w14:textId="77777777" w:rsidR="009C09BB" w:rsidRPr="005613C4" w:rsidRDefault="009C09BB" w:rsidP="00603A6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16</w:t>
            </w:r>
          </w:p>
        </w:tc>
      </w:tr>
      <w:tr w:rsidR="009C09BB" w:rsidRPr="005613C4" w14:paraId="1D5F891B"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162B56C"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Elution Volume collected (CV)</w:t>
            </w:r>
          </w:p>
        </w:tc>
        <w:tc>
          <w:tcPr>
            <w:tcW w:w="0" w:type="auto"/>
            <w:noWrap/>
            <w:hideMark/>
          </w:tcPr>
          <w:p w14:paraId="62D6A7C1"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1.5-3</w:t>
            </w:r>
          </w:p>
        </w:tc>
        <w:tc>
          <w:tcPr>
            <w:tcW w:w="0" w:type="auto"/>
            <w:noWrap/>
            <w:hideMark/>
          </w:tcPr>
          <w:p w14:paraId="5FEE87CE"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0.2-0.5</w:t>
            </w:r>
          </w:p>
        </w:tc>
        <w:tc>
          <w:tcPr>
            <w:tcW w:w="0" w:type="auto"/>
            <w:noWrap/>
            <w:hideMark/>
          </w:tcPr>
          <w:p w14:paraId="5CDCCADE"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1.0-1.5</w:t>
            </w:r>
          </w:p>
        </w:tc>
      </w:tr>
      <w:tr w:rsidR="009C09BB" w:rsidRPr="005613C4" w14:paraId="4907C2F8"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51B9E35"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3F914972"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90</w:t>
            </w:r>
            <w:r w:rsidRPr="009F26C2">
              <w:rPr>
                <w:rFonts w:ascii="Calibri" w:eastAsia="Times New Roman" w:hAnsi="Calibri" w:cs="Calibri"/>
                <w:color w:val="000000"/>
              </w:rPr>
              <w:t>%</w:t>
            </w:r>
          </w:p>
        </w:tc>
        <w:tc>
          <w:tcPr>
            <w:tcW w:w="0" w:type="auto"/>
            <w:noWrap/>
            <w:hideMark/>
          </w:tcPr>
          <w:p w14:paraId="43BB6D5C" w14:textId="77777777" w:rsidR="009C09BB" w:rsidRPr="005613C4" w:rsidRDefault="009C09BB" w:rsidP="00603A6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c>
          <w:tcPr>
            <w:tcW w:w="0" w:type="auto"/>
            <w:noWrap/>
            <w:hideMark/>
          </w:tcPr>
          <w:p w14:paraId="085F3F30" w14:textId="77777777" w:rsidR="009C09BB" w:rsidRPr="005613C4" w:rsidRDefault="009C09BB" w:rsidP="00603A6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85%</w:t>
            </w:r>
          </w:p>
        </w:tc>
      </w:tr>
    </w:tbl>
    <w:p w14:paraId="36F6F8D1" w14:textId="77777777" w:rsidR="009C09BB" w:rsidRPr="009F26C2" w:rsidRDefault="009C09BB" w:rsidP="009C09BB">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1753"/>
        <w:gridCol w:w="1141"/>
      </w:tblGrid>
      <w:tr w:rsidR="009C09BB" w:rsidRPr="005613C4" w14:paraId="510EA0D0" w14:textId="77777777" w:rsidTr="00603A67">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B445CA" w14:textId="77777777" w:rsidR="009C09BB" w:rsidRPr="005613C4" w:rsidRDefault="009C09BB" w:rsidP="00603A67">
            <w:pPr>
              <w:rPr>
                <w:rFonts w:ascii="Calibri" w:eastAsia="Times New Roman" w:hAnsi="Calibri" w:cs="Calibri"/>
                <w:color w:val="000000"/>
              </w:rPr>
            </w:pPr>
            <w:r w:rsidRPr="005613C4">
              <w:rPr>
                <w:rFonts w:ascii="Calibri" w:eastAsia="Times New Roman" w:hAnsi="Calibri" w:cs="Calibri"/>
                <w:color w:val="000000"/>
              </w:rPr>
              <w:t>Virus Filtration</w:t>
            </w:r>
          </w:p>
        </w:tc>
        <w:tc>
          <w:tcPr>
            <w:tcW w:w="0" w:type="auto"/>
            <w:noWrap/>
            <w:hideMark/>
          </w:tcPr>
          <w:p w14:paraId="0DE62463" w14:textId="77777777" w:rsidR="009C09BB" w:rsidRPr="005613C4" w:rsidRDefault="009C09BB" w:rsidP="00603A6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C09BB" w:rsidRPr="005613C4" w14:paraId="7B03AFEE"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3C23E7"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Capacity (L/m2)</w:t>
            </w:r>
          </w:p>
        </w:tc>
        <w:tc>
          <w:tcPr>
            <w:tcW w:w="0" w:type="auto"/>
            <w:noWrap/>
            <w:hideMark/>
          </w:tcPr>
          <w:p w14:paraId="533A34AD"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700-1400</w:t>
            </w:r>
          </w:p>
        </w:tc>
      </w:tr>
      <w:tr w:rsidR="009C09BB" w:rsidRPr="005613C4" w14:paraId="7086FF3B"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7812A8E"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Flux (LMH)</w:t>
            </w:r>
          </w:p>
        </w:tc>
        <w:tc>
          <w:tcPr>
            <w:tcW w:w="0" w:type="auto"/>
            <w:noWrap/>
            <w:hideMark/>
          </w:tcPr>
          <w:p w14:paraId="114A7569"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100</w:t>
            </w:r>
          </w:p>
        </w:tc>
      </w:tr>
      <w:tr w:rsidR="009C09BB" w:rsidRPr="005613C4" w14:paraId="3EFD1E1E" w14:textId="77777777" w:rsidTr="00603A67">
        <w:trPr>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FA5C38"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70B08577"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r>
    </w:tbl>
    <w:p w14:paraId="3740C32A" w14:textId="77777777" w:rsidR="009C09BB" w:rsidRPr="009F26C2" w:rsidRDefault="009C09BB" w:rsidP="009C09BB">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2940"/>
        <w:gridCol w:w="1141"/>
      </w:tblGrid>
      <w:tr w:rsidR="009C09BB" w:rsidRPr="005613C4" w14:paraId="000D0B28" w14:textId="77777777" w:rsidTr="00603A67">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8BED43" w14:textId="77777777" w:rsidR="009C09BB" w:rsidRPr="005613C4" w:rsidRDefault="009C09BB" w:rsidP="00603A67">
            <w:pPr>
              <w:rPr>
                <w:rFonts w:ascii="Calibri" w:eastAsia="Times New Roman" w:hAnsi="Calibri" w:cs="Calibri"/>
                <w:color w:val="000000"/>
              </w:rPr>
            </w:pPr>
            <w:r w:rsidRPr="005613C4">
              <w:rPr>
                <w:rFonts w:ascii="Calibri" w:eastAsia="Times New Roman" w:hAnsi="Calibri" w:cs="Calibri"/>
                <w:color w:val="000000"/>
              </w:rPr>
              <w:t>UFDF</w:t>
            </w:r>
          </w:p>
        </w:tc>
        <w:tc>
          <w:tcPr>
            <w:tcW w:w="0" w:type="auto"/>
            <w:noWrap/>
            <w:hideMark/>
          </w:tcPr>
          <w:p w14:paraId="7519F65C" w14:textId="77777777" w:rsidR="009C09BB" w:rsidRPr="005613C4" w:rsidRDefault="009C09BB" w:rsidP="00603A6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C09BB" w:rsidRPr="005613C4" w14:paraId="4F436C38"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71A805"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Membrane Capacity (g/m2)</w:t>
            </w:r>
          </w:p>
        </w:tc>
        <w:tc>
          <w:tcPr>
            <w:tcW w:w="0" w:type="auto"/>
            <w:noWrap/>
            <w:hideMark/>
          </w:tcPr>
          <w:p w14:paraId="16477AEC"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800-1500</w:t>
            </w:r>
          </w:p>
        </w:tc>
      </w:tr>
      <w:tr w:rsidR="009C09BB" w:rsidRPr="005613C4" w14:paraId="021A5013"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89B88BC"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31D98D9B"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r>
      <w:tr w:rsidR="009C09BB" w:rsidRPr="005613C4" w14:paraId="4BE8BC41"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7E976F"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Cross Flow (LMH)</w:t>
            </w:r>
          </w:p>
        </w:tc>
        <w:tc>
          <w:tcPr>
            <w:tcW w:w="0" w:type="auto"/>
            <w:noWrap/>
            <w:hideMark/>
          </w:tcPr>
          <w:p w14:paraId="01844F74"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300-500</w:t>
            </w:r>
          </w:p>
        </w:tc>
      </w:tr>
      <w:tr w:rsidR="009C09BB" w:rsidRPr="005613C4" w14:paraId="5236B171" w14:textId="77777777" w:rsidTr="00603A67">
        <w:trPr>
          <w:trHeight w:val="580"/>
        </w:trPr>
        <w:tc>
          <w:tcPr>
            <w:cnfStyle w:val="001000000000" w:firstRow="0" w:lastRow="0" w:firstColumn="1" w:lastColumn="0" w:oddVBand="0" w:evenVBand="0" w:oddHBand="0" w:evenHBand="0" w:firstRowFirstColumn="0" w:firstRowLastColumn="0" w:lastRowFirstColumn="0" w:lastRowLastColumn="0"/>
            <w:tcW w:w="0" w:type="auto"/>
            <w:noWrap/>
            <w:hideMark/>
          </w:tcPr>
          <w:p w14:paraId="3A8ADC69"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lastRenderedPageBreak/>
              <w:t>Concentration 1 Flux (LMH)</w:t>
            </w:r>
          </w:p>
        </w:tc>
        <w:tc>
          <w:tcPr>
            <w:tcW w:w="0" w:type="auto"/>
            <w:noWrap/>
            <w:hideMark/>
          </w:tcPr>
          <w:p w14:paraId="7C36826E"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r>
      <w:tr w:rsidR="009C09BB" w:rsidRPr="005613C4" w14:paraId="7C65DDA5"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422314"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Concentration 1 target (g/L)</w:t>
            </w:r>
          </w:p>
        </w:tc>
        <w:tc>
          <w:tcPr>
            <w:tcW w:w="0" w:type="auto"/>
            <w:noWrap/>
            <w:hideMark/>
          </w:tcPr>
          <w:p w14:paraId="5F4886BD"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w:t>
            </w:r>
          </w:p>
        </w:tc>
      </w:tr>
      <w:tr w:rsidR="009C09BB" w:rsidRPr="005613C4" w14:paraId="78E3A8B0"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AF4ECBD"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 xml:space="preserve"># </w:t>
            </w:r>
            <w:proofErr w:type="spellStart"/>
            <w:r w:rsidRPr="005613C4">
              <w:rPr>
                <w:rFonts w:ascii="Calibri" w:eastAsia="Times New Roman" w:hAnsi="Calibri" w:cs="Calibri"/>
                <w:b w:val="0"/>
                <w:bCs w:val="0"/>
                <w:color w:val="000000"/>
              </w:rPr>
              <w:t>Diavolumes</w:t>
            </w:r>
            <w:proofErr w:type="spellEnd"/>
          </w:p>
        </w:tc>
        <w:tc>
          <w:tcPr>
            <w:tcW w:w="0" w:type="auto"/>
            <w:noWrap/>
            <w:hideMark/>
          </w:tcPr>
          <w:p w14:paraId="512AFAC8"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6</w:t>
            </w:r>
          </w:p>
        </w:tc>
      </w:tr>
      <w:tr w:rsidR="009C09BB" w:rsidRPr="005613C4" w14:paraId="4C86F52D" w14:textId="77777777" w:rsidTr="00603A6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0CB6691" w14:textId="77777777" w:rsidR="009C09BB" w:rsidRPr="005613C4" w:rsidRDefault="009C09BB" w:rsidP="00603A67">
            <w:pPr>
              <w:rPr>
                <w:rFonts w:ascii="Calibri" w:eastAsia="Times New Roman" w:hAnsi="Calibri" w:cs="Calibri"/>
                <w:b w:val="0"/>
                <w:bCs w:val="0"/>
                <w:color w:val="000000"/>
              </w:rPr>
            </w:pPr>
            <w:r w:rsidRPr="005613C4">
              <w:rPr>
                <w:rFonts w:ascii="Calibri" w:eastAsia="Times New Roman" w:hAnsi="Calibri" w:cs="Calibri"/>
                <w:b w:val="0"/>
                <w:bCs w:val="0"/>
                <w:color w:val="000000"/>
              </w:rPr>
              <w:t>Final DS Conc Target (g/L)</w:t>
            </w:r>
          </w:p>
        </w:tc>
        <w:tc>
          <w:tcPr>
            <w:tcW w:w="0" w:type="auto"/>
            <w:noWrap/>
            <w:hideMark/>
          </w:tcPr>
          <w:p w14:paraId="262AA19E" w14:textId="77777777" w:rsidR="009C09BB" w:rsidRPr="005613C4" w:rsidRDefault="009C09BB" w:rsidP="00603A6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100</w:t>
            </w:r>
          </w:p>
        </w:tc>
      </w:tr>
    </w:tbl>
    <w:p w14:paraId="65FF3C31" w14:textId="0B42D42D" w:rsidR="00B678A7" w:rsidRDefault="00B678A7"/>
    <w:sectPr w:rsidR="00B678A7" w:rsidSect="004050B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40CA058E">
      <w:start w:val="14"/>
      <w:numFmt w:val="bullet"/>
      <w:lvlText w:val=""/>
      <w:lvlJc w:val="left"/>
      <w:pPr>
        <w:ind w:left="720" w:hanging="360"/>
      </w:pPr>
      <w:rPr>
        <w:rFonts w:ascii="Symbol" w:eastAsia="Times New Roman"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58AF"/>
    <w:rsid w:val="000072E6"/>
    <w:rsid w:val="00010E24"/>
    <w:rsid w:val="00012CB3"/>
    <w:rsid w:val="00012D10"/>
    <w:rsid w:val="00017C70"/>
    <w:rsid w:val="00026752"/>
    <w:rsid w:val="000277EA"/>
    <w:rsid w:val="00034EA7"/>
    <w:rsid w:val="00045812"/>
    <w:rsid w:val="0006145F"/>
    <w:rsid w:val="0006624C"/>
    <w:rsid w:val="00067703"/>
    <w:rsid w:val="0006775C"/>
    <w:rsid w:val="00071E4F"/>
    <w:rsid w:val="0007765C"/>
    <w:rsid w:val="00080CA4"/>
    <w:rsid w:val="000810BE"/>
    <w:rsid w:val="000837A9"/>
    <w:rsid w:val="00091F71"/>
    <w:rsid w:val="00094D84"/>
    <w:rsid w:val="00096911"/>
    <w:rsid w:val="00097E72"/>
    <w:rsid w:val="000A0048"/>
    <w:rsid w:val="000A04C7"/>
    <w:rsid w:val="000A0C75"/>
    <w:rsid w:val="000A1D8F"/>
    <w:rsid w:val="000B13B4"/>
    <w:rsid w:val="000B20E2"/>
    <w:rsid w:val="000B42EF"/>
    <w:rsid w:val="000B6852"/>
    <w:rsid w:val="000C198C"/>
    <w:rsid w:val="000C5F98"/>
    <w:rsid w:val="000C6159"/>
    <w:rsid w:val="000C765C"/>
    <w:rsid w:val="000F00AC"/>
    <w:rsid w:val="000F7EB4"/>
    <w:rsid w:val="00103FD6"/>
    <w:rsid w:val="001109E8"/>
    <w:rsid w:val="00125DA4"/>
    <w:rsid w:val="001262C7"/>
    <w:rsid w:val="00131F05"/>
    <w:rsid w:val="00140D3F"/>
    <w:rsid w:val="00143246"/>
    <w:rsid w:val="00144ADD"/>
    <w:rsid w:val="00153BBA"/>
    <w:rsid w:val="00155902"/>
    <w:rsid w:val="001573D6"/>
    <w:rsid w:val="00160544"/>
    <w:rsid w:val="0016638C"/>
    <w:rsid w:val="00173F83"/>
    <w:rsid w:val="00174A70"/>
    <w:rsid w:val="00177100"/>
    <w:rsid w:val="001814F8"/>
    <w:rsid w:val="00185949"/>
    <w:rsid w:val="001A336C"/>
    <w:rsid w:val="001A63A2"/>
    <w:rsid w:val="001B0EF3"/>
    <w:rsid w:val="001B3B3F"/>
    <w:rsid w:val="001C0B46"/>
    <w:rsid w:val="001C3995"/>
    <w:rsid w:val="001D052B"/>
    <w:rsid w:val="001D25F4"/>
    <w:rsid w:val="001D2E6C"/>
    <w:rsid w:val="001D2ED0"/>
    <w:rsid w:val="001D5041"/>
    <w:rsid w:val="001D70E3"/>
    <w:rsid w:val="001D7DE1"/>
    <w:rsid w:val="001E3FBC"/>
    <w:rsid w:val="001E464B"/>
    <w:rsid w:val="001E6470"/>
    <w:rsid w:val="001E6AA2"/>
    <w:rsid w:val="001F2C63"/>
    <w:rsid w:val="001F6798"/>
    <w:rsid w:val="00204A09"/>
    <w:rsid w:val="00204FE4"/>
    <w:rsid w:val="00215132"/>
    <w:rsid w:val="002162E9"/>
    <w:rsid w:val="00221854"/>
    <w:rsid w:val="00227AE6"/>
    <w:rsid w:val="00232214"/>
    <w:rsid w:val="00246B66"/>
    <w:rsid w:val="00254D37"/>
    <w:rsid w:val="002552B1"/>
    <w:rsid w:val="00265402"/>
    <w:rsid w:val="00265513"/>
    <w:rsid w:val="002735EF"/>
    <w:rsid w:val="002923A0"/>
    <w:rsid w:val="00292501"/>
    <w:rsid w:val="0029705E"/>
    <w:rsid w:val="00297CD6"/>
    <w:rsid w:val="002A3957"/>
    <w:rsid w:val="002A6B55"/>
    <w:rsid w:val="002A7A96"/>
    <w:rsid w:val="002A7F19"/>
    <w:rsid w:val="002B2841"/>
    <w:rsid w:val="002B347D"/>
    <w:rsid w:val="002B4D99"/>
    <w:rsid w:val="002B57F5"/>
    <w:rsid w:val="002B7ADD"/>
    <w:rsid w:val="002C0821"/>
    <w:rsid w:val="002C096A"/>
    <w:rsid w:val="002C4D50"/>
    <w:rsid w:val="002C52D1"/>
    <w:rsid w:val="002D0690"/>
    <w:rsid w:val="002E410C"/>
    <w:rsid w:val="002E6CDF"/>
    <w:rsid w:val="002E76B3"/>
    <w:rsid w:val="002E7E0E"/>
    <w:rsid w:val="002F258D"/>
    <w:rsid w:val="002F4DCA"/>
    <w:rsid w:val="002F6A44"/>
    <w:rsid w:val="002F7DCA"/>
    <w:rsid w:val="00306914"/>
    <w:rsid w:val="00310B6A"/>
    <w:rsid w:val="003135A1"/>
    <w:rsid w:val="00320ACC"/>
    <w:rsid w:val="003223E2"/>
    <w:rsid w:val="00322929"/>
    <w:rsid w:val="00322AB2"/>
    <w:rsid w:val="00322DB1"/>
    <w:rsid w:val="00334150"/>
    <w:rsid w:val="00350D44"/>
    <w:rsid w:val="003610EF"/>
    <w:rsid w:val="003623CC"/>
    <w:rsid w:val="0036342E"/>
    <w:rsid w:val="003634AB"/>
    <w:rsid w:val="00365C4E"/>
    <w:rsid w:val="00372DCE"/>
    <w:rsid w:val="00374990"/>
    <w:rsid w:val="00390EE1"/>
    <w:rsid w:val="00395EE9"/>
    <w:rsid w:val="003A0970"/>
    <w:rsid w:val="003A1A27"/>
    <w:rsid w:val="003A1F35"/>
    <w:rsid w:val="003A6A46"/>
    <w:rsid w:val="003B7DF7"/>
    <w:rsid w:val="003C1E87"/>
    <w:rsid w:val="003C47CE"/>
    <w:rsid w:val="003C4F3C"/>
    <w:rsid w:val="003C6982"/>
    <w:rsid w:val="003D1C80"/>
    <w:rsid w:val="003D3E58"/>
    <w:rsid w:val="003D7AE6"/>
    <w:rsid w:val="003E2182"/>
    <w:rsid w:val="003E3DB9"/>
    <w:rsid w:val="003F4574"/>
    <w:rsid w:val="004039A4"/>
    <w:rsid w:val="004050BB"/>
    <w:rsid w:val="0040593D"/>
    <w:rsid w:val="0041023B"/>
    <w:rsid w:val="00416725"/>
    <w:rsid w:val="004321C8"/>
    <w:rsid w:val="00434601"/>
    <w:rsid w:val="0043703E"/>
    <w:rsid w:val="0044159F"/>
    <w:rsid w:val="0046157F"/>
    <w:rsid w:val="00470597"/>
    <w:rsid w:val="004723EF"/>
    <w:rsid w:val="00472D1F"/>
    <w:rsid w:val="00474359"/>
    <w:rsid w:val="004771A7"/>
    <w:rsid w:val="00487716"/>
    <w:rsid w:val="004918F7"/>
    <w:rsid w:val="004929D8"/>
    <w:rsid w:val="00496C5B"/>
    <w:rsid w:val="004A31D3"/>
    <w:rsid w:val="004B1722"/>
    <w:rsid w:val="004B599F"/>
    <w:rsid w:val="004C6925"/>
    <w:rsid w:val="004D3490"/>
    <w:rsid w:val="004E2CC9"/>
    <w:rsid w:val="004F37CD"/>
    <w:rsid w:val="00504D4D"/>
    <w:rsid w:val="005055ED"/>
    <w:rsid w:val="00506C45"/>
    <w:rsid w:val="00515D62"/>
    <w:rsid w:val="00516749"/>
    <w:rsid w:val="00527D91"/>
    <w:rsid w:val="0053035C"/>
    <w:rsid w:val="005316F7"/>
    <w:rsid w:val="005371C9"/>
    <w:rsid w:val="0054142A"/>
    <w:rsid w:val="00546F8F"/>
    <w:rsid w:val="00547481"/>
    <w:rsid w:val="00550092"/>
    <w:rsid w:val="005517AF"/>
    <w:rsid w:val="0055300A"/>
    <w:rsid w:val="00553997"/>
    <w:rsid w:val="00554E63"/>
    <w:rsid w:val="005550ED"/>
    <w:rsid w:val="00555DA4"/>
    <w:rsid w:val="00562088"/>
    <w:rsid w:val="00564439"/>
    <w:rsid w:val="00565227"/>
    <w:rsid w:val="00571626"/>
    <w:rsid w:val="005746D0"/>
    <w:rsid w:val="005755F4"/>
    <w:rsid w:val="005868AA"/>
    <w:rsid w:val="00590127"/>
    <w:rsid w:val="00592716"/>
    <w:rsid w:val="0059432F"/>
    <w:rsid w:val="00595E2E"/>
    <w:rsid w:val="0059639F"/>
    <w:rsid w:val="005A4C79"/>
    <w:rsid w:val="005A6E2E"/>
    <w:rsid w:val="005B790A"/>
    <w:rsid w:val="005C568C"/>
    <w:rsid w:val="005C5B42"/>
    <w:rsid w:val="005D0885"/>
    <w:rsid w:val="005D0A40"/>
    <w:rsid w:val="005E2C16"/>
    <w:rsid w:val="005E52EF"/>
    <w:rsid w:val="0060435F"/>
    <w:rsid w:val="006118AC"/>
    <w:rsid w:val="00615C13"/>
    <w:rsid w:val="0062760A"/>
    <w:rsid w:val="00632F47"/>
    <w:rsid w:val="0063490A"/>
    <w:rsid w:val="00634B17"/>
    <w:rsid w:val="006370B3"/>
    <w:rsid w:val="00643F3B"/>
    <w:rsid w:val="00650571"/>
    <w:rsid w:val="006630B3"/>
    <w:rsid w:val="006661B4"/>
    <w:rsid w:val="00671BE5"/>
    <w:rsid w:val="0067559B"/>
    <w:rsid w:val="00677502"/>
    <w:rsid w:val="006812C9"/>
    <w:rsid w:val="0069064B"/>
    <w:rsid w:val="00691C2F"/>
    <w:rsid w:val="006A1372"/>
    <w:rsid w:val="006A6811"/>
    <w:rsid w:val="006B1147"/>
    <w:rsid w:val="006B2852"/>
    <w:rsid w:val="006C1551"/>
    <w:rsid w:val="006C2621"/>
    <w:rsid w:val="006D4CF2"/>
    <w:rsid w:val="006F2F42"/>
    <w:rsid w:val="006F4184"/>
    <w:rsid w:val="00703C7B"/>
    <w:rsid w:val="00704F98"/>
    <w:rsid w:val="007070C6"/>
    <w:rsid w:val="00732447"/>
    <w:rsid w:val="00736313"/>
    <w:rsid w:val="00740F05"/>
    <w:rsid w:val="00745CB2"/>
    <w:rsid w:val="00752910"/>
    <w:rsid w:val="00756EC1"/>
    <w:rsid w:val="00763ADB"/>
    <w:rsid w:val="007642A8"/>
    <w:rsid w:val="00766758"/>
    <w:rsid w:val="00770565"/>
    <w:rsid w:val="0078561C"/>
    <w:rsid w:val="007964A0"/>
    <w:rsid w:val="007A1419"/>
    <w:rsid w:val="007B5C00"/>
    <w:rsid w:val="007B5FAE"/>
    <w:rsid w:val="007D2786"/>
    <w:rsid w:val="007E1D1C"/>
    <w:rsid w:val="007E5062"/>
    <w:rsid w:val="007E5CE5"/>
    <w:rsid w:val="007E7586"/>
    <w:rsid w:val="007F4A83"/>
    <w:rsid w:val="007F5CAB"/>
    <w:rsid w:val="008057E5"/>
    <w:rsid w:val="008108E5"/>
    <w:rsid w:val="00811010"/>
    <w:rsid w:val="008136BE"/>
    <w:rsid w:val="00814B24"/>
    <w:rsid w:val="008200B2"/>
    <w:rsid w:val="00820327"/>
    <w:rsid w:val="00825438"/>
    <w:rsid w:val="00825DF8"/>
    <w:rsid w:val="00831D04"/>
    <w:rsid w:val="00834291"/>
    <w:rsid w:val="00835099"/>
    <w:rsid w:val="00842D97"/>
    <w:rsid w:val="00843185"/>
    <w:rsid w:val="00845FA3"/>
    <w:rsid w:val="0084725F"/>
    <w:rsid w:val="00857858"/>
    <w:rsid w:val="00863F40"/>
    <w:rsid w:val="0086403C"/>
    <w:rsid w:val="00866442"/>
    <w:rsid w:val="00873F56"/>
    <w:rsid w:val="00874006"/>
    <w:rsid w:val="008742F8"/>
    <w:rsid w:val="00880178"/>
    <w:rsid w:val="00886161"/>
    <w:rsid w:val="00893594"/>
    <w:rsid w:val="00895477"/>
    <w:rsid w:val="008A7CFF"/>
    <w:rsid w:val="008A7F5C"/>
    <w:rsid w:val="008B22EA"/>
    <w:rsid w:val="008B368D"/>
    <w:rsid w:val="008B49F3"/>
    <w:rsid w:val="008C246C"/>
    <w:rsid w:val="008D5C2C"/>
    <w:rsid w:val="008E1012"/>
    <w:rsid w:val="00920795"/>
    <w:rsid w:val="00923D7D"/>
    <w:rsid w:val="009241A6"/>
    <w:rsid w:val="00924EE6"/>
    <w:rsid w:val="0092630C"/>
    <w:rsid w:val="0092789C"/>
    <w:rsid w:val="00940FAE"/>
    <w:rsid w:val="009553A1"/>
    <w:rsid w:val="00955B4B"/>
    <w:rsid w:val="0096127E"/>
    <w:rsid w:val="00971259"/>
    <w:rsid w:val="00974EE3"/>
    <w:rsid w:val="00985396"/>
    <w:rsid w:val="00991D3F"/>
    <w:rsid w:val="00993C44"/>
    <w:rsid w:val="009953F4"/>
    <w:rsid w:val="00997E56"/>
    <w:rsid w:val="009A15D0"/>
    <w:rsid w:val="009A3563"/>
    <w:rsid w:val="009A6049"/>
    <w:rsid w:val="009A71CB"/>
    <w:rsid w:val="009A75AB"/>
    <w:rsid w:val="009B1A50"/>
    <w:rsid w:val="009B48BE"/>
    <w:rsid w:val="009C09BB"/>
    <w:rsid w:val="009C6A46"/>
    <w:rsid w:val="009D0086"/>
    <w:rsid w:val="009D41DC"/>
    <w:rsid w:val="009E08FD"/>
    <w:rsid w:val="009E47B3"/>
    <w:rsid w:val="009E675D"/>
    <w:rsid w:val="009E67AA"/>
    <w:rsid w:val="009F1353"/>
    <w:rsid w:val="009F1E2D"/>
    <w:rsid w:val="009F589D"/>
    <w:rsid w:val="009F63B0"/>
    <w:rsid w:val="00A01097"/>
    <w:rsid w:val="00A029EE"/>
    <w:rsid w:val="00A02F54"/>
    <w:rsid w:val="00A13C16"/>
    <w:rsid w:val="00A17648"/>
    <w:rsid w:val="00A22994"/>
    <w:rsid w:val="00A34317"/>
    <w:rsid w:val="00A415FA"/>
    <w:rsid w:val="00A45B56"/>
    <w:rsid w:val="00A50C1A"/>
    <w:rsid w:val="00A54DD3"/>
    <w:rsid w:val="00A56A7F"/>
    <w:rsid w:val="00A576DF"/>
    <w:rsid w:val="00A60E84"/>
    <w:rsid w:val="00A64398"/>
    <w:rsid w:val="00A64A3E"/>
    <w:rsid w:val="00A71AA8"/>
    <w:rsid w:val="00A81E59"/>
    <w:rsid w:val="00A82C5F"/>
    <w:rsid w:val="00A91F3F"/>
    <w:rsid w:val="00A97AF1"/>
    <w:rsid w:val="00AA2F81"/>
    <w:rsid w:val="00AA47EC"/>
    <w:rsid w:val="00AA499C"/>
    <w:rsid w:val="00AA5616"/>
    <w:rsid w:val="00AB4E3F"/>
    <w:rsid w:val="00AD0B01"/>
    <w:rsid w:val="00AD1F8A"/>
    <w:rsid w:val="00AE2B46"/>
    <w:rsid w:val="00AE5911"/>
    <w:rsid w:val="00AE65F1"/>
    <w:rsid w:val="00AE7DC1"/>
    <w:rsid w:val="00AF1631"/>
    <w:rsid w:val="00AF2B48"/>
    <w:rsid w:val="00AF5CF5"/>
    <w:rsid w:val="00B055BD"/>
    <w:rsid w:val="00B07506"/>
    <w:rsid w:val="00B1294E"/>
    <w:rsid w:val="00B12C70"/>
    <w:rsid w:val="00B15421"/>
    <w:rsid w:val="00B17D70"/>
    <w:rsid w:val="00B31939"/>
    <w:rsid w:val="00B461BB"/>
    <w:rsid w:val="00B51208"/>
    <w:rsid w:val="00B54898"/>
    <w:rsid w:val="00B57DDB"/>
    <w:rsid w:val="00B62C34"/>
    <w:rsid w:val="00B678A7"/>
    <w:rsid w:val="00B749A7"/>
    <w:rsid w:val="00B82CAD"/>
    <w:rsid w:val="00B91E6E"/>
    <w:rsid w:val="00B95F61"/>
    <w:rsid w:val="00B9674E"/>
    <w:rsid w:val="00B96B20"/>
    <w:rsid w:val="00BA14A4"/>
    <w:rsid w:val="00BB4338"/>
    <w:rsid w:val="00BB779E"/>
    <w:rsid w:val="00BC137B"/>
    <w:rsid w:val="00BC290E"/>
    <w:rsid w:val="00BC29C2"/>
    <w:rsid w:val="00BC3F65"/>
    <w:rsid w:val="00BC6E78"/>
    <w:rsid w:val="00BD5939"/>
    <w:rsid w:val="00BD6820"/>
    <w:rsid w:val="00BE122C"/>
    <w:rsid w:val="00BE6237"/>
    <w:rsid w:val="00BE7086"/>
    <w:rsid w:val="00BE7784"/>
    <w:rsid w:val="00BE7ED8"/>
    <w:rsid w:val="00BF6BC7"/>
    <w:rsid w:val="00C036B8"/>
    <w:rsid w:val="00C0799E"/>
    <w:rsid w:val="00C10F70"/>
    <w:rsid w:val="00C13471"/>
    <w:rsid w:val="00C151B5"/>
    <w:rsid w:val="00C220D4"/>
    <w:rsid w:val="00C26A83"/>
    <w:rsid w:val="00C27DD7"/>
    <w:rsid w:val="00C30F19"/>
    <w:rsid w:val="00C3356E"/>
    <w:rsid w:val="00C337FE"/>
    <w:rsid w:val="00C33DE1"/>
    <w:rsid w:val="00C34E54"/>
    <w:rsid w:val="00C479D2"/>
    <w:rsid w:val="00C47CE8"/>
    <w:rsid w:val="00C52D6B"/>
    <w:rsid w:val="00C61D38"/>
    <w:rsid w:val="00C630F0"/>
    <w:rsid w:val="00C64508"/>
    <w:rsid w:val="00C64A83"/>
    <w:rsid w:val="00C743CE"/>
    <w:rsid w:val="00C80C4A"/>
    <w:rsid w:val="00C81FBD"/>
    <w:rsid w:val="00C83C4D"/>
    <w:rsid w:val="00C92F82"/>
    <w:rsid w:val="00C9340F"/>
    <w:rsid w:val="00C94563"/>
    <w:rsid w:val="00CB0CF7"/>
    <w:rsid w:val="00CB15D3"/>
    <w:rsid w:val="00CB4697"/>
    <w:rsid w:val="00CC0671"/>
    <w:rsid w:val="00CC22F2"/>
    <w:rsid w:val="00CC31B7"/>
    <w:rsid w:val="00CC4FBF"/>
    <w:rsid w:val="00CC6305"/>
    <w:rsid w:val="00CC6FE3"/>
    <w:rsid w:val="00CD1C78"/>
    <w:rsid w:val="00CF3C52"/>
    <w:rsid w:val="00CF545C"/>
    <w:rsid w:val="00CF6DC7"/>
    <w:rsid w:val="00D03E28"/>
    <w:rsid w:val="00D10C4C"/>
    <w:rsid w:val="00D126DD"/>
    <w:rsid w:val="00D30B4D"/>
    <w:rsid w:val="00D31732"/>
    <w:rsid w:val="00D423F4"/>
    <w:rsid w:val="00D45736"/>
    <w:rsid w:val="00D46E46"/>
    <w:rsid w:val="00D51089"/>
    <w:rsid w:val="00D52551"/>
    <w:rsid w:val="00D56D0F"/>
    <w:rsid w:val="00D63AF3"/>
    <w:rsid w:val="00D660BD"/>
    <w:rsid w:val="00D66306"/>
    <w:rsid w:val="00D72EBB"/>
    <w:rsid w:val="00D73F3C"/>
    <w:rsid w:val="00D849D4"/>
    <w:rsid w:val="00D8548C"/>
    <w:rsid w:val="00D858A9"/>
    <w:rsid w:val="00D92D37"/>
    <w:rsid w:val="00D94071"/>
    <w:rsid w:val="00DA2B59"/>
    <w:rsid w:val="00DA458D"/>
    <w:rsid w:val="00DA68C5"/>
    <w:rsid w:val="00DA7DD2"/>
    <w:rsid w:val="00DB25B3"/>
    <w:rsid w:val="00DB40D0"/>
    <w:rsid w:val="00DB5E13"/>
    <w:rsid w:val="00DB703D"/>
    <w:rsid w:val="00DC4A97"/>
    <w:rsid w:val="00DC5570"/>
    <w:rsid w:val="00DC731E"/>
    <w:rsid w:val="00DD12EF"/>
    <w:rsid w:val="00DD59ED"/>
    <w:rsid w:val="00DE59C4"/>
    <w:rsid w:val="00DF124F"/>
    <w:rsid w:val="00E016BD"/>
    <w:rsid w:val="00E01F11"/>
    <w:rsid w:val="00E0533A"/>
    <w:rsid w:val="00E05F5E"/>
    <w:rsid w:val="00E07A21"/>
    <w:rsid w:val="00E10A04"/>
    <w:rsid w:val="00E11C85"/>
    <w:rsid w:val="00E17AAF"/>
    <w:rsid w:val="00E3498E"/>
    <w:rsid w:val="00E34E77"/>
    <w:rsid w:val="00E37B54"/>
    <w:rsid w:val="00E401C5"/>
    <w:rsid w:val="00E43986"/>
    <w:rsid w:val="00E43DBF"/>
    <w:rsid w:val="00E47449"/>
    <w:rsid w:val="00E56A39"/>
    <w:rsid w:val="00E57122"/>
    <w:rsid w:val="00E62CEE"/>
    <w:rsid w:val="00E66C81"/>
    <w:rsid w:val="00E66DFF"/>
    <w:rsid w:val="00E718F2"/>
    <w:rsid w:val="00E731A4"/>
    <w:rsid w:val="00E75F13"/>
    <w:rsid w:val="00E80E98"/>
    <w:rsid w:val="00E837C9"/>
    <w:rsid w:val="00E916B8"/>
    <w:rsid w:val="00E91969"/>
    <w:rsid w:val="00E949DC"/>
    <w:rsid w:val="00EA26D5"/>
    <w:rsid w:val="00EA41DC"/>
    <w:rsid w:val="00EC0EBB"/>
    <w:rsid w:val="00EC36AB"/>
    <w:rsid w:val="00ED0530"/>
    <w:rsid w:val="00EE203E"/>
    <w:rsid w:val="00EF2BC5"/>
    <w:rsid w:val="00EF36FD"/>
    <w:rsid w:val="00EF549E"/>
    <w:rsid w:val="00EF78FD"/>
    <w:rsid w:val="00F034BF"/>
    <w:rsid w:val="00F03B70"/>
    <w:rsid w:val="00F1376B"/>
    <w:rsid w:val="00F16520"/>
    <w:rsid w:val="00F21627"/>
    <w:rsid w:val="00F24989"/>
    <w:rsid w:val="00F4420A"/>
    <w:rsid w:val="00F45F00"/>
    <w:rsid w:val="00F536E5"/>
    <w:rsid w:val="00F60A6E"/>
    <w:rsid w:val="00F61775"/>
    <w:rsid w:val="00F642BD"/>
    <w:rsid w:val="00F668A8"/>
    <w:rsid w:val="00F77B87"/>
    <w:rsid w:val="00F82348"/>
    <w:rsid w:val="00F849E9"/>
    <w:rsid w:val="00F86CCA"/>
    <w:rsid w:val="00F92EB5"/>
    <w:rsid w:val="00F95B0E"/>
    <w:rsid w:val="00F9745C"/>
    <w:rsid w:val="00F97B88"/>
    <w:rsid w:val="00FA37F5"/>
    <w:rsid w:val="00FA3A5D"/>
    <w:rsid w:val="00FA4CBF"/>
    <w:rsid w:val="00FA7AC6"/>
    <w:rsid w:val="00FB09D9"/>
    <w:rsid w:val="00FB37C4"/>
    <w:rsid w:val="00FB7E8C"/>
    <w:rsid w:val="00FC19E5"/>
    <w:rsid w:val="00FC648D"/>
    <w:rsid w:val="00FD33CF"/>
    <w:rsid w:val="00FD379D"/>
    <w:rsid w:val="00FD6676"/>
    <w:rsid w:val="00FD6FFD"/>
    <w:rsid w:val="00FD7ED5"/>
    <w:rsid w:val="00FE34C7"/>
    <w:rsid w:val="00FF4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5D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rPr>
  </w:style>
  <w:style w:type="paragraph" w:customStyle="1" w:styleId="EndNoteBibliography">
    <w:name w:val="EndNote Bibliography"/>
    <w:basedOn w:val="Normal"/>
    <w:link w:val="EndNoteBibliographyChar"/>
    <w:rsid w:val="00BC6E78"/>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9A15D0"/>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basedOn w:val="Normal"/>
    <w:next w:val="Normal"/>
    <w:link w:val="TitleChar"/>
    <w:uiPriority w:val="10"/>
    <w:qFormat/>
    <w:rsid w:val="00C945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56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D1F8A"/>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74</cp:revision>
  <dcterms:created xsi:type="dcterms:W3CDTF">2020-08-15T20:37:00Z</dcterms:created>
  <dcterms:modified xsi:type="dcterms:W3CDTF">2020-08-15T21:24:00Z</dcterms:modified>
</cp:coreProperties>
</file>