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46A00C" w14:textId="278E81CF" w:rsidR="00C94563" w:rsidRDefault="008839A5" w:rsidP="00CB0317">
      <w:pPr>
        <w:pStyle w:val="Title"/>
      </w:pPr>
      <w:r>
        <w:t xml:space="preserve"> </w:t>
      </w:r>
      <w:proofErr w:type="spellStart"/>
      <w:r>
        <w:t>q</w:t>
      </w:r>
      <w:r w:rsidR="00C94563">
        <w:t>A</w:t>
      </w:r>
      <w:proofErr w:type="spellEnd"/>
      <w:r w:rsidR="00C94563">
        <w:t xml:space="preserve"> </w:t>
      </w:r>
      <w:r w:rsidR="00B4001F">
        <w:t xml:space="preserve">Common </w:t>
      </w:r>
      <w:r w:rsidR="00C94563">
        <w:t>Framework for Integrated and Continuous Processing</w:t>
      </w:r>
    </w:p>
    <w:p w14:paraId="7A8A92BB" w14:textId="65DC999B" w:rsidR="00C94563" w:rsidRDefault="00C94563" w:rsidP="009672AB">
      <w:r>
        <w:t>© 2020 AstraZeneca</w:t>
      </w:r>
    </w:p>
    <w:p w14:paraId="5AFDAC25" w14:textId="658FE82A" w:rsidR="00DB105D" w:rsidRPr="008E6E36" w:rsidRDefault="00A8461B" w:rsidP="009672AB">
      <w:pPr>
        <w:rPr>
          <w:b/>
          <w:bCs/>
        </w:rPr>
      </w:pPr>
      <w:r w:rsidRPr="008E6E36">
        <w:rPr>
          <w:b/>
          <w:bCs/>
        </w:rPr>
        <w:t>Authors</w:t>
      </w:r>
    </w:p>
    <w:tbl>
      <w:tblPr>
        <w:tblStyle w:val="TableGrid"/>
        <w:tblW w:w="0" w:type="auto"/>
        <w:tblLook w:val="04A0" w:firstRow="1" w:lastRow="0" w:firstColumn="1" w:lastColumn="0" w:noHBand="0" w:noVBand="1"/>
      </w:tblPr>
      <w:tblGrid>
        <w:gridCol w:w="4675"/>
        <w:gridCol w:w="4675"/>
      </w:tblGrid>
      <w:tr w:rsidR="008E6E36" w:rsidRPr="00FB1D2E" w14:paraId="6E20661C" w14:textId="77777777" w:rsidTr="00A85A0B">
        <w:tc>
          <w:tcPr>
            <w:tcW w:w="4675" w:type="dxa"/>
          </w:tcPr>
          <w:p w14:paraId="5D96E28A" w14:textId="77777777" w:rsidR="008E6E36" w:rsidRPr="00FB1D2E" w:rsidRDefault="008E6E36" w:rsidP="00A85A0B">
            <w:r>
              <w:t>Jon Coffman</w:t>
            </w:r>
          </w:p>
        </w:tc>
        <w:tc>
          <w:tcPr>
            <w:tcW w:w="4675" w:type="dxa"/>
          </w:tcPr>
          <w:p w14:paraId="007D9DEE" w14:textId="77777777" w:rsidR="008E6E36" w:rsidRPr="00FB1D2E" w:rsidRDefault="008E6E36" w:rsidP="00A85A0B"/>
        </w:tc>
      </w:tr>
      <w:tr w:rsidR="008E6E36" w:rsidRPr="00FB1D2E" w14:paraId="4280D816" w14:textId="77777777" w:rsidTr="00A85A0B">
        <w:tc>
          <w:tcPr>
            <w:tcW w:w="4675" w:type="dxa"/>
          </w:tcPr>
          <w:p w14:paraId="6BFA3848" w14:textId="77777777" w:rsidR="008E6E36" w:rsidRPr="00FB1D2E" w:rsidRDefault="008E6E36" w:rsidP="00A85A0B">
            <w:proofErr w:type="spellStart"/>
            <w:r>
              <w:t>Sevda</w:t>
            </w:r>
            <w:proofErr w:type="spellEnd"/>
            <w:r>
              <w:t xml:space="preserve"> </w:t>
            </w:r>
            <w:proofErr w:type="spellStart"/>
            <w:r>
              <w:t>Deldari</w:t>
            </w:r>
            <w:proofErr w:type="spellEnd"/>
          </w:p>
        </w:tc>
        <w:tc>
          <w:tcPr>
            <w:tcW w:w="4675" w:type="dxa"/>
          </w:tcPr>
          <w:p w14:paraId="794E0E20" w14:textId="77777777" w:rsidR="008E6E36" w:rsidRPr="00FB1D2E" w:rsidRDefault="008E6E36" w:rsidP="00A85A0B"/>
        </w:tc>
      </w:tr>
      <w:tr w:rsidR="008E6E36" w:rsidRPr="00FB1D2E" w14:paraId="08810FDA" w14:textId="77777777" w:rsidTr="008E6E36">
        <w:tc>
          <w:tcPr>
            <w:tcW w:w="4675" w:type="dxa"/>
          </w:tcPr>
          <w:p w14:paraId="6CE604D9" w14:textId="77777777" w:rsidR="008E6E36" w:rsidRPr="00FB1D2E" w:rsidRDefault="008E6E36" w:rsidP="00A85A0B">
            <w:r>
              <w:t>Steve Rose</w:t>
            </w:r>
          </w:p>
        </w:tc>
        <w:tc>
          <w:tcPr>
            <w:tcW w:w="4675" w:type="dxa"/>
          </w:tcPr>
          <w:p w14:paraId="4F54EFD1" w14:textId="77777777" w:rsidR="008E6E36" w:rsidRPr="00FB1D2E" w:rsidRDefault="008E6E36" w:rsidP="00A85A0B"/>
        </w:tc>
      </w:tr>
      <w:tr w:rsidR="008E6E36" w:rsidRPr="00FB1D2E" w14:paraId="79BA4CC0" w14:textId="77777777" w:rsidTr="008E6E36">
        <w:tc>
          <w:tcPr>
            <w:tcW w:w="4675" w:type="dxa"/>
          </w:tcPr>
          <w:p w14:paraId="79E4F8D7" w14:textId="77777777" w:rsidR="008E6E36" w:rsidRPr="00FB1D2E" w:rsidRDefault="008E6E36" w:rsidP="00A85A0B">
            <w:proofErr w:type="spellStart"/>
            <w:r>
              <w:t>Ujwal</w:t>
            </w:r>
            <w:proofErr w:type="spellEnd"/>
            <w:r>
              <w:t xml:space="preserve"> Patel</w:t>
            </w:r>
          </w:p>
        </w:tc>
        <w:tc>
          <w:tcPr>
            <w:tcW w:w="4675" w:type="dxa"/>
          </w:tcPr>
          <w:p w14:paraId="602B5720" w14:textId="77777777" w:rsidR="008E6E36" w:rsidRPr="00FB1D2E" w:rsidRDefault="008E6E36" w:rsidP="00A85A0B"/>
        </w:tc>
      </w:tr>
      <w:tr w:rsidR="008E6E36" w:rsidRPr="00FB1D2E" w14:paraId="3CC75311" w14:textId="77777777" w:rsidTr="008E6E36">
        <w:tc>
          <w:tcPr>
            <w:tcW w:w="4675" w:type="dxa"/>
          </w:tcPr>
          <w:p w14:paraId="2AB57210" w14:textId="77777777" w:rsidR="008E6E36" w:rsidRPr="00FB1D2E" w:rsidRDefault="008E6E36" w:rsidP="00A85A0B">
            <w:r>
              <w:t>Jennifer Pollard</w:t>
            </w:r>
          </w:p>
        </w:tc>
        <w:tc>
          <w:tcPr>
            <w:tcW w:w="4675" w:type="dxa"/>
          </w:tcPr>
          <w:p w14:paraId="0DE59D11" w14:textId="77777777" w:rsidR="008E6E36" w:rsidRPr="00FB1D2E" w:rsidRDefault="008E6E36" w:rsidP="00A85A0B">
            <w:r>
              <w:t>jennifer_pollard@merck.com</w:t>
            </w:r>
          </w:p>
        </w:tc>
      </w:tr>
      <w:tr w:rsidR="008E6E36" w:rsidRPr="00FB1D2E" w14:paraId="36E8AB0C" w14:textId="77777777" w:rsidTr="008E6E36">
        <w:tc>
          <w:tcPr>
            <w:tcW w:w="4675" w:type="dxa"/>
          </w:tcPr>
          <w:p w14:paraId="45CA8E5D" w14:textId="77777777" w:rsidR="008E6E36" w:rsidRPr="00FB1D2E" w:rsidRDefault="008E6E36" w:rsidP="00A85A0B">
            <w:r>
              <w:t>Joseph S</w:t>
            </w:r>
            <w:r w:rsidRPr="00FB1D2E">
              <w:t xml:space="preserve">hultz </w:t>
            </w:r>
          </w:p>
        </w:tc>
        <w:tc>
          <w:tcPr>
            <w:tcW w:w="4675" w:type="dxa"/>
          </w:tcPr>
          <w:p w14:paraId="06C461CD" w14:textId="77777777" w:rsidR="008E6E36" w:rsidRDefault="008E6E36" w:rsidP="00A85A0B">
            <w:r w:rsidRPr="00FB1D2E">
              <w:t>joseph.shultz@novartis.com</w:t>
            </w:r>
          </w:p>
        </w:tc>
      </w:tr>
      <w:tr w:rsidR="008E6E36" w:rsidRPr="00FB1D2E" w14:paraId="7254FC4C" w14:textId="77777777" w:rsidTr="008E6E36">
        <w:tc>
          <w:tcPr>
            <w:tcW w:w="4675" w:type="dxa"/>
          </w:tcPr>
          <w:p w14:paraId="29B7906B" w14:textId="77777777" w:rsidR="008E6E36" w:rsidRPr="00FB1D2E" w:rsidRDefault="008E6E36" w:rsidP="00A85A0B">
            <w:proofErr w:type="spellStart"/>
            <w:r w:rsidRPr="00FB1D2E">
              <w:t>Maen</w:t>
            </w:r>
            <w:proofErr w:type="spellEnd"/>
            <w:r w:rsidRPr="00FB1D2E">
              <w:t xml:space="preserve"> </w:t>
            </w:r>
            <w:proofErr w:type="spellStart"/>
            <w:r w:rsidRPr="00FB1D2E">
              <w:t>Qadan</w:t>
            </w:r>
            <w:proofErr w:type="spellEnd"/>
            <w:r w:rsidRPr="00FB1D2E">
              <w:t xml:space="preserve"> </w:t>
            </w:r>
          </w:p>
        </w:tc>
        <w:tc>
          <w:tcPr>
            <w:tcW w:w="4675" w:type="dxa"/>
          </w:tcPr>
          <w:p w14:paraId="022C235B" w14:textId="77777777" w:rsidR="008E6E36" w:rsidRPr="00FB1D2E" w:rsidRDefault="008E6E36" w:rsidP="00A85A0B">
            <w:r w:rsidRPr="00FB1D2E">
              <w:t>qadan_maen@lilly.com</w:t>
            </w:r>
          </w:p>
        </w:tc>
      </w:tr>
      <w:tr w:rsidR="008E6E36" w:rsidRPr="00FB1D2E" w14:paraId="0A2C24C1" w14:textId="77777777" w:rsidTr="008E6E36">
        <w:tc>
          <w:tcPr>
            <w:tcW w:w="4675" w:type="dxa"/>
          </w:tcPr>
          <w:p w14:paraId="360C6200" w14:textId="77777777" w:rsidR="008E6E36" w:rsidRPr="00FB1D2E" w:rsidRDefault="008E6E36" w:rsidP="00A85A0B">
            <w:r w:rsidRPr="00FB1D2E">
              <w:t xml:space="preserve">Schaefer, Eugene [JRDUS] </w:t>
            </w:r>
          </w:p>
        </w:tc>
        <w:tc>
          <w:tcPr>
            <w:tcW w:w="4675" w:type="dxa"/>
          </w:tcPr>
          <w:p w14:paraId="14187ACF" w14:textId="77777777" w:rsidR="008E6E36" w:rsidRPr="00FB1D2E" w:rsidRDefault="008E6E36" w:rsidP="00A85A0B">
            <w:r w:rsidRPr="00FB1D2E">
              <w:t>ESchaefe@its.jnj.com</w:t>
            </w:r>
          </w:p>
        </w:tc>
      </w:tr>
    </w:tbl>
    <w:p w14:paraId="4E770E7B" w14:textId="4A5E3A94" w:rsidR="00B02ECC" w:rsidRPr="008E6E36" w:rsidRDefault="00B02ECC" w:rsidP="009672AB">
      <w:pPr>
        <w:rPr>
          <w:b/>
          <w:bCs/>
        </w:rPr>
      </w:pPr>
      <w:r w:rsidRPr="008E6E36">
        <w:rPr>
          <w:b/>
          <w:bCs/>
        </w:rPr>
        <w:t>&lt;Potential Authors&gt;</w:t>
      </w:r>
    </w:p>
    <w:tbl>
      <w:tblPr>
        <w:tblStyle w:val="TableGrid"/>
        <w:tblW w:w="0" w:type="auto"/>
        <w:tblLook w:val="04A0" w:firstRow="1" w:lastRow="0" w:firstColumn="1" w:lastColumn="0" w:noHBand="0" w:noVBand="1"/>
      </w:tblPr>
      <w:tblGrid>
        <w:gridCol w:w="4675"/>
        <w:gridCol w:w="4675"/>
      </w:tblGrid>
      <w:tr w:rsidR="00DB105D" w:rsidRPr="00FB1D2E" w14:paraId="7A66E071" w14:textId="77777777" w:rsidTr="00DB105D">
        <w:tc>
          <w:tcPr>
            <w:tcW w:w="4675" w:type="dxa"/>
          </w:tcPr>
          <w:p w14:paraId="020900AF" w14:textId="2C625586" w:rsidR="00DB105D" w:rsidRPr="00FB1D2E" w:rsidRDefault="00E62146" w:rsidP="009672AB">
            <w:r>
              <w:t>Irina Ramos</w:t>
            </w:r>
          </w:p>
        </w:tc>
        <w:tc>
          <w:tcPr>
            <w:tcW w:w="4675" w:type="dxa"/>
          </w:tcPr>
          <w:p w14:paraId="2E6BD8BF" w14:textId="0B63A480" w:rsidR="00DB105D" w:rsidRPr="00FB1D2E" w:rsidRDefault="00DB105D" w:rsidP="00401D56"/>
        </w:tc>
      </w:tr>
      <w:tr w:rsidR="00DB105D" w:rsidRPr="00FB1D2E" w14:paraId="761CA7F4" w14:textId="77777777" w:rsidTr="00DB105D">
        <w:tc>
          <w:tcPr>
            <w:tcW w:w="4675" w:type="dxa"/>
          </w:tcPr>
          <w:p w14:paraId="43BBBA89" w14:textId="53E66FF7" w:rsidR="00DB105D" w:rsidRPr="00FB1D2E" w:rsidRDefault="00E62146" w:rsidP="009672AB">
            <w:r>
              <w:t xml:space="preserve">Nicholas </w:t>
            </w:r>
            <w:proofErr w:type="spellStart"/>
            <w:r>
              <w:t>Guros</w:t>
            </w:r>
            <w:proofErr w:type="spellEnd"/>
          </w:p>
        </w:tc>
        <w:tc>
          <w:tcPr>
            <w:tcW w:w="4675" w:type="dxa"/>
          </w:tcPr>
          <w:p w14:paraId="13EFEB25" w14:textId="79BB6E91" w:rsidR="00DB105D" w:rsidRPr="00FB1D2E" w:rsidRDefault="00DB105D" w:rsidP="00401D56"/>
        </w:tc>
      </w:tr>
      <w:tr w:rsidR="00DB105D" w:rsidRPr="00FB1D2E" w14:paraId="66BEE45C" w14:textId="77777777" w:rsidTr="00DB105D">
        <w:tc>
          <w:tcPr>
            <w:tcW w:w="4675" w:type="dxa"/>
          </w:tcPr>
          <w:p w14:paraId="446440B7" w14:textId="2C43F261" w:rsidR="00DB105D" w:rsidRPr="00FB1D2E" w:rsidRDefault="00E62146" w:rsidP="009672AB">
            <w:r>
              <w:t>Ken Lee</w:t>
            </w:r>
          </w:p>
        </w:tc>
        <w:tc>
          <w:tcPr>
            <w:tcW w:w="4675" w:type="dxa"/>
          </w:tcPr>
          <w:p w14:paraId="551376BC" w14:textId="2545F3CC" w:rsidR="00DB105D" w:rsidRPr="00FB1D2E" w:rsidRDefault="00DB105D" w:rsidP="00401D56"/>
        </w:tc>
      </w:tr>
      <w:tr w:rsidR="00DB105D" w:rsidRPr="00FB1D2E" w14:paraId="78C7C2DC" w14:textId="77777777" w:rsidTr="00DB105D">
        <w:tc>
          <w:tcPr>
            <w:tcW w:w="4675" w:type="dxa"/>
          </w:tcPr>
          <w:p w14:paraId="22DE214A" w14:textId="6F862358" w:rsidR="00DB105D" w:rsidRPr="00FB1D2E" w:rsidRDefault="00DB105D" w:rsidP="00401D56"/>
        </w:tc>
        <w:tc>
          <w:tcPr>
            <w:tcW w:w="4675" w:type="dxa"/>
          </w:tcPr>
          <w:p w14:paraId="3EAFC93B" w14:textId="1C6F290A" w:rsidR="00DB105D" w:rsidRPr="00FB1D2E" w:rsidRDefault="00DB105D" w:rsidP="00401D56"/>
        </w:tc>
      </w:tr>
      <w:tr w:rsidR="00DB105D" w:rsidRPr="00FB1D2E" w14:paraId="20FA8E4A" w14:textId="77777777" w:rsidTr="00401D56">
        <w:tc>
          <w:tcPr>
            <w:tcW w:w="4675" w:type="dxa"/>
          </w:tcPr>
          <w:p w14:paraId="628840E2" w14:textId="77777777" w:rsidR="00DB105D" w:rsidRPr="00FB1D2E" w:rsidRDefault="00DB105D" w:rsidP="009672AB">
            <w:r w:rsidRPr="00FB1D2E">
              <w:t xml:space="preserve">Lisa Connell-Crowley </w:t>
            </w:r>
          </w:p>
        </w:tc>
        <w:tc>
          <w:tcPr>
            <w:tcW w:w="4675" w:type="dxa"/>
          </w:tcPr>
          <w:p w14:paraId="202E0821" w14:textId="77777777" w:rsidR="00DB105D" w:rsidRPr="00FB1D2E" w:rsidRDefault="00DB105D" w:rsidP="009672AB">
            <w:proofErr w:type="spellStart"/>
            <w:r w:rsidRPr="00FB1D2E">
              <w:t>lisacc@just.bio</w:t>
            </w:r>
            <w:proofErr w:type="spellEnd"/>
          </w:p>
        </w:tc>
      </w:tr>
      <w:tr w:rsidR="00DB105D" w:rsidRPr="00FB1D2E" w14:paraId="0AF36929" w14:textId="77777777" w:rsidTr="00401D56">
        <w:tc>
          <w:tcPr>
            <w:tcW w:w="4675" w:type="dxa"/>
          </w:tcPr>
          <w:p w14:paraId="47317E7B" w14:textId="77777777" w:rsidR="00DB105D" w:rsidRPr="00FB1D2E" w:rsidRDefault="00DB105D" w:rsidP="009672AB">
            <w:r w:rsidRPr="00FB1D2E">
              <w:t xml:space="preserve"> Brower, Mark </w:t>
            </w:r>
          </w:p>
        </w:tc>
        <w:tc>
          <w:tcPr>
            <w:tcW w:w="4675" w:type="dxa"/>
          </w:tcPr>
          <w:p w14:paraId="50CE071B" w14:textId="77777777" w:rsidR="00DB105D" w:rsidRPr="00FB1D2E" w:rsidRDefault="00DB105D" w:rsidP="009672AB">
            <w:r w:rsidRPr="00FB1D2E">
              <w:t>mark_brower@merck.com</w:t>
            </w:r>
          </w:p>
        </w:tc>
      </w:tr>
      <w:tr w:rsidR="00DB105D" w:rsidRPr="00FB1D2E" w14:paraId="4342D903" w14:textId="77777777" w:rsidTr="00401D56">
        <w:tc>
          <w:tcPr>
            <w:tcW w:w="4675" w:type="dxa"/>
          </w:tcPr>
          <w:p w14:paraId="6451EF52" w14:textId="77777777" w:rsidR="00DB105D" w:rsidRPr="00FB1D2E" w:rsidRDefault="00DB105D" w:rsidP="009672AB">
            <w:r w:rsidRPr="00FB1D2E">
              <w:t xml:space="preserve"> Nihal </w:t>
            </w:r>
            <w:proofErr w:type="spellStart"/>
            <w:r w:rsidRPr="00FB1D2E">
              <w:t>Tugcu</w:t>
            </w:r>
            <w:proofErr w:type="spellEnd"/>
            <w:r w:rsidRPr="00FB1D2E">
              <w:t xml:space="preserve"> </w:t>
            </w:r>
          </w:p>
        </w:tc>
        <w:tc>
          <w:tcPr>
            <w:tcW w:w="4675" w:type="dxa"/>
          </w:tcPr>
          <w:p w14:paraId="3657040B" w14:textId="77777777" w:rsidR="00DB105D" w:rsidRPr="00FB1D2E" w:rsidRDefault="00DB105D" w:rsidP="009672AB">
            <w:r w:rsidRPr="00FB1D2E">
              <w:t>nihal.tugcu@sanofi.com</w:t>
            </w:r>
          </w:p>
        </w:tc>
      </w:tr>
      <w:tr w:rsidR="00DB105D" w:rsidRPr="00FB1D2E" w14:paraId="59A50643" w14:textId="77777777" w:rsidTr="00401D56">
        <w:tc>
          <w:tcPr>
            <w:tcW w:w="4675" w:type="dxa"/>
          </w:tcPr>
          <w:p w14:paraId="768C18B6" w14:textId="77777777" w:rsidR="00DB105D" w:rsidRPr="00FB1D2E" w:rsidRDefault="00DB105D" w:rsidP="009672AB">
            <w:r w:rsidRPr="00FB1D2E">
              <w:t xml:space="preserve"> Pollard, David </w:t>
            </w:r>
          </w:p>
        </w:tc>
        <w:tc>
          <w:tcPr>
            <w:tcW w:w="4675" w:type="dxa"/>
          </w:tcPr>
          <w:p w14:paraId="779CE909" w14:textId="77777777" w:rsidR="00DB105D" w:rsidRPr="00FB1D2E" w:rsidRDefault="00DB105D" w:rsidP="009672AB">
            <w:r w:rsidRPr="00FB1D2E">
              <w:t>David.Pollard@sartorius-stedim.com</w:t>
            </w:r>
          </w:p>
        </w:tc>
      </w:tr>
      <w:tr w:rsidR="00DB105D" w:rsidRPr="00FB1D2E" w14:paraId="65638508" w14:textId="77777777" w:rsidTr="00401D56">
        <w:tc>
          <w:tcPr>
            <w:tcW w:w="4675" w:type="dxa"/>
          </w:tcPr>
          <w:p w14:paraId="4AAE8D10" w14:textId="77777777" w:rsidR="00DB105D" w:rsidRPr="00FB1D2E" w:rsidRDefault="00DB105D" w:rsidP="009672AB">
            <w:r>
              <w:lastRenderedPageBreak/>
              <w:t>John Erikson</w:t>
            </w:r>
          </w:p>
        </w:tc>
        <w:tc>
          <w:tcPr>
            <w:tcW w:w="4675" w:type="dxa"/>
          </w:tcPr>
          <w:p w14:paraId="25666CAA" w14:textId="77777777" w:rsidR="00DB105D" w:rsidRPr="00FB1D2E" w:rsidRDefault="00DB105D" w:rsidP="009672AB">
            <w:r w:rsidRPr="00FB1D2E">
              <w:t>erickson@udel.edu</w:t>
            </w:r>
          </w:p>
        </w:tc>
      </w:tr>
      <w:tr w:rsidR="00DB105D" w:rsidRPr="00FB1D2E" w14:paraId="4F6164FF" w14:textId="77777777" w:rsidTr="00401D56">
        <w:tc>
          <w:tcPr>
            <w:tcW w:w="4675" w:type="dxa"/>
          </w:tcPr>
          <w:p w14:paraId="35F3647D" w14:textId="63D95033" w:rsidR="00DB105D" w:rsidRPr="00FB1D2E" w:rsidRDefault="00DB105D" w:rsidP="009672AB">
            <w:r w:rsidRPr="00FB1D2E">
              <w:t xml:space="preserve">Dr. David </w:t>
            </w:r>
            <w:proofErr w:type="spellStart"/>
            <w:r w:rsidRPr="00FB1D2E">
              <w:t>Paolella</w:t>
            </w:r>
            <w:proofErr w:type="spellEnd"/>
            <w:r w:rsidRPr="00FB1D2E">
              <w:t xml:space="preserve"> </w:t>
            </w:r>
          </w:p>
        </w:tc>
        <w:tc>
          <w:tcPr>
            <w:tcW w:w="4675" w:type="dxa"/>
          </w:tcPr>
          <w:p w14:paraId="5562EE6B" w14:textId="22E6A2D3" w:rsidR="00DB105D" w:rsidRPr="00FB1D2E" w:rsidRDefault="00DB105D" w:rsidP="009672AB">
            <w:r w:rsidRPr="00FB1D2E">
              <w:t>david.n.paolella@gsk.com</w:t>
            </w:r>
          </w:p>
        </w:tc>
      </w:tr>
      <w:tr w:rsidR="00DB105D" w:rsidRPr="00FB1D2E" w14:paraId="33478869" w14:textId="77777777" w:rsidTr="00401D56">
        <w:tc>
          <w:tcPr>
            <w:tcW w:w="4675" w:type="dxa"/>
          </w:tcPr>
          <w:p w14:paraId="666C7A94" w14:textId="050145FB" w:rsidR="00DB105D" w:rsidRPr="00FB1D2E" w:rsidRDefault="00DB105D" w:rsidP="009672AB">
            <w:r w:rsidRPr="00FB1D2E">
              <w:t xml:space="preserve"> Hart, Roger </w:t>
            </w:r>
          </w:p>
        </w:tc>
        <w:tc>
          <w:tcPr>
            <w:tcW w:w="4675" w:type="dxa"/>
          </w:tcPr>
          <w:p w14:paraId="6AA767D7" w14:textId="1CE6730C" w:rsidR="00DB105D" w:rsidRPr="00FB1D2E" w:rsidRDefault="00B0245C" w:rsidP="009672AB">
            <w:hyperlink r:id="rId8" w:history="1">
              <w:r w:rsidR="00DB105D" w:rsidRPr="00C223B2">
                <w:rPr>
                  <w:rStyle w:val="Hyperlink"/>
                </w:rPr>
                <w:t>rhart@amgen.com</w:t>
              </w:r>
            </w:hyperlink>
          </w:p>
        </w:tc>
      </w:tr>
    </w:tbl>
    <w:p w14:paraId="60041BB0" w14:textId="77777777" w:rsidR="00C94563" w:rsidRPr="00C94563" w:rsidRDefault="00C94563" w:rsidP="009672AB"/>
    <w:p w14:paraId="01A2E201" w14:textId="171A4145" w:rsidR="009F1E2D" w:rsidRDefault="009F1E2D" w:rsidP="00CF3C52">
      <w:pPr>
        <w:pStyle w:val="Heading1"/>
      </w:pPr>
      <w:r>
        <w:t>Abstract</w:t>
      </w:r>
    </w:p>
    <w:p w14:paraId="063DD892" w14:textId="21D5C4A4" w:rsidR="00AA47EC" w:rsidRPr="00EF36FD" w:rsidRDefault="00AA47EC" w:rsidP="1872F496">
      <w:pPr>
        <w:pStyle w:val="NormalWeb"/>
        <w:spacing w:beforeAutospacing="0" w:after="0" w:afterAutospacing="0"/>
        <w:ind w:left="540"/>
      </w:pPr>
      <w:r>
        <w:rPr>
          <w:color w:val="000000"/>
        </w:rPr>
        <w:t xml:space="preserve">There is a growing </w:t>
      </w:r>
      <w:r w:rsidR="003669AC">
        <w:rPr>
          <w:color w:val="000000"/>
        </w:rPr>
        <w:t xml:space="preserve">application of </w:t>
      </w:r>
      <w:r>
        <w:rPr>
          <w:color w:val="000000"/>
        </w:rPr>
        <w:t xml:space="preserve">integrated </w:t>
      </w:r>
      <w:r w:rsidR="003669AC">
        <w:rPr>
          <w:color w:val="000000"/>
        </w:rPr>
        <w:t xml:space="preserve">and continuous </w:t>
      </w:r>
      <w:r>
        <w:rPr>
          <w:color w:val="000000"/>
        </w:rPr>
        <w:t xml:space="preserve">bioprocessing (ICB) as a manufacturing platform for the production of recombinant protein therapeutics produced from mammalian cells. </w:t>
      </w:r>
      <w:r w:rsidR="1872F496" w:rsidRPr="1872F496">
        <w:t>At first glance, the newly evolved ICB has created a vast diversity of platforms. A closer inspection reveals convergent evolution: nearly all of the major ICB methods have a common framework that could allow manufacturing across a global ecosystem of manufacturers using simple, yet effective, equipment designs. The framework is</w:t>
      </w:r>
      <w:r w:rsidR="0029075D">
        <w:t xml:space="preserve"> </w:t>
      </w:r>
      <w:r w:rsidR="1872F496" w:rsidRPr="1872F496">
        <w:t>capable of supporting the manufacturing of most major biopharmaceutical ICB</w:t>
      </w:r>
      <w:r w:rsidR="0029075D">
        <w:t xml:space="preserve"> and legacy </w:t>
      </w:r>
      <w:r w:rsidR="00A1639A">
        <w:t>processes</w:t>
      </w:r>
      <w:r w:rsidR="1872F496" w:rsidRPr="1872F496">
        <w:t xml:space="preserve"> without major changes in the regulatory </w:t>
      </w:r>
      <w:r w:rsidR="000022BC" w:rsidRPr="1872F496">
        <w:t>license</w:t>
      </w:r>
      <w:r w:rsidR="0029075D">
        <w:t>.</w:t>
      </w:r>
    </w:p>
    <w:p w14:paraId="5F4C9E8B" w14:textId="584CBC6F" w:rsidR="00F86CCA" w:rsidRDefault="00AA47EC" w:rsidP="00880178">
      <w:pPr>
        <w:pStyle w:val="NormalWeb"/>
        <w:ind w:left="540"/>
        <w:rPr>
          <w:color w:val="000000"/>
        </w:rPr>
      </w:pPr>
      <w:r>
        <w:rPr>
          <w:color w:val="000000"/>
        </w:rPr>
        <w:t>This paper reviews the ICB that are being used, or are soon to be used, in a GMP manufacturing setting for recombinant protein production</w:t>
      </w:r>
      <w:r w:rsidR="003669AC">
        <w:rPr>
          <w:color w:val="000000"/>
        </w:rPr>
        <w:t xml:space="preserve"> from mammalian cells</w:t>
      </w:r>
      <w:r>
        <w:rPr>
          <w:color w:val="000000"/>
        </w:rPr>
        <w:t xml:space="preserve">. </w:t>
      </w:r>
      <w:r w:rsidR="00634B17">
        <w:rPr>
          <w:color w:val="000000"/>
        </w:rPr>
        <w:t xml:space="preserve">The ICB </w:t>
      </w:r>
      <w:r w:rsidR="00AF2B48">
        <w:rPr>
          <w:color w:val="000000"/>
        </w:rPr>
        <w:t>platforms are</w:t>
      </w:r>
      <w:r w:rsidR="00634B17">
        <w:rPr>
          <w:color w:val="000000"/>
        </w:rPr>
        <w:t xml:space="preserve"> used primarily for </w:t>
      </w:r>
      <w:proofErr w:type="spellStart"/>
      <w:r w:rsidR="00634B17">
        <w:rPr>
          <w:color w:val="000000"/>
        </w:rPr>
        <w:t>mAb</w:t>
      </w:r>
      <w:proofErr w:type="spellEnd"/>
      <w:r w:rsidR="00634B17">
        <w:rPr>
          <w:color w:val="000000"/>
        </w:rPr>
        <w:t xml:space="preserve"> and </w:t>
      </w:r>
      <w:proofErr w:type="spellStart"/>
      <w:r w:rsidR="00634B17">
        <w:rPr>
          <w:color w:val="000000"/>
        </w:rPr>
        <w:t>mAb</w:t>
      </w:r>
      <w:proofErr w:type="spellEnd"/>
      <w:r w:rsidR="00634B17">
        <w:rPr>
          <w:color w:val="000000"/>
        </w:rPr>
        <w:t xml:space="preserve">-like </w:t>
      </w:r>
      <w:proofErr w:type="gramStart"/>
      <w:r w:rsidR="00634B17">
        <w:rPr>
          <w:color w:val="000000"/>
        </w:rPr>
        <w:t>products, yet</w:t>
      </w:r>
      <w:proofErr w:type="gramEnd"/>
      <w:r w:rsidR="00634B17">
        <w:rPr>
          <w:color w:val="000000"/>
        </w:rPr>
        <w:t xml:space="preserve"> can be adapted to all recombinant proteins. </w:t>
      </w:r>
      <w:r w:rsidR="00870E9D">
        <w:rPr>
          <w:color w:val="000000"/>
        </w:rPr>
        <w:t xml:space="preserve">This </w:t>
      </w:r>
      <w:r w:rsidR="009C67CA">
        <w:rPr>
          <w:color w:val="000000"/>
        </w:rPr>
        <w:t>process will allow the production of low productivity modalities such as bispecific antibodies as well as high productivity monoclonal antibodies.</w:t>
      </w:r>
      <w:r w:rsidR="000022BC">
        <w:rPr>
          <w:color w:val="000000"/>
        </w:rPr>
        <w:t xml:space="preserve"> </w:t>
      </w:r>
    </w:p>
    <w:p w14:paraId="28E55EBD" w14:textId="2F0DDC21" w:rsidR="000022BC" w:rsidRDefault="0029075D" w:rsidP="00880178">
      <w:pPr>
        <w:pStyle w:val="NormalWeb"/>
        <w:ind w:left="540"/>
        <w:rPr>
          <w:color w:val="000000"/>
        </w:rPr>
      </w:pPr>
      <w:r>
        <w:rPr>
          <w:color w:val="000000"/>
        </w:rPr>
        <w:t xml:space="preserve">An example plant built on the common framework will be discussed. The flexibility of the plant is demonstrated with batches as small as 6kg or as large as 500kg. The yearly output of the plant is as much as 8 tons. </w:t>
      </w:r>
    </w:p>
    <w:p w14:paraId="56D52EBE" w14:textId="72B4AB98" w:rsidR="003F4574" w:rsidRPr="00C337FE" w:rsidRDefault="00CF3C52" w:rsidP="00CF3C52">
      <w:pPr>
        <w:pStyle w:val="Heading1"/>
        <w:rPr>
          <w:rFonts w:eastAsia="Times New Roman"/>
          <w:b/>
          <w:bCs/>
        </w:rPr>
      </w:pPr>
      <w:r>
        <w:rPr>
          <w:rFonts w:eastAsia="Times New Roman"/>
        </w:rPr>
        <w:t>Introduction</w:t>
      </w:r>
    </w:p>
    <w:p w14:paraId="7B98A02C" w14:textId="26E352DE" w:rsidR="00E62CEE" w:rsidRDefault="60ADBA91" w:rsidP="6E434CCD">
      <w:r>
        <w:t>Many biopharmaceutical companies are considering switching from fed-batch bioreactors and independent, batch downstream unit operations to integrated and continuous bioprocessing (ICB), which uses</w:t>
      </w:r>
      <w:r w:rsidR="00105E2A">
        <w:t xml:space="preserve"> a mammalian host in</w:t>
      </w:r>
      <w:r>
        <w:t xml:space="preserve"> continuous perfusion bioreactors and a linked and continuous downstream. ICB has well-reviewed cost advantages for clinical </w:t>
      </w:r>
      <w:r w:rsidRPr="60ADBA91">
        <w:rPr>
          <w:b/>
          <w:bCs/>
          <w:highlight w:val="yellow"/>
          <w:u w:val="double"/>
        </w:rPr>
        <w:t>[</w:t>
      </w:r>
      <w:proofErr w:type="gramStart"/>
      <w:r w:rsidRPr="60ADBA91">
        <w:rPr>
          <w:b/>
          <w:bCs/>
          <w:highlight w:val="yellow"/>
          <w:u w:val="double"/>
        </w:rPr>
        <w:t xml:space="preserve">ref] </w:t>
      </w:r>
      <w:r w:rsidRPr="60ADBA91">
        <w:rPr>
          <w:b/>
          <w:bCs/>
          <w:highlight w:val="yellow"/>
        </w:rPr>
        <w:t xml:space="preserve"> </w:t>
      </w:r>
      <w:r>
        <w:t xml:space="preserve"> </w:t>
      </w:r>
      <w:proofErr w:type="gramEnd"/>
      <w:r>
        <w:t xml:space="preserve">and, for some scales, commercial </w:t>
      </w:r>
      <w:r w:rsidRPr="60ADBA91">
        <w:rPr>
          <w:b/>
          <w:bCs/>
          <w:u w:val="double"/>
        </w:rPr>
        <w:t xml:space="preserve">[ref] </w:t>
      </w:r>
      <w:r>
        <w:t xml:space="preserve"> manufacturing.</w:t>
      </w:r>
    </w:p>
    <w:p w14:paraId="5A9B0351" w14:textId="22B9EC1F" w:rsidR="00E62CEE" w:rsidRDefault="0029075D" w:rsidP="00B86A4C">
      <w:r>
        <w:t>The literature describes</w:t>
      </w:r>
      <w:r w:rsidR="6E434CCD">
        <w:t xml:space="preserve"> a dizzying array of options for ICB, so much so that </w:t>
      </w:r>
      <w:r>
        <w:t xml:space="preserve">one might think that </w:t>
      </w:r>
      <w:r w:rsidR="6E434CCD">
        <w:t xml:space="preserve">biopharmaceutical companies </w:t>
      </w:r>
      <w:r>
        <w:t>would</w:t>
      </w:r>
      <w:r w:rsidR="6E434CCD">
        <w:t xml:space="preserve"> choose different and incompatible implementations.  Here we report and review several of the largest biopharmaceutical companies implementing ICB</w:t>
      </w:r>
      <w:r w:rsidR="00A1639A">
        <w:t xml:space="preserve"> </w:t>
      </w:r>
      <w:r w:rsidR="6E434CCD">
        <w:t xml:space="preserve">to show there exists a common denominator in the industry. We further demonstrate that the </w:t>
      </w:r>
      <w:r>
        <w:lastRenderedPageBreak/>
        <w:t xml:space="preserve">common </w:t>
      </w:r>
      <w:r w:rsidR="6E434CCD">
        <w:t xml:space="preserve">framework uses many of the familiar batch processing </w:t>
      </w:r>
      <w:proofErr w:type="gramStart"/>
      <w:r w:rsidR="6E434CCD">
        <w:t>operations, and</w:t>
      </w:r>
      <w:proofErr w:type="gramEnd"/>
      <w:r w:rsidR="6E434CCD">
        <w:t xml:space="preserve"> allows backward compatibility with legacy batch processes. </w:t>
      </w:r>
    </w:p>
    <w:p w14:paraId="5F1300A3" w14:textId="45A34718" w:rsidR="00E62CEE" w:rsidRDefault="60ADBA91" w:rsidP="00B86A4C">
      <w:r>
        <w:t xml:space="preserve">The specific choices made for implementing ICB in manufacturing are not often well described in the literature, and a significant amount of information comes from public presentations. This article will not disclose the details of individual companies’ platforms except where a citation exists, or disclosure permission is given.  Some features that build on top of the framework will remain proprietary and will not be described.  All of the integrated and continuous bioprocesses will fit into a plant built on the common framework without significant regulatory changes and without large capital investments. The framework will not require new process characterization studies with the possible exception of the final concentration and diafiltration step, nor will it require new virus removal or inactivation studies. Regulatory filings and technology transfer would, </w:t>
      </w:r>
      <w:proofErr w:type="gramStart"/>
      <w:r>
        <w:t>however</w:t>
      </w:r>
      <w:proofErr w:type="gramEnd"/>
      <w:r>
        <w:t xml:space="preserve"> benefit from some foreknowledge of this framework process. </w:t>
      </w:r>
    </w:p>
    <w:p w14:paraId="12E4C733" w14:textId="41747760" w:rsidR="60ADBA91" w:rsidRDefault="60ADBA91" w:rsidP="60ADBA91">
      <w:pPr>
        <w:pStyle w:val="Heading1"/>
      </w:pPr>
      <w:r>
        <w:t>The Common Framework for Integrated and Continuous Manufacturing</w:t>
      </w:r>
    </w:p>
    <w:p w14:paraId="7C9360E2" w14:textId="5790B0BB" w:rsidR="6E434CCD" w:rsidRDefault="60ADBA91" w:rsidP="60ADBA91">
      <w:r>
        <w:t xml:space="preserve">The ICB being implemented in clinical or commercial manufacturing are shown in Table 1. These processes use a mixture of N-stage perfusion, and some form of multicolumn chromatography with linked processes. </w:t>
      </w:r>
      <w:r w:rsidR="00402E2E">
        <w:t xml:space="preserve"> Some processes are integrated end-to-end, from the bioreactor though to the final concentration step. Others pool the product in-process to define a lot</w:t>
      </w:r>
      <w:r w:rsidR="00FD02D0">
        <w:t xml:space="preserve">. </w:t>
      </w:r>
      <w:r w:rsidR="00402E2E">
        <w:t xml:space="preserve"> Some processes run for 14 days, many run for 20-30 days. </w:t>
      </w:r>
    </w:p>
    <w:p w14:paraId="100AE5BC" w14:textId="6749879C" w:rsidR="00A1639A" w:rsidRDefault="60ADBA91" w:rsidP="00A1639A">
      <w:r>
        <w:t xml:space="preserve">The common ICB framework that fits these processes is shown in Figure XXX. </w:t>
      </w:r>
      <w:r w:rsidR="00402E2E">
        <w:t>A common framework is possible because each ICB was derived from a common</w:t>
      </w:r>
      <w:r w:rsidR="00FD02D0">
        <w:t xml:space="preserve"> </w:t>
      </w:r>
      <w:r>
        <w:t xml:space="preserve">batch </w:t>
      </w:r>
      <w:proofErr w:type="spellStart"/>
      <w:r>
        <w:t>mAb</w:t>
      </w:r>
      <w:proofErr w:type="spellEnd"/>
      <w:r>
        <w:t xml:space="preserve"> platform processes</w:t>
      </w:r>
      <w:r w:rsidR="00105E2A">
        <w:t xml:space="preserve"> for monoclonal antibodies</w:t>
      </w:r>
      <w:r>
        <w:t xml:space="preserve"> [Kelley 2008, </w:t>
      </w:r>
      <w:proofErr w:type="spellStart"/>
      <w:r>
        <w:t>etc</w:t>
      </w:r>
      <w:proofErr w:type="spellEnd"/>
      <w:r w:rsidR="00402E2E">
        <w:t>]</w:t>
      </w:r>
      <w:r>
        <w:t xml:space="preserve">. </w:t>
      </w:r>
    </w:p>
    <w:p w14:paraId="73FD9957" w14:textId="7C4F88F2" w:rsidR="003E24EB" w:rsidRDefault="60ADBA91" w:rsidP="003E24EB">
      <w:r>
        <w:t xml:space="preserve">The bioreactor in the ICB framework is run continuously, harvesting the product through a cell retention step. </w:t>
      </w:r>
      <w:r w:rsidR="00FD02D0">
        <w:t>The</w:t>
      </w:r>
      <w:r>
        <w:t xml:space="preserve"> bioreactor </w:t>
      </w:r>
      <w:r w:rsidR="00FD02D0">
        <w:t xml:space="preserve">links </w:t>
      </w:r>
      <w:r>
        <w:t xml:space="preserve">to an integrated downstream that is based on batch chromatography processes. Instead of </w:t>
      </w:r>
      <w:r w:rsidR="00402E2E">
        <w:t>multicolumn chromatography</w:t>
      </w:r>
      <w:r>
        <w:t>, the framework uses dual column chromatography. In many cases, the chemistry (resins, buffer composition, and membrane composition) is identical to the historical platform. Product pools are minimized. The low pH virus inactivation step is flexible</w:t>
      </w:r>
      <w:r w:rsidR="00105E2A">
        <w:t>, allowing</w:t>
      </w:r>
      <w:r>
        <w:t xml:space="preserve"> batch or continuous inactivation. Media and buffer concentrates are </w:t>
      </w:r>
      <w:r w:rsidR="00FD02D0">
        <w:t>essential for high productivity processes</w:t>
      </w:r>
      <w:r>
        <w:t xml:space="preserve">. In-line titration is also required for many linked unit operations. Process Analytical Technologies (PAT) are used, but in this common framework, they are not more complex than those used in batch processes. </w:t>
      </w:r>
    </w:p>
    <w:p w14:paraId="775F3159" w14:textId="77777777" w:rsidR="00FD02D0" w:rsidRDefault="6E434CCD" w:rsidP="6E434CCD">
      <w:r>
        <w:lastRenderedPageBreak/>
        <w:t xml:space="preserve">A large-scale </w:t>
      </w:r>
      <w:r w:rsidR="00105E2A">
        <w:t xml:space="preserve">staged implementation </w:t>
      </w:r>
      <w:r>
        <w:t xml:space="preserve">of the framework is </w:t>
      </w:r>
      <w:r w:rsidR="00A1639A">
        <w:t>used throughout as an example</w:t>
      </w:r>
      <w:r w:rsidR="00105E2A">
        <w:t>. The plant</w:t>
      </w:r>
      <w:r w:rsidR="003E24EB">
        <w:t xml:space="preserve"> is</w:t>
      </w:r>
      <w:r w:rsidR="00A1639A">
        <w:t xml:space="preserve"> shown in Figure XXX,</w:t>
      </w:r>
      <w:r w:rsidR="003E24EB">
        <w:t xml:space="preserve"> with productivity and solution requirements in Table XXX. The plant</w:t>
      </w:r>
      <w:r w:rsidR="00105E2A">
        <w:t xml:space="preserve"> starts with a 500L SUB</w:t>
      </w:r>
      <w:r w:rsidR="00A1639A">
        <w:t xml:space="preserve"> in </w:t>
      </w:r>
      <w:r w:rsidR="00655F8A">
        <w:t>St</w:t>
      </w:r>
      <w:r w:rsidR="00A1639A">
        <w:t xml:space="preserve">age </w:t>
      </w:r>
      <w:r w:rsidR="00655F8A">
        <w:t>One</w:t>
      </w:r>
      <w:r w:rsidR="00A1639A">
        <w:t>. For many products, 500L is the commercial scale ICB.</w:t>
      </w:r>
      <w:r w:rsidR="003E24EB">
        <w:t xml:space="preserve"> The plant is capable of producing up to 30kg batches or about 0.5 tons per year. </w:t>
      </w:r>
      <w:r w:rsidR="00FD02D0">
        <w:t xml:space="preserve">It is capable of producing as small as a 0.5kg </w:t>
      </w:r>
      <w:proofErr w:type="gramStart"/>
      <w:r w:rsidR="00FD02D0">
        <w:t>batch, and</w:t>
      </w:r>
      <w:proofErr w:type="gramEnd"/>
      <w:r w:rsidR="00FD02D0">
        <w:t xml:space="preserve"> may be considered representative of a clinical trial manufacturing facility. </w:t>
      </w:r>
    </w:p>
    <w:p w14:paraId="6DE23F2F" w14:textId="07E4725E" w:rsidR="00FD02D0" w:rsidRDefault="00A1639A" w:rsidP="6E434CCD">
      <w:r>
        <w:t xml:space="preserve">Some products, however, need higher levels of production. The framework plant can expand by adding </w:t>
      </w:r>
      <w:r w:rsidR="003E24EB">
        <w:t>three</w:t>
      </w:r>
      <w:r>
        <w:t xml:space="preserve"> 500L bioreactors in </w:t>
      </w:r>
      <w:r w:rsidR="00655F8A">
        <w:t>S</w:t>
      </w:r>
      <w:r>
        <w:t xml:space="preserve">tage </w:t>
      </w:r>
      <w:r w:rsidR="00655F8A">
        <w:t>Two</w:t>
      </w:r>
      <w:r>
        <w:t xml:space="preserve">, as well as more media and solution preparation (not shown) and </w:t>
      </w:r>
      <w:r w:rsidR="00655F8A">
        <w:t xml:space="preserve">storage </w:t>
      </w:r>
      <w:r>
        <w:t>containers</w:t>
      </w:r>
      <w:r w:rsidR="00655F8A">
        <w:t xml:space="preserve"> shown in Figure XXX and in Table XXX</w:t>
      </w:r>
      <w:r>
        <w:t xml:space="preserve">. </w:t>
      </w:r>
      <w:r w:rsidR="003E24EB">
        <w:t xml:space="preserve">The downstream remains unchanged. </w:t>
      </w:r>
      <w:r>
        <w:t>This “numbering up” of bioreactors does not change the regulator</w:t>
      </w:r>
      <w:r w:rsidR="00402E2E">
        <w:t>y</w:t>
      </w:r>
      <w:r>
        <w:t xml:space="preserve"> filing. </w:t>
      </w:r>
      <w:r w:rsidR="003E24EB">
        <w:t xml:space="preserve">This </w:t>
      </w:r>
      <w:r w:rsidR="00655F8A">
        <w:t xml:space="preserve">Stage Two </w:t>
      </w:r>
      <w:r w:rsidR="003E24EB">
        <w:t xml:space="preserve">plant can produce up to 130kg batches and 2 tons per year (Table XXX). </w:t>
      </w:r>
    </w:p>
    <w:p w14:paraId="59071CE1" w14:textId="561234BC" w:rsidR="00A1639A" w:rsidRDefault="00A1639A" w:rsidP="6E434CCD">
      <w:r>
        <w:t xml:space="preserve">The plant can expand further </w:t>
      </w:r>
      <w:r w:rsidR="003E24EB">
        <w:t xml:space="preserve">in Stage </w:t>
      </w:r>
      <w:r w:rsidR="00655F8A">
        <w:t>Three</w:t>
      </w:r>
      <w:r w:rsidR="003E24EB">
        <w:t xml:space="preserve"> </w:t>
      </w:r>
      <w:r>
        <w:t xml:space="preserve">by adding more 500L </w:t>
      </w:r>
      <w:proofErr w:type="gramStart"/>
      <w:r>
        <w:t>bioreactors, or</w:t>
      </w:r>
      <w:proofErr w:type="gramEnd"/>
      <w:r>
        <w:t xml:space="preserve"> using the existing 500L as N-1 perfusion seed bioreactors to inoculate between one and four 2000L </w:t>
      </w:r>
      <w:proofErr w:type="spellStart"/>
      <w:r>
        <w:t>SUBs.</w:t>
      </w:r>
      <w:proofErr w:type="spellEnd"/>
      <w:r>
        <w:t xml:space="preserve"> </w:t>
      </w:r>
      <w:r w:rsidR="00655F8A">
        <w:t xml:space="preserve">More media and solution preparation and storage </w:t>
      </w:r>
      <w:r w:rsidR="00FD02D0">
        <w:t>are</w:t>
      </w:r>
      <w:r w:rsidR="00655F8A">
        <w:t xml:space="preserve"> also added as shown in Figure XXX and Table XXX. </w:t>
      </w:r>
      <w:r w:rsidR="00FD02D0">
        <w:t xml:space="preserve">The downstream equipment remains the same. </w:t>
      </w:r>
      <w:r>
        <w:t xml:space="preserve">Moving a product from 500L to 2000L </w:t>
      </w:r>
      <w:r w:rsidR="00655F8A">
        <w:t>bioreactors</w:t>
      </w:r>
      <w:r>
        <w:t xml:space="preserve"> has a moderate regulatory </w:t>
      </w:r>
      <w:r w:rsidR="00402E2E">
        <w:t>impact and</w:t>
      </w:r>
      <w:r>
        <w:t xml:space="preserve"> requires agency notification and comparability studies. </w:t>
      </w:r>
      <w:r w:rsidR="003E24EB">
        <w:t xml:space="preserve">This plant can produce 500kg batches and up to 8 tons per year. </w:t>
      </w:r>
      <w:r w:rsidR="00655F8A">
        <w:t xml:space="preserve">The capacity is limited by the solution and media preparation and storage capacity, and, to a lesser extent, the mass of material handled by the downstream. </w:t>
      </w:r>
      <w:r w:rsidR="003E24EB">
        <w:t>The plant can operate either the 500L or the 2000L SUB as the N-stage production bioreactor to allow legacy production.</w:t>
      </w:r>
      <w:r w:rsidR="6E434CCD">
        <w:t xml:space="preserve"> </w:t>
      </w:r>
      <w:r w:rsidR="00655F8A">
        <w:t>The plant also supports legacy fed-batch production as well</w:t>
      </w:r>
      <w:r w:rsidR="00FD02D0">
        <w:t>, with some restrictions on the harvest step</w:t>
      </w:r>
      <w:r w:rsidR="00655F8A">
        <w:t xml:space="preserve">. </w:t>
      </w:r>
      <w:r w:rsidR="003E24EB">
        <w:t>More detail on each unit operation is discussed below.</w:t>
      </w:r>
    </w:p>
    <w:p w14:paraId="34F1464E" w14:textId="0420A24B" w:rsidR="00177100" w:rsidRPr="005A1CD5" w:rsidRDefault="005A1CD5" w:rsidP="003C2C0D">
      <w:pPr>
        <w:pStyle w:val="Heading1"/>
        <w:rPr>
          <w:rFonts w:eastAsia="Times New Roman"/>
        </w:rPr>
      </w:pPr>
      <w:r>
        <w:rPr>
          <w:rFonts w:eastAsia="Times New Roman"/>
        </w:rPr>
        <w:t xml:space="preserve">N-stage </w:t>
      </w:r>
      <w:r w:rsidR="00177100" w:rsidRPr="005A1CD5">
        <w:rPr>
          <w:rFonts w:eastAsia="Times New Roman"/>
        </w:rPr>
        <w:t>Bioreacto</w:t>
      </w:r>
      <w:r>
        <w:rPr>
          <w:rFonts w:eastAsia="Times New Roman"/>
        </w:rPr>
        <w:t>r</w:t>
      </w:r>
    </w:p>
    <w:p w14:paraId="1D9039E0" w14:textId="4099DFF9" w:rsidR="00655F8A" w:rsidRDefault="6E434CCD" w:rsidP="009672AB">
      <w:r>
        <w:t xml:space="preserve">The framework process enables a high-density perfusion cell culture. The high-density cultures require higher gas transfer and a larger volume of media than </w:t>
      </w:r>
      <w:proofErr w:type="gramStart"/>
      <w:r>
        <w:t>fed-batch</w:t>
      </w:r>
      <w:proofErr w:type="gramEnd"/>
      <w:r>
        <w:t xml:space="preserve"> cultures</w:t>
      </w:r>
      <w:r w:rsidR="00655F8A">
        <w:t>, and are detailed elsewhere (Coffman 2021)</w:t>
      </w:r>
      <w:r>
        <w:t xml:space="preserve">. </w:t>
      </w:r>
      <w:r w:rsidR="00655F8A">
        <w:t xml:space="preserve">The </w:t>
      </w:r>
      <w:proofErr w:type="gramStart"/>
      <w:r w:rsidR="00655F8A">
        <w:t>high level</w:t>
      </w:r>
      <w:proofErr w:type="gramEnd"/>
      <w:r w:rsidR="00655F8A">
        <w:t xml:space="preserve"> assumptions used in this paper are shown in Figure XXX. </w:t>
      </w:r>
      <w:r w:rsidR="00402E2E">
        <w:t xml:space="preserve">The maximum productivity of the bioreactor is constrained by the cell density, here assumed to average 120M cells/mL, and cell-specific productivity, assumed to be 40 </w:t>
      </w:r>
      <w:proofErr w:type="spellStart"/>
      <w:r w:rsidR="00402E2E">
        <w:t>pg</w:t>
      </w:r>
      <w:proofErr w:type="spellEnd"/>
      <w:r w:rsidR="00402E2E">
        <w:t>/cell/day.</w:t>
      </w:r>
    </w:p>
    <w:p w14:paraId="610709C0" w14:textId="2A0CD5E7" w:rsidR="00105E2A" w:rsidRDefault="6E434CCD" w:rsidP="009672AB">
      <w:r>
        <w:t xml:space="preserve">The framework process </w:t>
      </w:r>
      <w:r w:rsidR="00105E2A">
        <w:t xml:space="preserve">uses a single 500L SUB up </w:t>
      </w:r>
      <w:r>
        <w:t xml:space="preserve">to as many as </w:t>
      </w:r>
      <w:r w:rsidR="00105E2A">
        <w:t>four</w:t>
      </w:r>
      <w:r>
        <w:t xml:space="preserve"> 2000L bioreactors with a single downstream.</w:t>
      </w:r>
      <w:r w:rsidR="00105E2A">
        <w:t xml:space="preserve"> </w:t>
      </w:r>
      <w:r>
        <w:t xml:space="preserve">While the framework could be scaled to support a 12,000L bioreactor, this size would eliminate the simplicity that comes from using single use bioreactors (SUB).  While the ICB framework has benefits in both SU and </w:t>
      </w:r>
      <w:r w:rsidR="00AD7238">
        <w:t>stainless-steel</w:t>
      </w:r>
      <w:r>
        <w:t xml:space="preserve"> applications, the use of SUB is highly preferred.  </w:t>
      </w:r>
    </w:p>
    <w:p w14:paraId="4512B034" w14:textId="11B1F49D" w:rsidR="6E434CCD" w:rsidRDefault="6E434CCD">
      <w:r>
        <w:lastRenderedPageBreak/>
        <w:t>The amount of media required for perfusion bioreactors is many</w:t>
      </w:r>
      <w:r w:rsidR="00AD7238">
        <w:t>-</w:t>
      </w:r>
      <w:r>
        <w:t xml:space="preserve">fold higher </w:t>
      </w:r>
      <w:r w:rsidR="00AD7238">
        <w:t>than that of</w:t>
      </w:r>
      <w:r>
        <w:t xml:space="preserve"> fed-batch. Perfusion media must be developed that minimizes the volume of media required. Perfusion media can be adapted directly from fed-batch media by mixing a portion of the basal media with the concentrated feed media and using this mixture directly for first generation perfusion media. After removing components unneeded for perfusion, the basal media can often be reconstituted at 2x to 5x higher concentration [Henry Lin, ICB 2016].  The feed media is likely already at a high concentration and can be hydrated separately from the concentrated basal media. These steps can reduce the media volume by 2/3 or more [Lin, IBC 2016]. Expensive media components can be optimized to lower concentrations or eliminated altogether. In addition, media concentrates can be added at the rate of cellular consumption; the diluting water or saline can be added at a rate just high enough to remove inhibiting metabolites but low enough not to wash out nutrients. While these two factors vary from cell line to cell line, and company to company, a media feed that is 1/3 that of the total volume is not out of the ordinary. As a result, the amount of media concentrate required per batch is about 1/3 of the volume of solution used in the downstream. </w:t>
      </w:r>
    </w:p>
    <w:p w14:paraId="2CACB359" w14:textId="03D3F137" w:rsidR="6E434CCD" w:rsidRDefault="6E434CCD" w:rsidP="6E434CCD">
      <w:r>
        <w:t xml:space="preserve">Some ICB will not have 3x media concentrates. The framework process would require </w:t>
      </w:r>
      <w:r w:rsidR="0033381A">
        <w:t xml:space="preserve">either </w:t>
      </w:r>
      <w:r>
        <w:t>more frequent media preparation during the batch</w:t>
      </w:r>
      <w:r w:rsidR="0033381A">
        <w:t xml:space="preserve"> or the use of fewer bioreactors. </w:t>
      </w:r>
    </w:p>
    <w:p w14:paraId="3713FDDC" w14:textId="74D97FF4" w:rsidR="00A1639A" w:rsidRDefault="00A1639A" w:rsidP="6E434CCD">
      <w:r>
        <w:t xml:space="preserve">A four-pack of 2000L SUB can produce 500kg every 20 days with a cell line capable of 40pg/cell/day operated at average cell density of 120 M cells/day [Coffman 2021]. Such a cell specific productivity is high, but not rare [ref]. This average cell density is regularly achievable with dynamic, non-steady state perfusion [Pfizer, BI, others]. </w:t>
      </w:r>
    </w:p>
    <w:p w14:paraId="2ACE5805" w14:textId="570E9D97" w:rsidR="0033381A" w:rsidRPr="0033381A" w:rsidRDefault="0033381A" w:rsidP="6E434CCD">
      <w:r>
        <w:t xml:space="preserve">The framework is also compatible with perfusion processes that use a constant cell density, so-called steady state conditions, that typically average between 50-75M cells/mL </w:t>
      </w:r>
      <w:r w:rsidRPr="6E434CCD">
        <w:rPr>
          <w:b/>
          <w:bCs/>
          <w:u w:val="double"/>
        </w:rPr>
        <w:t xml:space="preserve">[ref]. </w:t>
      </w:r>
      <w:r>
        <w:t xml:space="preserve">This process would in 20 days result in a 220-330kg lot. Average cell lines with 20pg/cell/day would produce between 110kg and 250kg lots with these two modes of perfusion. These lot sizes rival or exceed that of fed-batch processes at the 12,000L scale. </w:t>
      </w:r>
    </w:p>
    <w:p w14:paraId="23BF5D26" w14:textId="42FDD80D" w:rsidR="6E434CCD" w:rsidRDefault="6E434CCD" w:rsidP="6E434CCD">
      <w:r>
        <w:t>These bioreactors can also be used for legacy fed-batch processes. A titer of 10g/L would result in about a 13kg batch, or about 1 ton per year from four 2000L SUB. A transition to ICB framework will not preclude the use of the plant for legacy products.</w:t>
      </w:r>
    </w:p>
    <w:p w14:paraId="578E7455" w14:textId="0D5C642B" w:rsidR="0041023B" w:rsidRPr="0087443E" w:rsidRDefault="00177100" w:rsidP="003C2C0D">
      <w:pPr>
        <w:pStyle w:val="Heading1"/>
        <w:rPr>
          <w:rFonts w:eastAsia="Times New Roman"/>
        </w:rPr>
      </w:pPr>
      <w:r w:rsidRPr="00ED3BFD">
        <w:rPr>
          <w:rFonts w:eastAsia="Times New Roman"/>
        </w:rPr>
        <w:t xml:space="preserve">Cell Retention </w:t>
      </w:r>
    </w:p>
    <w:p w14:paraId="5F8C3355" w14:textId="0853E3B7" w:rsidR="00ED3BFD" w:rsidRDefault="6E434CCD" w:rsidP="6E434CCD">
      <w:r>
        <w:t xml:space="preserve">The harvest for a fed-batch occurs at the end of the batch; the harvest for perfusion occurs continuously. The product is removed from the bioreactor and the cells retained most often by an alternating tangential flow filtration (ATF) system, and sometimes a tangential flow filtration </w:t>
      </w:r>
      <w:r>
        <w:lastRenderedPageBreak/>
        <w:t xml:space="preserve">(TFF) system. Typically, ATF systems are used for 500L bioreactors and below; Two or more ATF systems may be used to support a 1000L perfusion bioreactor. Some authors have developed processes that use as many as four ATFs to support a 2000L perfusion bioreactor. They take up considerably more floor space than the TFF </w:t>
      </w:r>
      <w:proofErr w:type="gramStart"/>
      <w:r>
        <w:t>systems, and</w:t>
      </w:r>
      <w:proofErr w:type="gramEnd"/>
      <w:r>
        <w:t xml:space="preserve"> must be immediately adjacent to the bioreactor.</w:t>
      </w:r>
    </w:p>
    <w:p w14:paraId="7F20D702" w14:textId="043EEC65" w:rsidR="00ED3BFD" w:rsidRDefault="0033381A" w:rsidP="009672AB">
      <w:pPr>
        <w:rPr>
          <w:color w:val="000000"/>
        </w:rPr>
      </w:pPr>
      <w:r>
        <w:t>Some</w:t>
      </w:r>
      <w:r w:rsidR="5CDC8D04" w:rsidRPr="5CDC8D04">
        <w:t xml:space="preserve"> companies have transitioned to TFF systems at 1000L bioreactors and above to avoid the need for multiple ATF systems. A single TFF system is modestly cheaper than a single ATF system.  For the 2000L scale, the capital cost for a TFF system is therefore less than ¼ that of the ATF systems. </w:t>
      </w:r>
    </w:p>
    <w:p w14:paraId="722518CA" w14:textId="06E7567A" w:rsidR="00DF2992" w:rsidRDefault="5CDC8D04" w:rsidP="009672AB">
      <w:r w:rsidRPr="5CDC8D04">
        <w:t xml:space="preserve">Some processes will require a manifold to change between membranes as they foul. ATF systems cannot be manifolded </w:t>
      </w:r>
      <w:proofErr w:type="gramStart"/>
      <w:r w:rsidRPr="5CDC8D04">
        <w:t>together, and</w:t>
      </w:r>
      <w:proofErr w:type="gramEnd"/>
      <w:r w:rsidRPr="5CDC8D04">
        <w:t xml:space="preserve"> will require an ATF pump for each. TFF housings can be daisy-chained off of a single line</w:t>
      </w:r>
      <w:r w:rsidR="001F039A">
        <w:t xml:space="preserve"> and single retentate pump</w:t>
      </w:r>
      <w:r w:rsidRPr="5CDC8D04">
        <w:t xml:space="preserve">. </w:t>
      </w:r>
    </w:p>
    <w:p w14:paraId="5F4BAC7C" w14:textId="6AFEF039" w:rsidR="7C34C8D8" w:rsidRDefault="00DF2992" w:rsidP="009672AB">
      <w:r>
        <w:t xml:space="preserve">ATF and TFF </w:t>
      </w:r>
      <w:r w:rsidR="7C34C8D8" w:rsidRPr="7C34C8D8">
        <w:t xml:space="preserve">filters can also be back flushed with perfusate or fresh media periodically. This backflushing would require a pump separate from the filtrate line. Back flushing can extend the life of the filter significantly, though we are aware of no published studies demonstrating this. </w:t>
      </w:r>
    </w:p>
    <w:p w14:paraId="5DF30055" w14:textId="2ABBD130" w:rsidR="6E434CCD" w:rsidRDefault="6E434CCD" w:rsidP="6E434CCD">
      <w:r>
        <w:t>TFF systems suffer from Starling flow [</w:t>
      </w:r>
      <w:proofErr w:type="spellStart"/>
      <w:r>
        <w:t>Radoniqi</w:t>
      </w:r>
      <w:proofErr w:type="spellEnd"/>
      <w:r>
        <w:t xml:space="preserve"> 2018, others], which causes poor filter utilization and faster fouling. This fouling causes increased product retention [Wang, et al, other references]. ATF systems use Starling flow to clean the membrane during each alternating cycle. As a result, ATF systems have better product retention profiles and possibly larger filtration capacities.</w:t>
      </w:r>
    </w:p>
    <w:p w14:paraId="4FC25187" w14:textId="755C8A9B" w:rsidR="6E434CCD" w:rsidRDefault="6E434CCD" w:rsidP="6E434CCD">
      <w:r>
        <w:t xml:space="preserve">As a result of the differing fouling profile, ATF and TFF may not be a like-for-like change. Higher product retention increases the residence time of the product in the bioreactor. This higher residence time can lead to higher levels of deamidation and cyclization. As a result, products that are expected to scale up beyond 1000L bioreactors should consider the use of TFF systems </w:t>
      </w:r>
      <w:r w:rsidR="0033381A">
        <w:t>as they transition to making late stage clinical trial material</w:t>
      </w:r>
      <w:r>
        <w:t xml:space="preserve">. </w:t>
      </w:r>
    </w:p>
    <w:p w14:paraId="55B24E02" w14:textId="5226B0BC" w:rsidR="00813DE6" w:rsidRDefault="5CDC8D04" w:rsidP="009672AB">
      <w:r w:rsidRPr="5CDC8D04">
        <w:t xml:space="preserve"> </w:t>
      </w:r>
      <w:r w:rsidR="00813DE6">
        <w:t>Starling flow can be mitigated</w:t>
      </w:r>
      <w:r w:rsidR="00ED74F9">
        <w:t xml:space="preserve"> in many ways, the easiest perhaps by the use of shorter membranes. Achieving the same filter area with shorter membrane length could require </w:t>
      </w:r>
      <w:r w:rsidR="00DF2992">
        <w:t xml:space="preserve">a </w:t>
      </w:r>
      <w:r w:rsidR="00ED74F9">
        <w:t>large number of hollow fibers, and a concomitant high</w:t>
      </w:r>
      <w:r w:rsidR="006A13D5">
        <w:t xml:space="preserve"> retentate</w:t>
      </w:r>
      <w:r w:rsidR="00ED74F9">
        <w:t xml:space="preserve"> flow rate.  Or, short membrane modules could be installed in series, each with a separate permeate pump</w:t>
      </w:r>
      <w:r w:rsidR="00DF2992">
        <w:t>, as shown in Figure XXX</w:t>
      </w:r>
      <w:r w:rsidR="00ED74F9">
        <w:t xml:space="preserve">. </w:t>
      </w:r>
      <w:r w:rsidR="00B23039">
        <w:t>The method of using stacked membrane modules each with a separate permeate pump is a relatively simple way of scaling up the TFF step</w:t>
      </w:r>
      <w:r w:rsidR="00E74D61">
        <w:t xml:space="preserve">. Such a design could enable perfusion </w:t>
      </w:r>
      <w:r w:rsidR="00DF2992">
        <w:t xml:space="preserve">up to </w:t>
      </w:r>
      <w:r w:rsidR="00E74D61">
        <w:t xml:space="preserve">12kL </w:t>
      </w:r>
      <w:r w:rsidR="00297050">
        <w:t>bioreactors</w:t>
      </w:r>
      <w:r w:rsidR="00E74D61">
        <w:t xml:space="preserve">. </w:t>
      </w:r>
    </w:p>
    <w:p w14:paraId="256B2E49" w14:textId="38E399FE" w:rsidR="001F039A" w:rsidRDefault="6E434CCD" w:rsidP="009672AB">
      <w:r>
        <w:lastRenderedPageBreak/>
        <w:t xml:space="preserve">The common framework would use the same permeate pumps for both the ATF and TFF set up.  The retentate pumps and associated controllers would be unique to either the ATF or TFF set up. </w:t>
      </w:r>
    </w:p>
    <w:p w14:paraId="6B398F84" w14:textId="56A48DA0" w:rsidR="003C2C0D" w:rsidRDefault="1872F496" w:rsidP="009672AB">
      <w:pPr>
        <w:rPr>
          <w:color w:val="000000"/>
        </w:rPr>
      </w:pPr>
      <w:r w:rsidRPr="1872F496">
        <w:t>Other methods of cell retention, such as inclined settling plates and spin filters, have been used by legacy perfusion bioreactor systems with low cell densities. The authors are not aware of these methods being used in modern high-density perfusion cell culture processes.</w:t>
      </w:r>
    </w:p>
    <w:p w14:paraId="7D82C7C7" w14:textId="0E36AD66" w:rsidR="1872F496" w:rsidRDefault="6E434CCD" w:rsidP="1872F496">
      <w:pPr>
        <w:pStyle w:val="Heading1"/>
        <w:spacing w:line="259" w:lineRule="auto"/>
      </w:pPr>
      <w:r w:rsidRPr="6E434CCD">
        <w:rPr>
          <w:rFonts w:eastAsia="Times New Roman"/>
        </w:rPr>
        <w:t>Dual-column chromatography</w:t>
      </w:r>
    </w:p>
    <w:p w14:paraId="41AFCA88" w14:textId="77777777" w:rsidR="0033381A" w:rsidRDefault="0033381A" w:rsidP="0033381A">
      <w:r>
        <w:t xml:space="preserve">Multicolumn chromatography has been used in many of the authors’ downstream processes. [ref] The simplest common framework for these chromatography systems is two columns. Although many processes use more than two columns, the multicolumn nature is not used in any step but the load step: The systems use two columns during the load step to overload one column while capturing the product in the flow through onto the second column. [ref] All other steps are effectively single-column operations. Thus, the simplest embodiment of the multicolumn chromatography skid is a two-column system. A two-column system has about 1/4 fewer valves and ½ the number of pumps as a three-column system. This simplicity reduces the cost of the </w:t>
      </w:r>
      <w:proofErr w:type="gramStart"/>
      <w:r>
        <w:t>system, and</w:t>
      </w:r>
      <w:proofErr w:type="gramEnd"/>
      <w:r>
        <w:t xml:space="preserve"> allows operators familiar with batch chromatography to easily operate the system.</w:t>
      </w:r>
    </w:p>
    <w:p w14:paraId="62ED6CD0" w14:textId="0FE46D14" w:rsidR="1872F496" w:rsidRDefault="6E434CCD" w:rsidP="009672AB">
      <w:pPr>
        <w:rPr>
          <w:rFonts w:eastAsia="Times New Roman"/>
        </w:rPr>
      </w:pPr>
      <w:r>
        <w:t xml:space="preserve">This system can be used as a replacement for one or more columns without impacting the regulatory process description. More columns do, however, increase the apparent continuity of the product flow into and out of the step. Also, above a certain titer, the two-column process cannot be continuous because the load step is completed faster than the subsequent wash, elution, regeneration steps. A two-column process therefore requires a surge tank for the load when the titer exceeds a threshold. </w:t>
      </w:r>
    </w:p>
    <w:p w14:paraId="50222222" w14:textId="2926957E" w:rsidR="1AD3A749" w:rsidRDefault="1872F496" w:rsidP="009672AB">
      <w:r w:rsidRPr="1872F496">
        <w:t xml:space="preserve">In-process pool stability is a key consideration for integrated processes. The process should be integrated and continuous at least up until a stable process intermediate is obtained. At this stable intermediate, a pool of the entire bioreactor run can be made and held. This pool can be defined as the lot. </w:t>
      </w:r>
    </w:p>
    <w:p w14:paraId="57BFA041" w14:textId="53E2C2E4" w:rsidR="1AD3A749" w:rsidRDefault="1872F496" w:rsidP="009672AB">
      <w:r w:rsidRPr="1872F496">
        <w:t xml:space="preserve">The integration of these steps with the harvest step provides value by allowing a continuous or near-continuous production. The continuous harvest allows the downstream to run constantly, thus maximizing the amount of material produced by a given downstream. The continual operation of the downstream maximizes the return on the capital investment for the entire plant.  The automation and the larger lot size </w:t>
      </w:r>
      <w:proofErr w:type="gramStart"/>
      <w:r w:rsidRPr="1872F496">
        <w:t>maximizes</w:t>
      </w:r>
      <w:proofErr w:type="gramEnd"/>
      <w:r w:rsidRPr="1872F496">
        <w:t xml:space="preserve"> the productivity of labor. </w:t>
      </w:r>
    </w:p>
    <w:p w14:paraId="3F166871" w14:textId="4253F19C" w:rsidR="1AD3A749" w:rsidRDefault="1872F496" w:rsidP="009672AB">
      <w:r w:rsidRPr="1872F496">
        <w:lastRenderedPageBreak/>
        <w:t>Bioburden control is a critical factor for the capture step. The step is hydraulically linked to the nominally sterile bioreactor. Media conducive to bioburden growth flows through the column for many hours during the load. Bioburden in the chromatography resin can grow quickly. There have been significant efforts to nominally sterilize the Protein A resin with gamma irradiation, caustic solutions, and oxidative solutions such as peracetic acid</w:t>
      </w:r>
      <w:r w:rsidR="00C06B54">
        <w:t xml:space="preserve"> </w:t>
      </w:r>
      <w:r w:rsidR="00C06B54" w:rsidRPr="00C06B54">
        <w:rPr>
          <w:b/>
          <w:bCs/>
        </w:rPr>
        <w:t>[ref]</w:t>
      </w:r>
      <w:r w:rsidRPr="1872F496">
        <w:t xml:space="preserve">. There exists today no commercially available Protein A chromatographic column that is validated to be sterile, and thus the potential for bioburden to enter the process through the Protein A resin must be considered. Many of the authors have successfully designed bioburden control strategies that use standard processes, and that do not require nominally sterile Protein A columns. Such bioburden control strategies are the subject of another paper. </w:t>
      </w:r>
    </w:p>
    <w:p w14:paraId="682D2415" w14:textId="0316A578" w:rsidR="1AD3A749" w:rsidRDefault="6E434CCD" w:rsidP="009672AB">
      <w:r>
        <w:t>The solution and water utilization of the Protein A capture step is a major consideration, and in many cases the main bottle neck in the ICB downstream. The Protein A step is the most solution-intensive step in the process, more than two-times the volume used for the perfusion production bioreactor</w:t>
      </w:r>
      <w:r w:rsidR="008C2976">
        <w:t>.</w:t>
      </w:r>
      <w:r>
        <w:t xml:space="preserve"> The standard productivity measure used in the literature for this step, mass product per volume resin per unit time, [ref] is not the most relevant to manufacturing because the resin is almost never the limiting factor. Instead, one should consider a product mass index, or the solution mass per mass of product produced. This measure is the nearly same as the measure used to compare the environmental efficiency of processes, the Product Mass Index (PMI), which would include all raw materials and consumables in the numerator. The mass of solution used is the major contribution to the PMI for this step, even for single-use facilities. </w:t>
      </w:r>
    </w:p>
    <w:p w14:paraId="67807C03" w14:textId="715D9529" w:rsidR="1AD3A749" w:rsidRDefault="6E434CCD" w:rsidP="009672AB">
      <w:r>
        <w:t xml:space="preserve">The use of solution concentrates is essential to maximizing the productivity of ICB. Floor space for production would be mostly solution preparation and solution storage without buffer concentrates. With five-fold concentrates, many authors have seen that the solution preparation and storge area is roughly equivalent to the production area. The volume and number of solutions drives the size, cost, complexity, and throughput of high-capacity ICB manufacturing facilities. These considerations also benefit classic batch processing, though not to the same degree. </w:t>
      </w:r>
    </w:p>
    <w:p w14:paraId="47053EF0" w14:textId="3C965350" w:rsidR="00E43E75" w:rsidRDefault="6E434CCD" w:rsidP="009672AB">
      <w:r>
        <w:t xml:space="preserve">The volume of solutions required scales inversely with the capacity of each column. The example provided uses 14 solutions for the entire downstream, with the exception of titration. Thus, the plant requires at least 14 large solution hold tanks. For each kg of drug substance produced, about 29L of each 5x buffer concentrate is required, or a total of 400L of buffer concentrates per kg of material produced. This PMI compares well with 2000 L of 1x buffer per kg for the two-column platform process (Kelley 2008). </w:t>
      </w:r>
    </w:p>
    <w:p w14:paraId="69C2F6B7" w14:textId="513DB0CB" w:rsidR="000842A4" w:rsidRDefault="000842A4" w:rsidP="009672AB">
      <w:r>
        <w:lastRenderedPageBreak/>
        <w:t xml:space="preserve">The 500kg lot would require about 24 x 5000L tanks, which is a manageable number. The single-bioreactor plant would require at least 14x5000L </w:t>
      </w:r>
      <w:proofErr w:type="gramStart"/>
      <w:r>
        <w:t>tanks, and</w:t>
      </w:r>
      <w:proofErr w:type="gramEnd"/>
      <w:r>
        <w:t xml:space="preserve"> could scale up to 24 tanks as the mass output increases, as shown in Figure XXX. The downstream equipment can easily process as little as 100g day to as much as 38,000g per day </w:t>
      </w:r>
      <w:proofErr w:type="gramStart"/>
      <w:r>
        <w:t>( Coffman</w:t>
      </w:r>
      <w:proofErr w:type="gramEnd"/>
      <w:r>
        <w:t xml:space="preserve"> 2021), and does not require modification as the number of bioreactors grow. To achieve this level of flexibility, single use downstream may have an advantage, as the tubing size can be adjusted depending </w:t>
      </w:r>
      <w:r w:rsidR="0080431D">
        <w:t>upon</w:t>
      </w:r>
      <w:r>
        <w:t xml:space="preserve"> the total flow rate required. Fixed stainless-steel plants would have the same tubing diameter independent of the amount of material processed, which may cause yield loss at the lower range of operation. </w:t>
      </w:r>
    </w:p>
    <w:p w14:paraId="46B42E04" w14:textId="1E403512" w:rsidR="005D222D" w:rsidRDefault="005D222D" w:rsidP="009672AB">
      <w:r>
        <w:t xml:space="preserve">The total water used to dilute the solutions is almost 500,000L over the course of the run. </w:t>
      </w:r>
      <w:r w:rsidR="001F56E4">
        <w:t xml:space="preserve">Including the initial solution preparation, which can be spread over the entire duration of the lot, only 35,000L of water is required per day. Including the media, the </w:t>
      </w:r>
      <w:r w:rsidR="00B749D6">
        <w:t>process</w:t>
      </w:r>
      <w:r w:rsidR="001F56E4">
        <w:t xml:space="preserve"> requires just under 50,000L of water per day, which is small compared to th</w:t>
      </w:r>
      <w:r w:rsidR="00B749D6">
        <w:t xml:space="preserve">at required for plants built on a six-pack of 12,000L bioreactors. </w:t>
      </w:r>
    </w:p>
    <w:p w14:paraId="04A115DA" w14:textId="10087825" w:rsidR="0080431D" w:rsidRDefault="0080431D" w:rsidP="009672AB">
      <w:r>
        <w:t xml:space="preserve">Using multicolumn chromatography to overload a column can increase the capacity by about 20%, with a concomitant decrease solution usage of 20%. </w:t>
      </w:r>
      <w:r w:rsidR="00B749D6">
        <w:t>S</w:t>
      </w:r>
      <w:r>
        <w:t xml:space="preserve">olution preparation and storage </w:t>
      </w:r>
      <w:r w:rsidR="00B749D6">
        <w:t>are</w:t>
      </w:r>
      <w:r>
        <w:t xml:space="preserve"> a limiting factor for ICB. </w:t>
      </w:r>
      <w:r w:rsidR="00574E5A">
        <w:t>If a cell line with a higher productivity was available,</w:t>
      </w:r>
      <w:r w:rsidR="00223381">
        <w:t xml:space="preserve"> </w:t>
      </w:r>
      <w:r w:rsidR="00574E5A">
        <w:t>t</w:t>
      </w:r>
      <w:r>
        <w:t xml:space="preserve">he use of overloaded MCC </w:t>
      </w:r>
      <w:r w:rsidR="00574E5A">
        <w:t>c</w:t>
      </w:r>
      <w:r>
        <w:t xml:space="preserve">ould increase the plant capacity from 500kg to 600kg per lot without increasing labor, raw material or consumable costs. This increase sounds significant, except that a plant could re-fill the solution storage area once </w:t>
      </w:r>
      <w:r w:rsidR="00B749D6">
        <w:t xml:space="preserve">more </w:t>
      </w:r>
      <w:r>
        <w:t xml:space="preserve">per lot and go to </w:t>
      </w:r>
      <w:proofErr w:type="gramStart"/>
      <w:r>
        <w:t>1 ton</w:t>
      </w:r>
      <w:proofErr w:type="gramEnd"/>
      <w:r>
        <w:t xml:space="preserve"> lot size with a modest increase in labor, raw material, and consumable cost. </w:t>
      </w:r>
      <w:r w:rsidR="00574E5A">
        <w:t>The common framework will work in either case.</w:t>
      </w:r>
    </w:p>
    <w:p w14:paraId="3D05B52B" w14:textId="44737536" w:rsidR="00177100" w:rsidRPr="00C856E7" w:rsidRDefault="1AD3A749" w:rsidP="003C2C0D">
      <w:pPr>
        <w:pStyle w:val="Heading1"/>
        <w:rPr>
          <w:rFonts w:eastAsia="Times New Roman"/>
          <w:color w:val="000000"/>
        </w:rPr>
      </w:pPr>
      <w:r w:rsidRPr="1AD3A749">
        <w:rPr>
          <w:rFonts w:eastAsia="Times New Roman"/>
        </w:rPr>
        <w:t>Low pH virus inactivation</w:t>
      </w:r>
    </w:p>
    <w:p w14:paraId="11E96CA7" w14:textId="321CBE3C" w:rsidR="1AD3A749" w:rsidRDefault="1AD3A749" w:rsidP="009672AB">
      <w:r w:rsidRPr="1AD3A749">
        <w:t xml:space="preserve">The low pH inactivation step typically follows the Protein A step. This step inactivates potentially adventitious and endogenous enveloped </w:t>
      </w:r>
      <w:proofErr w:type="gramStart"/>
      <w:r w:rsidRPr="1AD3A749">
        <w:t>viruses, and</w:t>
      </w:r>
      <w:proofErr w:type="gramEnd"/>
      <w:r w:rsidRPr="1AD3A749">
        <w:t xml:space="preserve"> can create product aggregates. The step can be operated in either periodic batch mode or with a continuous plug flow reactor. </w:t>
      </w:r>
      <w:r w:rsidR="00B749D6">
        <w:t xml:space="preserve">The framework process can satisfy both modes with in-line titration of </w:t>
      </w:r>
      <w:r w:rsidRPr="1AD3A749">
        <w:t xml:space="preserve">the product stream. For the batch inactivation method, this avoids the possibility of an </w:t>
      </w:r>
      <w:proofErr w:type="spellStart"/>
      <w:r w:rsidRPr="1AD3A749">
        <w:t>untitrated</w:t>
      </w:r>
      <w:proofErr w:type="spellEnd"/>
      <w:r w:rsidRPr="1AD3A749">
        <w:t xml:space="preserve"> drop of product stuck to the inactivation container above the contiguous liquid level being pooled with the inactivated product</w:t>
      </w:r>
      <w:r w:rsidR="00E5303E">
        <w:t xml:space="preserve"> </w:t>
      </w:r>
      <w:r w:rsidR="00873177" w:rsidRPr="00873177">
        <w:rPr>
          <w:b/>
          <w:u w:val="double" w:color="FFFF00"/>
        </w:rPr>
        <w:t>[ref]</w:t>
      </w:r>
      <w:r w:rsidRPr="1AD3A749">
        <w:t>. Many control strategies use two tanks for batch virus inactivation: one tank to lower the pH, and another tank to hold the product pool at a low pH for the requisite amount of time. A single-tank inactivation system also has to contend with residual neutralized product from the previous cycle. The tank can be rinsed with water, which is an extra step requiring validation, and is not typically available in a single use system. Some single-</w:t>
      </w:r>
      <w:r w:rsidRPr="1AD3A749">
        <w:lastRenderedPageBreak/>
        <w:t xml:space="preserve">use systems are made from flexible polymer liners, which can </w:t>
      </w:r>
      <w:r w:rsidR="00E5303E">
        <w:t xml:space="preserve">possibly </w:t>
      </w:r>
      <w:r w:rsidRPr="1AD3A749">
        <w:t xml:space="preserve">fold and trap </w:t>
      </w:r>
      <w:proofErr w:type="spellStart"/>
      <w:r w:rsidRPr="1AD3A749">
        <w:t>untitrated</w:t>
      </w:r>
      <w:proofErr w:type="spellEnd"/>
      <w:r w:rsidRPr="1AD3A749">
        <w:t xml:space="preserve"> product. A system that </w:t>
      </w:r>
      <w:r w:rsidR="00E5303E" w:rsidRPr="1AD3A749">
        <w:t xml:space="preserve">continuously </w:t>
      </w:r>
      <w:r w:rsidR="00E5303E">
        <w:t>acidifies</w:t>
      </w:r>
      <w:r w:rsidRPr="1AD3A749">
        <w:t xml:space="preserve"> the product </w:t>
      </w:r>
      <w:r w:rsidR="00E5303E">
        <w:t xml:space="preserve">inlet </w:t>
      </w:r>
      <w:r w:rsidRPr="1AD3A749">
        <w:t xml:space="preserve">stream to low pH </w:t>
      </w:r>
      <w:r w:rsidR="00E5303E" w:rsidRPr="1AD3A749">
        <w:t>and</w:t>
      </w:r>
      <w:r w:rsidRPr="1AD3A749">
        <w:t xml:space="preserve"> </w:t>
      </w:r>
      <w:r w:rsidR="00E5303E">
        <w:t>continuously neutralizes</w:t>
      </w:r>
      <w:r w:rsidRPr="1AD3A749">
        <w:t xml:space="preserve"> the product </w:t>
      </w:r>
      <w:r w:rsidR="00E5303E">
        <w:t xml:space="preserve">outlet </w:t>
      </w:r>
      <w:r w:rsidRPr="1AD3A749">
        <w:t xml:space="preserve">stream would eliminate these considerations. These systems would require accurate volumetric flow control of the titrant, feedback control from a pH probe, or feed-forward control from a UV sensor since the product contributes significantly to the titration. </w:t>
      </w:r>
      <w:r w:rsidR="00E5303E">
        <w:t>For typical product concentrations</w:t>
      </w:r>
      <w:r w:rsidR="00434D7F">
        <w:t>, the acid solution flow rate is proportional to the product concentration [ref Pfizer/BI patent application].</w:t>
      </w:r>
      <w:r w:rsidR="00F83B38">
        <w:t xml:space="preserve"> </w:t>
      </w:r>
    </w:p>
    <w:p w14:paraId="12A9BE7B" w14:textId="12B2B12A" w:rsidR="1AD3A749" w:rsidRDefault="1AD3A749" w:rsidP="009672AB">
      <w:r w:rsidRPr="1AD3A749">
        <w:t xml:space="preserve">For the systems that use continuous inactivation, a plug-flow reactor (PFR) is required. Many PFG designs have been published for low pH virus inactivation. Only one is currently commercially available [ref Millipore]. </w:t>
      </w:r>
      <w:r w:rsidR="002E78A9">
        <w:t xml:space="preserve">Since the amount of acid and base changes with </w:t>
      </w:r>
      <w:r w:rsidR="00B749D6">
        <w:t>product concentration</w:t>
      </w:r>
      <w:r w:rsidR="002E78A9">
        <w:t>, the stream might require dilution with water to maintain constant ionic strength. The flow rate of the water stream would also be proportional to the UV. The subsequent chromatography step must be developed accounting for variable load flow rates.</w:t>
      </w:r>
    </w:p>
    <w:p w14:paraId="7848ED64" w14:textId="2AC2CE47" w:rsidR="1AD3A749" w:rsidRDefault="1AD3A749" w:rsidP="009672AB">
      <w:r w:rsidRPr="1AD3A749">
        <w:t xml:space="preserve">The current designs suffer from a low volume utilization. Most of the space is taken up by plastic or air rather than product flow. As such, the current designs can require significantly more floor space than the Protein A step. Future designs should consider the overall floor space of the product. </w:t>
      </w:r>
    </w:p>
    <w:p w14:paraId="7AFA473B" w14:textId="79DB5171" w:rsidR="00177100" w:rsidRPr="0080431D" w:rsidRDefault="1AD3A749" w:rsidP="009672AB">
      <w:r w:rsidRPr="1AD3A749">
        <w:t>The PFR designs carefully determine the shortest residence time to determine the exposure of the product to the inactivating solution. Consideration for the later part of the residence time distribution is important for acid-labile</w:t>
      </w:r>
      <w:r w:rsidR="0089575B">
        <w:t xml:space="preserve"> proteins. Perhaps even more importantly, the latter part of the residence time distribution governs the amount of solution that is required to change over from, say, sanitization solution to a solution compatible with product contact. </w:t>
      </w:r>
    </w:p>
    <w:p w14:paraId="33B31B20" w14:textId="0275706D" w:rsidR="00297050" w:rsidRDefault="00297050" w:rsidP="003C2C0D">
      <w:pPr>
        <w:pStyle w:val="Heading1"/>
        <w:rPr>
          <w:rFonts w:eastAsia="Times New Roman"/>
        </w:rPr>
      </w:pPr>
      <w:r>
        <w:rPr>
          <w:rFonts w:eastAsia="Times New Roman"/>
        </w:rPr>
        <w:t>Virus Reduction Filter</w:t>
      </w:r>
    </w:p>
    <w:p w14:paraId="4CDD97C9" w14:textId="709DE2ED" w:rsidR="006707CD" w:rsidRDefault="5CDC8D04" w:rsidP="009672AB">
      <w:r>
        <w:t>Some authors’ processes pool the lot prior to the virus reduction filter (VRF), and some run the filter continuously as part of the end-to-end integrated process. The filter capacity is often based on the volume passing through the filter. Therefore, the filter area used is the same independent of where the lot is pooled. The flow rates for each mode are quite different. The continuous end-to-end process has about 1/20</w:t>
      </w:r>
      <w:r w:rsidRPr="5CDC8D04">
        <w:rPr>
          <w:vertAlign w:val="superscript"/>
        </w:rPr>
        <w:t>th</w:t>
      </w:r>
      <w:r>
        <w:t xml:space="preserve"> to 1/60</w:t>
      </w:r>
      <w:r w:rsidRPr="5CDC8D04">
        <w:rPr>
          <w:vertAlign w:val="superscript"/>
        </w:rPr>
        <w:t>th</w:t>
      </w:r>
      <w:r>
        <w:t xml:space="preserve"> the flow rate of the lot pooled prior to the VRF. A single use skid with a high-flow and low-flow tubing set and pumps would allow the processing of both modes of VRF. </w:t>
      </w:r>
    </w:p>
    <w:p w14:paraId="6E66C642" w14:textId="00ADA0B9" w:rsidR="00297050" w:rsidRPr="00297050" w:rsidRDefault="00FD038A" w:rsidP="009672AB">
      <w:r>
        <w:t xml:space="preserve">The continuous process may suffer from decreased virus removal factors due to transport mechanisms that act over days </w:t>
      </w:r>
      <w:r w:rsidR="00873177" w:rsidRPr="00873177">
        <w:rPr>
          <w:b/>
          <w:u w:val="double" w:color="FFFF00"/>
        </w:rPr>
        <w:t>[ref]</w:t>
      </w:r>
      <w:r>
        <w:t>, or by periodic flow pauses. The choice of filter is critical to the successful operation of the continuous VRF.</w:t>
      </w:r>
      <w:r w:rsidR="00A21D2E">
        <w:t xml:space="preserve"> </w:t>
      </w:r>
    </w:p>
    <w:p w14:paraId="76EA202B" w14:textId="46097567" w:rsidR="00177100" w:rsidRDefault="006707CD" w:rsidP="003C2C0D">
      <w:pPr>
        <w:pStyle w:val="Heading1"/>
        <w:rPr>
          <w:rFonts w:eastAsia="Times New Roman"/>
        </w:rPr>
      </w:pPr>
      <w:r>
        <w:rPr>
          <w:rFonts w:eastAsia="Times New Roman"/>
        </w:rPr>
        <w:lastRenderedPageBreak/>
        <w:t>Concentration and diafiltration</w:t>
      </w:r>
      <w:r w:rsidR="00297050">
        <w:rPr>
          <w:rFonts w:eastAsia="Times New Roman"/>
        </w:rPr>
        <w:t xml:space="preserve"> Step</w:t>
      </w:r>
      <w:r w:rsidR="00A21D2E">
        <w:rPr>
          <w:rFonts w:eastAsia="Times New Roman"/>
        </w:rPr>
        <w:t>s</w:t>
      </w:r>
    </w:p>
    <w:p w14:paraId="098DB10A" w14:textId="19A41DCE" w:rsidR="00297050" w:rsidRDefault="006707CD" w:rsidP="009672AB">
      <w:r>
        <w:t>The concentration and diafiltration step</w:t>
      </w:r>
      <w:r w:rsidR="00A21D2E">
        <w:t>s are</w:t>
      </w:r>
      <w:r>
        <w:t xml:space="preserve"> perhaps the most difficult to find a common </w:t>
      </w:r>
      <w:r w:rsidR="00A21D2E">
        <w:t>framework. Many processes use the same ultrafiltration and diafiltration (UFDF) set up as for batch, shown in Figure XXX A. Some may modify the UFDF step by adding a small pump and UF membrane to concentrate the product in the retentate tank over the course of the perfusion process. Some may also continuously add titrant to achieve a pH that maximizes stability. Since this setup is typically used for batch processes, we suggest that framework processes have these capabilities.</w:t>
      </w:r>
    </w:p>
    <w:p w14:paraId="4818255A" w14:textId="0E17C0DB" w:rsidR="00A21D2E" w:rsidRDefault="00A21D2E" w:rsidP="009672AB">
      <w:r>
        <w:t xml:space="preserve">Some processes use single-pass tangential flow filtration (SPTFF) to continuously concentrate the product. The product then passes through an in-line diafiltration </w:t>
      </w:r>
      <w:r w:rsidR="00085EB2">
        <w:t xml:space="preserve">(ILDF) </w:t>
      </w:r>
      <w:r>
        <w:t xml:space="preserve">step made up of several stages of dilution and SPTFF modules. These modules are most efficient when operated in a counter-current mode </w:t>
      </w:r>
      <w:r w:rsidR="00873177" w:rsidRPr="00873177">
        <w:rPr>
          <w:b/>
          <w:u w:val="double" w:color="FFFF00"/>
        </w:rPr>
        <w:t>[ref]</w:t>
      </w:r>
      <w:r>
        <w:t>. The final drug substance concentration is achieved through a final SPTFF step. Each module is associated with a membrane and a pump that is about 1/20</w:t>
      </w:r>
      <w:r w:rsidRPr="00A21D2E">
        <w:rPr>
          <w:vertAlign w:val="superscript"/>
        </w:rPr>
        <w:t>th</w:t>
      </w:r>
      <w:r>
        <w:t xml:space="preserve"> to 1/60</w:t>
      </w:r>
      <w:r w:rsidRPr="00A21D2E">
        <w:rPr>
          <w:vertAlign w:val="superscript"/>
        </w:rPr>
        <w:t>th</w:t>
      </w:r>
      <w:r>
        <w:t xml:space="preserve"> of the size of the </w:t>
      </w:r>
      <w:r w:rsidR="00085EB2">
        <w:t xml:space="preserve">other mode of operation. In the </w:t>
      </w:r>
      <w:r w:rsidR="00223381">
        <w:t>example</w:t>
      </w:r>
      <w:r w:rsidR="00085EB2">
        <w:t xml:space="preserve"> shown in Figure XXX B, the at least four pumps are required to run the SPTFF/ILDF system. The size of the pumps is not conducive to sharing equipment with the larger UFDF system in Figure XXX A. </w:t>
      </w:r>
    </w:p>
    <w:p w14:paraId="2D011484" w14:textId="7BA746CB" w:rsidR="00085EB2" w:rsidRPr="00297050" w:rsidRDefault="00085EB2" w:rsidP="009672AB">
      <w:r>
        <w:t xml:space="preserve">Even among the processes that use SPTFF/ILDF, not all use the same configuration of pumps and filters. </w:t>
      </w:r>
      <w:r w:rsidR="00511332">
        <w:t>This step requires further evolution before a consensus</w:t>
      </w:r>
      <w:r w:rsidR="00F32259">
        <w:t xml:space="preserve"> fram</w:t>
      </w:r>
      <w:r w:rsidR="00223381">
        <w:t>e</w:t>
      </w:r>
      <w:r w:rsidR="00F32259">
        <w:t>work</w:t>
      </w:r>
      <w:r w:rsidR="00511332">
        <w:t xml:space="preserve"> is reached. </w:t>
      </w:r>
    </w:p>
    <w:p w14:paraId="375B5938" w14:textId="77777777" w:rsidR="00FD038A" w:rsidRPr="00FD038A" w:rsidRDefault="00FD038A" w:rsidP="009672AB"/>
    <w:p w14:paraId="1237343C" w14:textId="0997177D" w:rsidR="6E434CCD" w:rsidRDefault="6E434CCD" w:rsidP="6E434CCD">
      <w:pPr>
        <w:pStyle w:val="Heading1"/>
      </w:pPr>
      <w:r>
        <w:t>An 8-ton per year ICB Process</w:t>
      </w:r>
    </w:p>
    <w:p w14:paraId="4D526FD6" w14:textId="3523150D" w:rsidR="6E434CCD" w:rsidRDefault="6E434CCD" w:rsidP="6E434CCD">
      <w:r>
        <w:t>An example of the framework ICB plant capable of up to 500kg lot size based on four 2,000L perfusion bioreactors is shown in Figure xxx. Assumptions for the plant are shown in Tables xxx-</w:t>
      </w:r>
      <w:proofErr w:type="gramStart"/>
      <w:r>
        <w:t>xxx, and</w:t>
      </w:r>
      <w:proofErr w:type="gramEnd"/>
      <w:r>
        <w:t xml:space="preserve"> are described below. These assumptions are common in the industry, with the possible exception of higher productivity cell lines. An 8-ton plant built on ICB is unprecedented. It rivals the largest fed-batch suites. Yet all the equipment necessary can be built from existing components. As an example of the power of ICB, the highest flow rate in this 8-ton plant is an astonishingly small 10 L/min. The detail around the engineering calculations is described in an accompanying article (Coffman, 2021).</w:t>
      </w:r>
    </w:p>
    <w:p w14:paraId="774F0321" w14:textId="3D1AA303" w:rsidR="6E434CCD" w:rsidRDefault="6E434CCD">
      <w:r>
        <w:t xml:space="preserve">The 500kg batch requires only 80,000L of media concentrates, which can easily fit into 16 x 5,000L tanks. This tank size is suggested because it is the largest single-use container available today. Media preparation and media storage is therefore not a major consideration for the framework process in new facilities.  It is a major consideration for retrofitting legacy facilities. </w:t>
      </w:r>
    </w:p>
    <w:p w14:paraId="22466D86" w14:textId="0D4272BE" w:rsidR="6E434CCD" w:rsidRDefault="6E434CCD">
      <w:r>
        <w:lastRenderedPageBreak/>
        <w:t xml:space="preserve">Water production is also a consideration. The total amount of water used to dilute the media concentrates over the course of a batch is 160,000L, or which is a modest 8,000L per day. The largest rate of water production would be required for the media preparation, which can easily be spread out over the duration of the run. Thus, the water consumption rate for media preparation is not a major factor in this 4x2000L design for new facilities. It may be for retrofitting facilities. </w:t>
      </w:r>
    </w:p>
    <w:p w14:paraId="3081C0BE" w14:textId="19504215" w:rsidR="6E434CCD" w:rsidRDefault="6E434CCD" w:rsidP="6E434CCD">
      <w:r w:rsidRPr="6E434CCD">
        <w:rPr>
          <w:rFonts w:ascii="Calibri" w:eastAsia="Calibri" w:hAnsi="Calibri" w:cs="Calibri"/>
          <w:szCs w:val="24"/>
        </w:rPr>
        <w:t xml:space="preserve">In a coincidence of design, the total volume harvested per day is 12,000L, which is the same volume as harvested from the classic 12,000L stainless steel bioreactors. As a comparison, this ICB design makes on average 38kg/day, equivalent to a 12,000L bioreactor with a modest 3g/L titer. The harvest from this continuous process occurs, however, every day for twenty days. To achieve the same productivity, the 12,000L fed-batch design would have to operate six bioreactors with a titer of 7.4g/L after 14 days. This titer is common, though not universal in the commercial space.  The difference between the two processes can be illustrated by examining the connection between the upstream and the downstream. For the 12,000L plant, the product typically flows through a 2” stainless steel pipe that requires heavy machinery to install and maintain. In the ICB plant, the product flows through a 3/8” silicone tube, which can be installed by a small GMP-compliant child. Nearly everything scales with the size of this tubing: the capital cost, the complexity, the labor required, the floor space required, and the time to build a new facility. </w:t>
      </w:r>
    </w:p>
    <w:p w14:paraId="53390439" w14:textId="1A5F2FD1" w:rsidR="6E434CCD" w:rsidRDefault="6E434CCD">
      <w:r>
        <w:t>The plant design lends itself to flexibility. The plant can start with one bioreactor, which would require only 4x5000L media tanks as indicated in Figure XXX. The single-bioreactor plant would produce between 27kg lots to 130kg lots, with a yearly capacity of between about to 1 to 2 tons. The capacity of the upstream can be expanded modularly with each additional bioreactor added.</w:t>
      </w:r>
    </w:p>
    <w:p w14:paraId="483CFE3D" w14:textId="566C7A66" w:rsidR="6E434CCD" w:rsidRDefault="6E434CCD" w:rsidP="6E434CCD"/>
    <w:sectPr w:rsidR="6E434CCD" w:rsidSect="00B86A4C">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548531" w14:textId="77777777" w:rsidR="00B0245C" w:rsidRDefault="00B0245C" w:rsidP="00370DE2">
      <w:pPr>
        <w:spacing w:after="0"/>
      </w:pPr>
      <w:r>
        <w:separator/>
      </w:r>
    </w:p>
  </w:endnote>
  <w:endnote w:type="continuationSeparator" w:id="0">
    <w:p w14:paraId="5CE5F37C" w14:textId="77777777" w:rsidR="00B0245C" w:rsidRDefault="00B0245C" w:rsidP="00370D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915589919"/>
      <w:docPartObj>
        <w:docPartGallery w:val="Page Numbers (Bottom of Page)"/>
        <w:docPartUnique/>
      </w:docPartObj>
    </w:sdtPr>
    <w:sdtEndPr>
      <w:rPr>
        <w:rStyle w:val="PageNumber"/>
      </w:rPr>
    </w:sdtEndPr>
    <w:sdtContent>
      <w:p w14:paraId="7D1307E6" w14:textId="7D1441EA" w:rsidR="00F958E0" w:rsidRDefault="00F958E0" w:rsidP="00F91E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FB8194" w14:textId="77777777" w:rsidR="00370DE2" w:rsidRDefault="00370DE2" w:rsidP="00F958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673176411"/>
      <w:docPartObj>
        <w:docPartGallery w:val="Page Numbers (Bottom of Page)"/>
        <w:docPartUnique/>
      </w:docPartObj>
    </w:sdtPr>
    <w:sdtEndPr>
      <w:rPr>
        <w:rStyle w:val="PageNumber"/>
      </w:rPr>
    </w:sdtEndPr>
    <w:sdtContent>
      <w:p w14:paraId="113ADD9F" w14:textId="65BD4F7B" w:rsidR="00F958E0" w:rsidRDefault="00F958E0" w:rsidP="00F91E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0645CA77" w14:textId="77777777" w:rsidR="00370DE2" w:rsidRDefault="00370DE2" w:rsidP="00F958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494C8A" w14:textId="77777777" w:rsidR="00B0245C" w:rsidRDefault="00B0245C" w:rsidP="00370DE2">
      <w:pPr>
        <w:spacing w:after="0"/>
      </w:pPr>
      <w:r>
        <w:separator/>
      </w:r>
    </w:p>
  </w:footnote>
  <w:footnote w:type="continuationSeparator" w:id="0">
    <w:p w14:paraId="512D0EFC" w14:textId="77777777" w:rsidR="00B0245C" w:rsidRDefault="00B0245C" w:rsidP="00370DE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C87F5C"/>
    <w:multiLevelType w:val="hybridMultilevel"/>
    <w:tmpl w:val="670A793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3A7727"/>
    <w:multiLevelType w:val="multilevel"/>
    <w:tmpl w:val="C43A585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674419"/>
    <w:multiLevelType w:val="hybridMultilevel"/>
    <w:tmpl w:val="125EE0C8"/>
    <w:lvl w:ilvl="0" w:tplc="DE282064">
      <w:start w:val="1"/>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A850AE"/>
    <w:multiLevelType w:val="hybridMultilevel"/>
    <w:tmpl w:val="352087F2"/>
    <w:lvl w:ilvl="0" w:tplc="7D8CDC90">
      <w:start w:val="14"/>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48381D"/>
    <w:multiLevelType w:val="multilevel"/>
    <w:tmpl w:val="F7AC4BC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EA20BD"/>
    <w:multiLevelType w:val="multilevel"/>
    <w:tmpl w:val="3A46202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4AE57778"/>
    <w:multiLevelType w:val="multilevel"/>
    <w:tmpl w:val="16480794"/>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53885A37"/>
    <w:multiLevelType w:val="multilevel"/>
    <w:tmpl w:val="93BAAF3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1167C1"/>
    <w:multiLevelType w:val="hybridMultilevel"/>
    <w:tmpl w:val="D0B0AAB2"/>
    <w:lvl w:ilvl="0" w:tplc="5060025C">
      <w:start w:val="5"/>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lvlOverride w:ilvl="0">
      <w:startOverride w:val="1"/>
    </w:lvlOverride>
  </w:num>
  <w:num w:numId="2">
    <w:abstractNumId w:val="4"/>
    <w:lvlOverride w:ilvl="0"/>
    <w:lvlOverride w:ilvl="1">
      <w:startOverride w:val="1"/>
    </w:lvlOverride>
  </w:num>
  <w:num w:numId="3">
    <w:abstractNumId w:val="4"/>
    <w:lvlOverride w:ilvl="0"/>
    <w:lvlOverride w:ilvl="1">
      <w:startOverride w:val="2"/>
    </w:lvlOverride>
  </w:num>
  <w:num w:numId="4">
    <w:abstractNumId w:val="4"/>
    <w:lvlOverride w:ilvl="0"/>
    <w:lvlOverride w:ilvl="1">
      <w:startOverride w:val="1"/>
    </w:lvlOverride>
  </w:num>
  <w:num w:numId="5">
    <w:abstractNumId w:val="4"/>
    <w:lvlOverride w:ilvl="0"/>
    <w:lvlOverride w:ilvl="1">
      <w:startOverride w:val="1"/>
    </w:lvlOverride>
  </w:num>
  <w:num w:numId="6">
    <w:abstractNumId w:val="4"/>
    <w:lvlOverride w:ilvl="0"/>
    <w:lvlOverride w:ilvl="1">
      <w:startOverride w:val="1"/>
    </w:lvlOverride>
  </w:num>
  <w:num w:numId="7">
    <w:abstractNumId w:val="7"/>
    <w:lvlOverride w:ilvl="0">
      <w:startOverride w:val="5"/>
    </w:lvlOverride>
  </w:num>
  <w:num w:numId="8">
    <w:abstractNumId w:val="7"/>
    <w:lvlOverride w:ilvl="0"/>
    <w:lvlOverride w:ilvl="1">
      <w:startOverride w:val="1"/>
    </w:lvlOverride>
  </w:num>
  <w:num w:numId="9">
    <w:abstractNumId w:val="7"/>
    <w:lvlOverride w:ilvl="0"/>
    <w:lvlOverride w:ilvl="1"/>
    <w:lvlOverride w:ilvl="2">
      <w:startOverride w:val="1"/>
    </w:lvlOverride>
  </w:num>
  <w:num w:numId="10">
    <w:abstractNumId w:val="7"/>
    <w:lvlOverride w:ilvl="0"/>
    <w:lvlOverride w:ilvl="1"/>
    <w:lvlOverride w:ilvl="2"/>
    <w:lvlOverride w:ilvl="3">
      <w:startOverride w:val="1"/>
    </w:lvlOverride>
  </w:num>
  <w:num w:numId="11">
    <w:abstractNumId w:val="7"/>
    <w:lvlOverride w:ilvl="0"/>
    <w:lvlOverride w:ilvl="1"/>
    <w:lvlOverride w:ilvl="2">
      <w:startOverride w:val="1"/>
    </w:lvlOverride>
    <w:lvlOverride w:ilvl="3"/>
  </w:num>
  <w:num w:numId="12">
    <w:abstractNumId w:val="7"/>
    <w:lvlOverride w:ilvl="0"/>
    <w:lvlOverride w:ilvl="1"/>
    <w:lvlOverride w:ilvl="2"/>
    <w:lvlOverride w:ilvl="3">
      <w:startOverride w:val="1"/>
    </w:lvlOverride>
  </w:num>
  <w:num w:numId="13">
    <w:abstractNumId w:val="7"/>
    <w:lvlOverride w:ilvl="0"/>
    <w:lvlOverride w:ilvl="1"/>
    <w:lvlOverride w:ilvl="2">
      <w:startOverride w:val="1"/>
    </w:lvlOverride>
    <w:lvlOverride w:ilvl="3"/>
  </w:num>
  <w:num w:numId="14">
    <w:abstractNumId w:val="7"/>
    <w:lvlOverride w:ilvl="0"/>
    <w:lvlOverride w:ilvl="1">
      <w:startOverride w:val="1"/>
    </w:lvlOverride>
    <w:lvlOverride w:ilvl="2"/>
    <w:lvlOverride w:ilvl="3"/>
  </w:num>
  <w:num w:numId="15">
    <w:abstractNumId w:val="7"/>
    <w:lvlOverride w:ilvl="0"/>
    <w:lvlOverride w:ilvl="1"/>
    <w:lvlOverride w:ilvl="2">
      <w:startOverride w:val="1"/>
    </w:lvlOverride>
    <w:lvlOverride w:ilvl="3"/>
  </w:num>
  <w:num w:numId="16">
    <w:abstractNumId w:val="7"/>
  </w:num>
  <w:num w:numId="17">
    <w:abstractNumId w:val="7"/>
    <w:lvlOverride w:ilvl="0"/>
    <w:lvlOverride w:ilvl="1"/>
    <w:lvlOverride w:ilvl="2">
      <w:startOverride w:val="1"/>
    </w:lvlOverride>
    <w:lvlOverride w:ilvl="3"/>
  </w:num>
  <w:num w:numId="18">
    <w:abstractNumId w:val="7"/>
    <w:lvlOverride w:ilvl="0"/>
    <w:lvlOverride w:ilvl="1">
      <w:startOverride w:val="1"/>
    </w:lvlOverride>
    <w:lvlOverride w:ilvl="2"/>
    <w:lvlOverride w:ilvl="3"/>
  </w:num>
  <w:num w:numId="19">
    <w:abstractNumId w:val="7"/>
    <w:lvlOverride w:ilvl="0"/>
    <w:lvlOverride w:ilvl="1"/>
    <w:lvlOverride w:ilvl="2">
      <w:startOverride w:val="1"/>
    </w:lvlOverride>
    <w:lvlOverride w:ilvl="3"/>
  </w:num>
  <w:num w:numId="20">
    <w:abstractNumId w:val="7"/>
    <w:lvlOverride w:ilvl="0"/>
    <w:lvlOverride w:ilvl="1"/>
    <w:lvlOverride w:ilvl="2"/>
    <w:lvlOverride w:ilvl="3">
      <w:startOverride w:val="1"/>
    </w:lvlOverride>
  </w:num>
  <w:num w:numId="21">
    <w:abstractNumId w:val="7"/>
    <w:lvlOverride w:ilvl="0"/>
    <w:lvlOverride w:ilvl="1"/>
    <w:lvlOverride w:ilvl="2">
      <w:startOverride w:val="1"/>
    </w:lvlOverride>
    <w:lvlOverride w:ilvl="3"/>
  </w:num>
  <w:num w:numId="22">
    <w:abstractNumId w:val="7"/>
    <w:lvlOverride w:ilvl="0"/>
    <w:lvlOverride w:ilvl="1">
      <w:startOverride w:val="1"/>
    </w:lvlOverride>
    <w:lvlOverride w:ilvl="2"/>
    <w:lvlOverride w:ilvl="3"/>
  </w:num>
  <w:num w:numId="23">
    <w:abstractNumId w:val="7"/>
    <w:lvlOverride w:ilvl="0"/>
    <w:lvlOverride w:ilvl="1"/>
    <w:lvlOverride w:ilvl="2">
      <w:startOverride w:val="1"/>
    </w:lvlOverride>
    <w:lvlOverride w:ilvl="3"/>
  </w:num>
  <w:num w:numId="24">
    <w:abstractNumId w:val="7"/>
    <w:lvlOverride w:ilvl="0"/>
    <w:lvlOverride w:ilvl="1"/>
    <w:lvlOverride w:ilvl="2">
      <w:startOverride w:val="1"/>
    </w:lvlOverride>
    <w:lvlOverride w:ilvl="3"/>
  </w:num>
  <w:num w:numId="25">
    <w:abstractNumId w:val="5"/>
  </w:num>
  <w:num w:numId="26">
    <w:abstractNumId w:val="1"/>
    <w:lvlOverride w:ilvl="0">
      <w:startOverride w:val="10"/>
    </w:lvlOverride>
  </w:num>
  <w:num w:numId="27">
    <w:abstractNumId w:val="1"/>
    <w:lvlOverride w:ilvl="0"/>
    <w:lvlOverride w:ilvl="1">
      <w:startOverride w:val="1"/>
    </w:lvlOverride>
  </w:num>
  <w:num w:numId="28">
    <w:abstractNumId w:val="1"/>
    <w:lvlOverride w:ilvl="0"/>
    <w:lvlOverride w:ilvl="1">
      <w:startOverride w:val="1"/>
    </w:lvlOverride>
  </w:num>
  <w:num w:numId="29">
    <w:abstractNumId w:val="1"/>
    <w:lvlOverride w:ilvl="0"/>
    <w:lvlOverride w:ilvl="1">
      <w:startOverride w:val="1"/>
    </w:lvlOverride>
  </w:num>
  <w:num w:numId="30">
    <w:abstractNumId w:val="1"/>
    <w:lvlOverride w:ilvl="0"/>
    <w:lvlOverride w:ilvl="1">
      <w:startOverride w:val="1"/>
    </w:lvlOverride>
  </w:num>
  <w:num w:numId="31">
    <w:abstractNumId w:val="1"/>
    <w:lvlOverride w:ilvl="0"/>
    <w:lvlOverride w:ilvl="1"/>
    <w:lvlOverride w:ilvl="2">
      <w:startOverride w:val="1"/>
    </w:lvlOverride>
  </w:num>
  <w:num w:numId="32">
    <w:abstractNumId w:val="1"/>
    <w:lvlOverride w:ilvl="0"/>
    <w:lvlOverride w:ilvl="1">
      <w:startOverride w:val="1"/>
    </w:lvlOverride>
    <w:lvlOverride w:ilvl="2"/>
  </w:num>
  <w:num w:numId="33">
    <w:abstractNumId w:val="1"/>
    <w:lvlOverride w:ilvl="0"/>
    <w:lvlOverride w:ilvl="1"/>
    <w:lvlOverride w:ilvl="2">
      <w:startOverride w:val="1"/>
    </w:lvlOverride>
  </w:num>
  <w:num w:numId="34">
    <w:abstractNumId w:val="6"/>
    <w:lvlOverride w:ilvl="0">
      <w:startOverride w:val="1"/>
    </w:lvlOverride>
  </w:num>
  <w:num w:numId="35">
    <w:abstractNumId w:val="6"/>
    <w:lvlOverride w:ilvl="0"/>
    <w:lvlOverride w:ilvl="1">
      <w:startOverride w:val="1"/>
    </w:lvlOverride>
  </w:num>
  <w:num w:numId="36">
    <w:abstractNumId w:val="2"/>
  </w:num>
  <w:num w:numId="37">
    <w:abstractNumId w:val="0"/>
  </w:num>
  <w:num w:numId="38">
    <w:abstractNumId w:val="3"/>
  </w:num>
  <w:num w:numId="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3"/>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Z style with abstract and link to full text&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BC6E78"/>
    <w:rsid w:val="000022BC"/>
    <w:rsid w:val="000058AF"/>
    <w:rsid w:val="000072E6"/>
    <w:rsid w:val="000109CA"/>
    <w:rsid w:val="00010E24"/>
    <w:rsid w:val="00012CB3"/>
    <w:rsid w:val="00012D10"/>
    <w:rsid w:val="00017C70"/>
    <w:rsid w:val="00026752"/>
    <w:rsid w:val="000277EA"/>
    <w:rsid w:val="00034EA7"/>
    <w:rsid w:val="00045812"/>
    <w:rsid w:val="00054D84"/>
    <w:rsid w:val="0006145F"/>
    <w:rsid w:val="0006624C"/>
    <w:rsid w:val="00067703"/>
    <w:rsid w:val="0006775C"/>
    <w:rsid w:val="00071E4F"/>
    <w:rsid w:val="0007765C"/>
    <w:rsid w:val="00080CA4"/>
    <w:rsid w:val="000810BE"/>
    <w:rsid w:val="000837A9"/>
    <w:rsid w:val="000842A4"/>
    <w:rsid w:val="00085EB2"/>
    <w:rsid w:val="00086A43"/>
    <w:rsid w:val="00091F71"/>
    <w:rsid w:val="0009437C"/>
    <w:rsid w:val="00094D84"/>
    <w:rsid w:val="00096911"/>
    <w:rsid w:val="00097E72"/>
    <w:rsid w:val="000A0048"/>
    <w:rsid w:val="000A04C7"/>
    <w:rsid w:val="000A0C75"/>
    <w:rsid w:val="000A1D8F"/>
    <w:rsid w:val="000B13B4"/>
    <w:rsid w:val="000B20E2"/>
    <w:rsid w:val="000B42EF"/>
    <w:rsid w:val="000B64EE"/>
    <w:rsid w:val="000B6852"/>
    <w:rsid w:val="000C012E"/>
    <w:rsid w:val="000C198C"/>
    <w:rsid w:val="000C5F98"/>
    <w:rsid w:val="000C6159"/>
    <w:rsid w:val="000C765C"/>
    <w:rsid w:val="000F00AC"/>
    <w:rsid w:val="000F7EB4"/>
    <w:rsid w:val="00103FD6"/>
    <w:rsid w:val="00105E2A"/>
    <w:rsid w:val="001109E8"/>
    <w:rsid w:val="001231CE"/>
    <w:rsid w:val="00125DA4"/>
    <w:rsid w:val="001262C7"/>
    <w:rsid w:val="00131F05"/>
    <w:rsid w:val="00136682"/>
    <w:rsid w:val="00140D3F"/>
    <w:rsid w:val="00143246"/>
    <w:rsid w:val="001433AB"/>
    <w:rsid w:val="00144ADD"/>
    <w:rsid w:val="00153BBA"/>
    <w:rsid w:val="00155902"/>
    <w:rsid w:val="001573D6"/>
    <w:rsid w:val="00160233"/>
    <w:rsid w:val="00160544"/>
    <w:rsid w:val="0016638C"/>
    <w:rsid w:val="00173F83"/>
    <w:rsid w:val="00174A70"/>
    <w:rsid w:val="00177100"/>
    <w:rsid w:val="001814F8"/>
    <w:rsid w:val="00185949"/>
    <w:rsid w:val="00195B89"/>
    <w:rsid w:val="001A336C"/>
    <w:rsid w:val="001A5131"/>
    <w:rsid w:val="001A63A2"/>
    <w:rsid w:val="001B0EF3"/>
    <w:rsid w:val="001B33F7"/>
    <w:rsid w:val="001B3B3F"/>
    <w:rsid w:val="001C0B46"/>
    <w:rsid w:val="001C3995"/>
    <w:rsid w:val="001C4E24"/>
    <w:rsid w:val="001D052B"/>
    <w:rsid w:val="001D25F4"/>
    <w:rsid w:val="001D2E6C"/>
    <w:rsid w:val="001D2ED0"/>
    <w:rsid w:val="001D5041"/>
    <w:rsid w:val="001D70E3"/>
    <w:rsid w:val="001D7DE1"/>
    <w:rsid w:val="001E3FBC"/>
    <w:rsid w:val="001E464B"/>
    <w:rsid w:val="001E6470"/>
    <w:rsid w:val="001E6AA2"/>
    <w:rsid w:val="001F039A"/>
    <w:rsid w:val="001F2C63"/>
    <w:rsid w:val="001F5183"/>
    <w:rsid w:val="001F56E4"/>
    <w:rsid w:val="001F6798"/>
    <w:rsid w:val="00204A09"/>
    <w:rsid w:val="00204FE4"/>
    <w:rsid w:val="00212C4B"/>
    <w:rsid w:val="00215132"/>
    <w:rsid w:val="002162E9"/>
    <w:rsid w:val="00221854"/>
    <w:rsid w:val="00223381"/>
    <w:rsid w:val="002245B2"/>
    <w:rsid w:val="00227AE6"/>
    <w:rsid w:val="00232214"/>
    <w:rsid w:val="00246B66"/>
    <w:rsid w:val="00253828"/>
    <w:rsid w:val="00254D37"/>
    <w:rsid w:val="002552B1"/>
    <w:rsid w:val="00265402"/>
    <w:rsid w:val="00265513"/>
    <w:rsid w:val="002735EF"/>
    <w:rsid w:val="0029075D"/>
    <w:rsid w:val="002923A0"/>
    <w:rsid w:val="00292501"/>
    <w:rsid w:val="00297050"/>
    <w:rsid w:val="0029705E"/>
    <w:rsid w:val="00297CD6"/>
    <w:rsid w:val="002A139D"/>
    <w:rsid w:val="002A3957"/>
    <w:rsid w:val="002A6B55"/>
    <w:rsid w:val="002A7A96"/>
    <w:rsid w:val="002A7F19"/>
    <w:rsid w:val="002B2841"/>
    <w:rsid w:val="002B347D"/>
    <w:rsid w:val="002B4D99"/>
    <w:rsid w:val="002B57F5"/>
    <w:rsid w:val="002B7ADD"/>
    <w:rsid w:val="002C0821"/>
    <w:rsid w:val="002C096A"/>
    <w:rsid w:val="002C4D50"/>
    <w:rsid w:val="002C52D1"/>
    <w:rsid w:val="002D0690"/>
    <w:rsid w:val="002D19B9"/>
    <w:rsid w:val="002E410C"/>
    <w:rsid w:val="002E4BDF"/>
    <w:rsid w:val="002E6CDF"/>
    <w:rsid w:val="002E76B3"/>
    <w:rsid w:val="002E78A9"/>
    <w:rsid w:val="002E7E0E"/>
    <w:rsid w:val="002F258D"/>
    <w:rsid w:val="002F4DCA"/>
    <w:rsid w:val="002F6A44"/>
    <w:rsid w:val="002F7DCA"/>
    <w:rsid w:val="00306914"/>
    <w:rsid w:val="00310B6A"/>
    <w:rsid w:val="003135A1"/>
    <w:rsid w:val="00320ACC"/>
    <w:rsid w:val="003223E2"/>
    <w:rsid w:val="00322929"/>
    <w:rsid w:val="00322AB2"/>
    <w:rsid w:val="00322DB1"/>
    <w:rsid w:val="0033381A"/>
    <w:rsid w:val="00334150"/>
    <w:rsid w:val="00350D44"/>
    <w:rsid w:val="00356CDD"/>
    <w:rsid w:val="003610EF"/>
    <w:rsid w:val="003623CC"/>
    <w:rsid w:val="0036342E"/>
    <w:rsid w:val="003634AB"/>
    <w:rsid w:val="00365C4E"/>
    <w:rsid w:val="003669AC"/>
    <w:rsid w:val="00370DE2"/>
    <w:rsid w:val="00372DCE"/>
    <w:rsid w:val="00374990"/>
    <w:rsid w:val="0037720D"/>
    <w:rsid w:val="00390EE1"/>
    <w:rsid w:val="00395EE9"/>
    <w:rsid w:val="003A0970"/>
    <w:rsid w:val="003A1A27"/>
    <w:rsid w:val="003A1F35"/>
    <w:rsid w:val="003A6A46"/>
    <w:rsid w:val="003B7DF7"/>
    <w:rsid w:val="003C1E87"/>
    <w:rsid w:val="003C2C0D"/>
    <w:rsid w:val="003C47CE"/>
    <w:rsid w:val="003C4F3C"/>
    <w:rsid w:val="003C6982"/>
    <w:rsid w:val="003C69D4"/>
    <w:rsid w:val="003D1C80"/>
    <w:rsid w:val="003D3E58"/>
    <w:rsid w:val="003D7AE6"/>
    <w:rsid w:val="003E2182"/>
    <w:rsid w:val="003E24EB"/>
    <w:rsid w:val="003E3DB9"/>
    <w:rsid w:val="003F2235"/>
    <w:rsid w:val="003F4574"/>
    <w:rsid w:val="00402E2E"/>
    <w:rsid w:val="004039A4"/>
    <w:rsid w:val="004050BB"/>
    <w:rsid w:val="0040593D"/>
    <w:rsid w:val="0041023B"/>
    <w:rsid w:val="00416725"/>
    <w:rsid w:val="004315B2"/>
    <w:rsid w:val="004321C8"/>
    <w:rsid w:val="00434601"/>
    <w:rsid w:val="00434D7F"/>
    <w:rsid w:val="0043703E"/>
    <w:rsid w:val="0044159F"/>
    <w:rsid w:val="0046157F"/>
    <w:rsid w:val="00470597"/>
    <w:rsid w:val="004723EF"/>
    <w:rsid w:val="00472D1F"/>
    <w:rsid w:val="00474359"/>
    <w:rsid w:val="004771A7"/>
    <w:rsid w:val="00487716"/>
    <w:rsid w:val="004918F7"/>
    <w:rsid w:val="004929D8"/>
    <w:rsid w:val="00496C5B"/>
    <w:rsid w:val="004A31D3"/>
    <w:rsid w:val="004B1722"/>
    <w:rsid w:val="004B599F"/>
    <w:rsid w:val="004C6925"/>
    <w:rsid w:val="004D3490"/>
    <w:rsid w:val="004E16AD"/>
    <w:rsid w:val="004E2CC9"/>
    <w:rsid w:val="004E6CA5"/>
    <w:rsid w:val="004F37CD"/>
    <w:rsid w:val="00504D4D"/>
    <w:rsid w:val="005055ED"/>
    <w:rsid w:val="00506C45"/>
    <w:rsid w:val="00511332"/>
    <w:rsid w:val="00515D62"/>
    <w:rsid w:val="00516749"/>
    <w:rsid w:val="00527D91"/>
    <w:rsid w:val="0053035C"/>
    <w:rsid w:val="005316F7"/>
    <w:rsid w:val="005371C9"/>
    <w:rsid w:val="0054142A"/>
    <w:rsid w:val="00546F8F"/>
    <w:rsid w:val="00547481"/>
    <w:rsid w:val="00550092"/>
    <w:rsid w:val="005517AF"/>
    <w:rsid w:val="0055300A"/>
    <w:rsid w:val="00553997"/>
    <w:rsid w:val="00554E63"/>
    <w:rsid w:val="005550ED"/>
    <w:rsid w:val="00555DA4"/>
    <w:rsid w:val="00562088"/>
    <w:rsid w:val="005627FA"/>
    <w:rsid w:val="00564439"/>
    <w:rsid w:val="00565227"/>
    <w:rsid w:val="00571626"/>
    <w:rsid w:val="005746D0"/>
    <w:rsid w:val="00574E5A"/>
    <w:rsid w:val="005755F4"/>
    <w:rsid w:val="005868AA"/>
    <w:rsid w:val="0059006C"/>
    <w:rsid w:val="00590127"/>
    <w:rsid w:val="005901ED"/>
    <w:rsid w:val="00592716"/>
    <w:rsid w:val="0059432F"/>
    <w:rsid w:val="00595E2E"/>
    <w:rsid w:val="0059639F"/>
    <w:rsid w:val="005A1CD5"/>
    <w:rsid w:val="005A4C79"/>
    <w:rsid w:val="005A6E2E"/>
    <w:rsid w:val="005B790A"/>
    <w:rsid w:val="005C568C"/>
    <w:rsid w:val="005C5B42"/>
    <w:rsid w:val="005D0885"/>
    <w:rsid w:val="005D0A40"/>
    <w:rsid w:val="005D222D"/>
    <w:rsid w:val="005E2C16"/>
    <w:rsid w:val="005E52EF"/>
    <w:rsid w:val="0060435F"/>
    <w:rsid w:val="006118AC"/>
    <w:rsid w:val="00615C13"/>
    <w:rsid w:val="0062760A"/>
    <w:rsid w:val="00632F47"/>
    <w:rsid w:val="0063490A"/>
    <w:rsid w:val="00634B17"/>
    <w:rsid w:val="006370B3"/>
    <w:rsid w:val="00643F3B"/>
    <w:rsid w:val="00650571"/>
    <w:rsid w:val="00652F93"/>
    <w:rsid w:val="00655F8A"/>
    <w:rsid w:val="006630B3"/>
    <w:rsid w:val="006661B4"/>
    <w:rsid w:val="006707CD"/>
    <w:rsid w:val="00671BE5"/>
    <w:rsid w:val="0067559B"/>
    <w:rsid w:val="00677502"/>
    <w:rsid w:val="006812C9"/>
    <w:rsid w:val="0069064B"/>
    <w:rsid w:val="00691C2F"/>
    <w:rsid w:val="00696DDE"/>
    <w:rsid w:val="006A1372"/>
    <w:rsid w:val="006A13D5"/>
    <w:rsid w:val="006A6811"/>
    <w:rsid w:val="006B1147"/>
    <w:rsid w:val="006B2852"/>
    <w:rsid w:val="006B76F4"/>
    <w:rsid w:val="006C1551"/>
    <w:rsid w:val="006C2621"/>
    <w:rsid w:val="006D4CF2"/>
    <w:rsid w:val="006F1D25"/>
    <w:rsid w:val="006F2F42"/>
    <w:rsid w:val="006F4184"/>
    <w:rsid w:val="00703C7B"/>
    <w:rsid w:val="00704F98"/>
    <w:rsid w:val="007070C6"/>
    <w:rsid w:val="00732447"/>
    <w:rsid w:val="00736313"/>
    <w:rsid w:val="00740F05"/>
    <w:rsid w:val="00745CB2"/>
    <w:rsid w:val="00752910"/>
    <w:rsid w:val="00756EC1"/>
    <w:rsid w:val="00763ADB"/>
    <w:rsid w:val="007642A8"/>
    <w:rsid w:val="00766758"/>
    <w:rsid w:val="00770565"/>
    <w:rsid w:val="0077596E"/>
    <w:rsid w:val="0078561C"/>
    <w:rsid w:val="007964A0"/>
    <w:rsid w:val="007A1419"/>
    <w:rsid w:val="007B5C00"/>
    <w:rsid w:val="007B5FAE"/>
    <w:rsid w:val="007C632B"/>
    <w:rsid w:val="007D2786"/>
    <w:rsid w:val="007E1D1C"/>
    <w:rsid w:val="007E5062"/>
    <w:rsid w:val="007E5CE5"/>
    <w:rsid w:val="007E621F"/>
    <w:rsid w:val="007E7586"/>
    <w:rsid w:val="007F4A83"/>
    <w:rsid w:val="007F5CAB"/>
    <w:rsid w:val="0080431D"/>
    <w:rsid w:val="00805718"/>
    <w:rsid w:val="008057E5"/>
    <w:rsid w:val="008108E5"/>
    <w:rsid w:val="00811010"/>
    <w:rsid w:val="008136BE"/>
    <w:rsid w:val="00813DE6"/>
    <w:rsid w:val="00814B24"/>
    <w:rsid w:val="008200B2"/>
    <w:rsid w:val="00820327"/>
    <w:rsid w:val="00825438"/>
    <w:rsid w:val="00825DF8"/>
    <w:rsid w:val="00831D04"/>
    <w:rsid w:val="00834291"/>
    <w:rsid w:val="00835099"/>
    <w:rsid w:val="00836D65"/>
    <w:rsid w:val="00842D97"/>
    <w:rsid w:val="00843185"/>
    <w:rsid w:val="00845FA3"/>
    <w:rsid w:val="0084725F"/>
    <w:rsid w:val="00857858"/>
    <w:rsid w:val="00863F40"/>
    <w:rsid w:val="0086403C"/>
    <w:rsid w:val="00866442"/>
    <w:rsid w:val="00870E9D"/>
    <w:rsid w:val="00873177"/>
    <w:rsid w:val="00873F56"/>
    <w:rsid w:val="00874006"/>
    <w:rsid w:val="008742F8"/>
    <w:rsid w:val="0087443E"/>
    <w:rsid w:val="00880178"/>
    <w:rsid w:val="008839A5"/>
    <w:rsid w:val="00886161"/>
    <w:rsid w:val="00893594"/>
    <w:rsid w:val="00895477"/>
    <w:rsid w:val="0089575B"/>
    <w:rsid w:val="008A7CFF"/>
    <w:rsid w:val="008A7F5C"/>
    <w:rsid w:val="008B22EA"/>
    <w:rsid w:val="008B368D"/>
    <w:rsid w:val="008B49F3"/>
    <w:rsid w:val="008C246C"/>
    <w:rsid w:val="008C2976"/>
    <w:rsid w:val="008D5C2C"/>
    <w:rsid w:val="008E1012"/>
    <w:rsid w:val="008E6E36"/>
    <w:rsid w:val="00903475"/>
    <w:rsid w:val="009132A5"/>
    <w:rsid w:val="00920795"/>
    <w:rsid w:val="00923D7D"/>
    <w:rsid w:val="009241A6"/>
    <w:rsid w:val="00924EE6"/>
    <w:rsid w:val="0092630C"/>
    <w:rsid w:val="0092789C"/>
    <w:rsid w:val="00940FAE"/>
    <w:rsid w:val="009553A1"/>
    <w:rsid w:val="00955B4B"/>
    <w:rsid w:val="0096127E"/>
    <w:rsid w:val="009672AB"/>
    <w:rsid w:val="00971259"/>
    <w:rsid w:val="00974EE3"/>
    <w:rsid w:val="00985396"/>
    <w:rsid w:val="00991D3F"/>
    <w:rsid w:val="00993C44"/>
    <w:rsid w:val="009953F4"/>
    <w:rsid w:val="009966B7"/>
    <w:rsid w:val="00997E56"/>
    <w:rsid w:val="009A15D0"/>
    <w:rsid w:val="009A3563"/>
    <w:rsid w:val="009A4E38"/>
    <w:rsid w:val="009A6049"/>
    <w:rsid w:val="009A71CB"/>
    <w:rsid w:val="009A75AB"/>
    <w:rsid w:val="009B1A50"/>
    <w:rsid w:val="009B3131"/>
    <w:rsid w:val="009B48BE"/>
    <w:rsid w:val="009C09BB"/>
    <w:rsid w:val="009C67CA"/>
    <w:rsid w:val="009C6A46"/>
    <w:rsid w:val="009D0086"/>
    <w:rsid w:val="009D41DC"/>
    <w:rsid w:val="009E08FD"/>
    <w:rsid w:val="009E47B3"/>
    <w:rsid w:val="009E675D"/>
    <w:rsid w:val="009E67AA"/>
    <w:rsid w:val="009F07E1"/>
    <w:rsid w:val="009F1353"/>
    <w:rsid w:val="009F1E2D"/>
    <w:rsid w:val="009F3C10"/>
    <w:rsid w:val="009F589D"/>
    <w:rsid w:val="009F63B0"/>
    <w:rsid w:val="00A01097"/>
    <w:rsid w:val="00A029EE"/>
    <w:rsid w:val="00A02F54"/>
    <w:rsid w:val="00A13C16"/>
    <w:rsid w:val="00A1639A"/>
    <w:rsid w:val="00A17648"/>
    <w:rsid w:val="00A21D2E"/>
    <w:rsid w:val="00A22994"/>
    <w:rsid w:val="00A26E73"/>
    <w:rsid w:val="00A34317"/>
    <w:rsid w:val="00A415FA"/>
    <w:rsid w:val="00A45B56"/>
    <w:rsid w:val="00A50C1A"/>
    <w:rsid w:val="00A54DD3"/>
    <w:rsid w:val="00A56A7F"/>
    <w:rsid w:val="00A576DF"/>
    <w:rsid w:val="00A57C06"/>
    <w:rsid w:val="00A60E84"/>
    <w:rsid w:val="00A64398"/>
    <w:rsid w:val="00A64A3E"/>
    <w:rsid w:val="00A64FE0"/>
    <w:rsid w:val="00A71AA8"/>
    <w:rsid w:val="00A7396B"/>
    <w:rsid w:val="00A7406A"/>
    <w:rsid w:val="00A81E59"/>
    <w:rsid w:val="00A82C5F"/>
    <w:rsid w:val="00A8461B"/>
    <w:rsid w:val="00A91F3F"/>
    <w:rsid w:val="00A97AF1"/>
    <w:rsid w:val="00AA2F81"/>
    <w:rsid w:val="00AA47EC"/>
    <w:rsid w:val="00AA499C"/>
    <w:rsid w:val="00AA5616"/>
    <w:rsid w:val="00AA7CAE"/>
    <w:rsid w:val="00AB4E3F"/>
    <w:rsid w:val="00AD0B01"/>
    <w:rsid w:val="00AD1F8A"/>
    <w:rsid w:val="00AD7238"/>
    <w:rsid w:val="00AE2B46"/>
    <w:rsid w:val="00AE5911"/>
    <w:rsid w:val="00AE65F1"/>
    <w:rsid w:val="00AE797C"/>
    <w:rsid w:val="00AE7DC1"/>
    <w:rsid w:val="00AF1631"/>
    <w:rsid w:val="00AF2B48"/>
    <w:rsid w:val="00AF5CF5"/>
    <w:rsid w:val="00AF7F9E"/>
    <w:rsid w:val="00B0245C"/>
    <w:rsid w:val="00B02ECC"/>
    <w:rsid w:val="00B055BD"/>
    <w:rsid w:val="00B07506"/>
    <w:rsid w:val="00B1294E"/>
    <w:rsid w:val="00B12C70"/>
    <w:rsid w:val="00B15421"/>
    <w:rsid w:val="00B17D70"/>
    <w:rsid w:val="00B23039"/>
    <w:rsid w:val="00B31939"/>
    <w:rsid w:val="00B4001F"/>
    <w:rsid w:val="00B461BB"/>
    <w:rsid w:val="00B51208"/>
    <w:rsid w:val="00B51517"/>
    <w:rsid w:val="00B54898"/>
    <w:rsid w:val="00B57DDB"/>
    <w:rsid w:val="00B62C34"/>
    <w:rsid w:val="00B678A7"/>
    <w:rsid w:val="00B749A7"/>
    <w:rsid w:val="00B749D6"/>
    <w:rsid w:val="00B82CAD"/>
    <w:rsid w:val="00B86A4C"/>
    <w:rsid w:val="00B91E6E"/>
    <w:rsid w:val="00B95F61"/>
    <w:rsid w:val="00B961D3"/>
    <w:rsid w:val="00B9674E"/>
    <w:rsid w:val="00B96B20"/>
    <w:rsid w:val="00BA103C"/>
    <w:rsid w:val="00BA14A4"/>
    <w:rsid w:val="00BB4338"/>
    <w:rsid w:val="00BB779E"/>
    <w:rsid w:val="00BC137B"/>
    <w:rsid w:val="00BC290E"/>
    <w:rsid w:val="00BC29C2"/>
    <w:rsid w:val="00BC3F65"/>
    <w:rsid w:val="00BC6E78"/>
    <w:rsid w:val="00BD5939"/>
    <w:rsid w:val="00BD6820"/>
    <w:rsid w:val="00BE122C"/>
    <w:rsid w:val="00BE2A44"/>
    <w:rsid w:val="00BE6237"/>
    <w:rsid w:val="00BE7086"/>
    <w:rsid w:val="00BE7784"/>
    <w:rsid w:val="00BE7ED8"/>
    <w:rsid w:val="00BF6BC7"/>
    <w:rsid w:val="00C036B8"/>
    <w:rsid w:val="00C06B54"/>
    <w:rsid w:val="00C0799E"/>
    <w:rsid w:val="00C10F70"/>
    <w:rsid w:val="00C13471"/>
    <w:rsid w:val="00C151B5"/>
    <w:rsid w:val="00C220D4"/>
    <w:rsid w:val="00C26A83"/>
    <w:rsid w:val="00C2707E"/>
    <w:rsid w:val="00C27DD7"/>
    <w:rsid w:val="00C30F19"/>
    <w:rsid w:val="00C3356E"/>
    <w:rsid w:val="00C337FE"/>
    <w:rsid w:val="00C33DE1"/>
    <w:rsid w:val="00C34E54"/>
    <w:rsid w:val="00C44A97"/>
    <w:rsid w:val="00C479D2"/>
    <w:rsid w:val="00C47CE8"/>
    <w:rsid w:val="00C52D6B"/>
    <w:rsid w:val="00C61D38"/>
    <w:rsid w:val="00C630F0"/>
    <w:rsid w:val="00C64508"/>
    <w:rsid w:val="00C64A83"/>
    <w:rsid w:val="00C72820"/>
    <w:rsid w:val="00C743CE"/>
    <w:rsid w:val="00C80C4A"/>
    <w:rsid w:val="00C81FBD"/>
    <w:rsid w:val="00C83C4D"/>
    <w:rsid w:val="00C856E7"/>
    <w:rsid w:val="00C92F82"/>
    <w:rsid w:val="00C9340F"/>
    <w:rsid w:val="00C94563"/>
    <w:rsid w:val="00CB0317"/>
    <w:rsid w:val="00CB0CF7"/>
    <w:rsid w:val="00CB15D3"/>
    <w:rsid w:val="00CB4697"/>
    <w:rsid w:val="00CC0671"/>
    <w:rsid w:val="00CC22F2"/>
    <w:rsid w:val="00CC31B7"/>
    <w:rsid w:val="00CC4FBF"/>
    <w:rsid w:val="00CC6305"/>
    <w:rsid w:val="00CC65E2"/>
    <w:rsid w:val="00CC6FE3"/>
    <w:rsid w:val="00CD1C78"/>
    <w:rsid w:val="00CF3C52"/>
    <w:rsid w:val="00CF545C"/>
    <w:rsid w:val="00CF6DC7"/>
    <w:rsid w:val="00D02C6A"/>
    <w:rsid w:val="00D03E28"/>
    <w:rsid w:val="00D053A9"/>
    <w:rsid w:val="00D10C4C"/>
    <w:rsid w:val="00D126DD"/>
    <w:rsid w:val="00D30B4D"/>
    <w:rsid w:val="00D31732"/>
    <w:rsid w:val="00D423F4"/>
    <w:rsid w:val="00D43D98"/>
    <w:rsid w:val="00D45736"/>
    <w:rsid w:val="00D46E46"/>
    <w:rsid w:val="00D51089"/>
    <w:rsid w:val="00D52551"/>
    <w:rsid w:val="00D56D0F"/>
    <w:rsid w:val="00D63AF3"/>
    <w:rsid w:val="00D660BD"/>
    <w:rsid w:val="00D66306"/>
    <w:rsid w:val="00D72EBB"/>
    <w:rsid w:val="00D73F3C"/>
    <w:rsid w:val="00D849D4"/>
    <w:rsid w:val="00D8548C"/>
    <w:rsid w:val="00D858A9"/>
    <w:rsid w:val="00D92D37"/>
    <w:rsid w:val="00D94071"/>
    <w:rsid w:val="00DA2B59"/>
    <w:rsid w:val="00DA36C9"/>
    <w:rsid w:val="00DA458D"/>
    <w:rsid w:val="00DA68C5"/>
    <w:rsid w:val="00DA7DD2"/>
    <w:rsid w:val="00DB105D"/>
    <w:rsid w:val="00DB25B3"/>
    <w:rsid w:val="00DB40D0"/>
    <w:rsid w:val="00DB5E13"/>
    <w:rsid w:val="00DB703D"/>
    <w:rsid w:val="00DC4A97"/>
    <w:rsid w:val="00DC5570"/>
    <w:rsid w:val="00DC731E"/>
    <w:rsid w:val="00DD12EF"/>
    <w:rsid w:val="00DD59ED"/>
    <w:rsid w:val="00DE59C4"/>
    <w:rsid w:val="00DF124F"/>
    <w:rsid w:val="00DF2992"/>
    <w:rsid w:val="00E016BD"/>
    <w:rsid w:val="00E01F11"/>
    <w:rsid w:val="00E0533A"/>
    <w:rsid w:val="00E05F5E"/>
    <w:rsid w:val="00E07A21"/>
    <w:rsid w:val="00E10A04"/>
    <w:rsid w:val="00E11C85"/>
    <w:rsid w:val="00E1777B"/>
    <w:rsid w:val="00E17AAF"/>
    <w:rsid w:val="00E3498E"/>
    <w:rsid w:val="00E34E77"/>
    <w:rsid w:val="00E37B54"/>
    <w:rsid w:val="00E401C5"/>
    <w:rsid w:val="00E43986"/>
    <w:rsid w:val="00E43DBF"/>
    <w:rsid w:val="00E43E75"/>
    <w:rsid w:val="00E47449"/>
    <w:rsid w:val="00E5303E"/>
    <w:rsid w:val="00E56A39"/>
    <w:rsid w:val="00E57122"/>
    <w:rsid w:val="00E62146"/>
    <w:rsid w:val="00E62CEE"/>
    <w:rsid w:val="00E66C81"/>
    <w:rsid w:val="00E66DFF"/>
    <w:rsid w:val="00E718F2"/>
    <w:rsid w:val="00E731A4"/>
    <w:rsid w:val="00E74D61"/>
    <w:rsid w:val="00E757F8"/>
    <w:rsid w:val="00E75F13"/>
    <w:rsid w:val="00E80E98"/>
    <w:rsid w:val="00E837C9"/>
    <w:rsid w:val="00E916B8"/>
    <w:rsid w:val="00E91969"/>
    <w:rsid w:val="00E949DC"/>
    <w:rsid w:val="00EA26D5"/>
    <w:rsid w:val="00EA41DC"/>
    <w:rsid w:val="00EC0EBB"/>
    <w:rsid w:val="00EC36AB"/>
    <w:rsid w:val="00ED0530"/>
    <w:rsid w:val="00ED3BFD"/>
    <w:rsid w:val="00ED4B10"/>
    <w:rsid w:val="00ED74F9"/>
    <w:rsid w:val="00EE203E"/>
    <w:rsid w:val="00EF2BC5"/>
    <w:rsid w:val="00EF36FD"/>
    <w:rsid w:val="00EF549E"/>
    <w:rsid w:val="00EF78FD"/>
    <w:rsid w:val="00F034BF"/>
    <w:rsid w:val="00F03B70"/>
    <w:rsid w:val="00F1376B"/>
    <w:rsid w:val="00F16520"/>
    <w:rsid w:val="00F21627"/>
    <w:rsid w:val="00F225BC"/>
    <w:rsid w:val="00F24989"/>
    <w:rsid w:val="00F32259"/>
    <w:rsid w:val="00F4420A"/>
    <w:rsid w:val="00F45F00"/>
    <w:rsid w:val="00F51C3A"/>
    <w:rsid w:val="00F536E5"/>
    <w:rsid w:val="00F60A6E"/>
    <w:rsid w:val="00F61775"/>
    <w:rsid w:val="00F642BD"/>
    <w:rsid w:val="00F668A8"/>
    <w:rsid w:val="00F77B87"/>
    <w:rsid w:val="00F82348"/>
    <w:rsid w:val="00F83B38"/>
    <w:rsid w:val="00F849E9"/>
    <w:rsid w:val="00F86CCA"/>
    <w:rsid w:val="00F92EB5"/>
    <w:rsid w:val="00F958E0"/>
    <w:rsid w:val="00F95B0E"/>
    <w:rsid w:val="00F9745C"/>
    <w:rsid w:val="00F97B88"/>
    <w:rsid w:val="00FA37F5"/>
    <w:rsid w:val="00FA3A5D"/>
    <w:rsid w:val="00FA4CBF"/>
    <w:rsid w:val="00FA7AC6"/>
    <w:rsid w:val="00FB09D9"/>
    <w:rsid w:val="00FB37C4"/>
    <w:rsid w:val="00FB7E8C"/>
    <w:rsid w:val="00FC19E5"/>
    <w:rsid w:val="00FC648D"/>
    <w:rsid w:val="00FC6945"/>
    <w:rsid w:val="00FD02D0"/>
    <w:rsid w:val="00FD038A"/>
    <w:rsid w:val="00FD33CF"/>
    <w:rsid w:val="00FD379D"/>
    <w:rsid w:val="00FD6676"/>
    <w:rsid w:val="00FD6FFD"/>
    <w:rsid w:val="00FD7ED5"/>
    <w:rsid w:val="00FE34C7"/>
    <w:rsid w:val="00FF45E0"/>
    <w:rsid w:val="16B1401E"/>
    <w:rsid w:val="1872F496"/>
    <w:rsid w:val="1AD3A749"/>
    <w:rsid w:val="5CDC8D04"/>
    <w:rsid w:val="60ADBA91"/>
    <w:rsid w:val="6E434CCD"/>
    <w:rsid w:val="7C34C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B9788"/>
  <w15:chartTrackingRefBased/>
  <w15:docId w15:val="{05083D5B-7DD6-0E40-92E9-12452B505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en-US" w:bidi="ar-SA"/>
      </w:rPr>
    </w:rPrDefault>
    <w:pPrDefault>
      <w:pPr>
        <w:spacing w:after="160" w:line="288" w:lineRule="auto"/>
        <w:ind w:left="2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CAE"/>
    <w:pPr>
      <w:ind w:left="0"/>
    </w:pPr>
    <w:rPr>
      <w:color w:val="000000" w:themeColor="text1"/>
      <w:sz w:val="24"/>
    </w:rPr>
  </w:style>
  <w:style w:type="paragraph" w:styleId="Heading1">
    <w:name w:val="heading 1"/>
    <w:basedOn w:val="Normal"/>
    <w:next w:val="Normal"/>
    <w:link w:val="Heading1Char"/>
    <w:uiPriority w:val="9"/>
    <w:qFormat/>
    <w:rsid w:val="00B86A4C"/>
    <w:pPr>
      <w:spacing w:before="400" w:after="60" w:line="240" w:lineRule="auto"/>
      <w:contextualSpacing/>
      <w:outlineLvl w:val="0"/>
    </w:pPr>
    <w:rPr>
      <w:rFonts w:asciiTheme="majorHAnsi" w:eastAsiaTheme="majorEastAsia" w:hAnsiTheme="majorHAnsi" w:cstheme="majorBidi"/>
      <w:smallCaps/>
      <w:color w:val="212934" w:themeColor="text2" w:themeShade="7F"/>
      <w:spacing w:val="20"/>
      <w:sz w:val="32"/>
      <w:szCs w:val="32"/>
    </w:rPr>
  </w:style>
  <w:style w:type="paragraph" w:styleId="Heading2">
    <w:name w:val="heading 2"/>
    <w:basedOn w:val="Normal"/>
    <w:next w:val="Normal"/>
    <w:link w:val="Heading2Char"/>
    <w:uiPriority w:val="9"/>
    <w:unhideWhenUsed/>
    <w:qFormat/>
    <w:rsid w:val="00B86A4C"/>
    <w:pPr>
      <w:spacing w:before="120" w:after="60" w:line="240" w:lineRule="auto"/>
      <w:contextualSpacing/>
      <w:outlineLvl w:val="1"/>
    </w:pPr>
    <w:rPr>
      <w:rFonts w:asciiTheme="majorHAnsi" w:eastAsiaTheme="majorEastAsia" w:hAnsiTheme="majorHAnsi" w:cstheme="majorBidi"/>
      <w:smallCaps/>
      <w:color w:val="323E4F" w:themeColor="text2" w:themeShade="BF"/>
      <w:spacing w:val="20"/>
      <w:sz w:val="28"/>
      <w:szCs w:val="28"/>
    </w:rPr>
  </w:style>
  <w:style w:type="paragraph" w:styleId="Heading3">
    <w:name w:val="heading 3"/>
    <w:basedOn w:val="Normal"/>
    <w:next w:val="Normal"/>
    <w:link w:val="Heading3Char"/>
    <w:uiPriority w:val="9"/>
    <w:semiHidden/>
    <w:unhideWhenUsed/>
    <w:qFormat/>
    <w:rsid w:val="00B86A4C"/>
    <w:pPr>
      <w:spacing w:before="120" w:after="60" w:line="240" w:lineRule="auto"/>
      <w:contextualSpacing/>
      <w:outlineLvl w:val="2"/>
    </w:pPr>
    <w:rPr>
      <w:rFonts w:asciiTheme="majorHAnsi" w:eastAsiaTheme="majorEastAsia" w:hAnsiTheme="majorHAnsi" w:cstheme="majorBidi"/>
      <w:smallCaps/>
      <w:color w:val="44546A" w:themeColor="text2"/>
      <w:spacing w:val="20"/>
      <w:szCs w:val="24"/>
    </w:rPr>
  </w:style>
  <w:style w:type="paragraph" w:styleId="Heading4">
    <w:name w:val="heading 4"/>
    <w:basedOn w:val="Normal"/>
    <w:next w:val="Normal"/>
    <w:link w:val="Heading4Char"/>
    <w:uiPriority w:val="9"/>
    <w:semiHidden/>
    <w:unhideWhenUsed/>
    <w:qFormat/>
    <w:rsid w:val="00B86A4C"/>
    <w:pPr>
      <w:pBdr>
        <w:bottom w:val="single" w:sz="4" w:space="1" w:color="98A8BD" w:themeColor="text2" w:themeTint="7F"/>
      </w:pBdr>
      <w:spacing w:before="200" w:after="100" w:line="240" w:lineRule="auto"/>
      <w:contextualSpacing/>
      <w:outlineLvl w:val="3"/>
    </w:pPr>
    <w:rPr>
      <w:rFonts w:asciiTheme="majorHAnsi" w:eastAsiaTheme="majorEastAsia" w:hAnsiTheme="majorHAnsi" w:cstheme="majorBidi"/>
      <w:b/>
      <w:bCs/>
      <w:smallCaps/>
      <w:color w:val="657C9C" w:themeColor="text2" w:themeTint="BF"/>
      <w:spacing w:val="20"/>
    </w:rPr>
  </w:style>
  <w:style w:type="paragraph" w:styleId="Heading5">
    <w:name w:val="heading 5"/>
    <w:basedOn w:val="Normal"/>
    <w:next w:val="Normal"/>
    <w:link w:val="Heading5Char"/>
    <w:uiPriority w:val="9"/>
    <w:semiHidden/>
    <w:unhideWhenUsed/>
    <w:qFormat/>
    <w:rsid w:val="00B86A4C"/>
    <w:pPr>
      <w:pBdr>
        <w:bottom w:val="single" w:sz="4" w:space="1" w:color="8496B0" w:themeColor="text2" w:themeTint="99"/>
      </w:pBdr>
      <w:spacing w:before="200" w:after="100" w:line="240" w:lineRule="auto"/>
      <w:contextualSpacing/>
      <w:outlineLvl w:val="4"/>
    </w:pPr>
    <w:rPr>
      <w:rFonts w:asciiTheme="majorHAnsi" w:eastAsiaTheme="majorEastAsia" w:hAnsiTheme="majorHAnsi" w:cstheme="majorBidi"/>
      <w:smallCaps/>
      <w:color w:val="657C9C" w:themeColor="text2" w:themeTint="BF"/>
      <w:spacing w:val="20"/>
    </w:rPr>
  </w:style>
  <w:style w:type="paragraph" w:styleId="Heading6">
    <w:name w:val="heading 6"/>
    <w:basedOn w:val="Normal"/>
    <w:next w:val="Normal"/>
    <w:link w:val="Heading6Char"/>
    <w:uiPriority w:val="9"/>
    <w:semiHidden/>
    <w:unhideWhenUsed/>
    <w:qFormat/>
    <w:rsid w:val="00B86A4C"/>
    <w:pPr>
      <w:pBdr>
        <w:bottom w:val="dotted" w:sz="8" w:space="1" w:color="747070" w:themeColor="background2" w:themeShade="7F"/>
      </w:pBdr>
      <w:spacing w:before="200" w:after="100"/>
      <w:contextualSpacing/>
      <w:outlineLvl w:val="5"/>
    </w:pPr>
    <w:rPr>
      <w:rFonts w:asciiTheme="majorHAnsi" w:eastAsiaTheme="majorEastAsia" w:hAnsiTheme="majorHAnsi" w:cstheme="majorBidi"/>
      <w:smallCaps/>
      <w:color w:val="747070" w:themeColor="background2" w:themeShade="7F"/>
      <w:spacing w:val="20"/>
    </w:rPr>
  </w:style>
  <w:style w:type="paragraph" w:styleId="Heading7">
    <w:name w:val="heading 7"/>
    <w:basedOn w:val="Normal"/>
    <w:next w:val="Normal"/>
    <w:link w:val="Heading7Char"/>
    <w:uiPriority w:val="9"/>
    <w:semiHidden/>
    <w:unhideWhenUsed/>
    <w:qFormat/>
    <w:rsid w:val="00B86A4C"/>
    <w:pPr>
      <w:pBdr>
        <w:bottom w:val="dotted" w:sz="8" w:space="1" w:color="747070" w:themeColor="background2" w:themeShade="7F"/>
      </w:pBdr>
      <w:spacing w:before="200" w:after="100" w:line="240" w:lineRule="auto"/>
      <w:contextualSpacing/>
      <w:outlineLvl w:val="6"/>
    </w:pPr>
    <w:rPr>
      <w:rFonts w:asciiTheme="majorHAnsi" w:eastAsiaTheme="majorEastAsia" w:hAnsiTheme="majorHAnsi" w:cstheme="majorBidi"/>
      <w:b/>
      <w:bCs/>
      <w:smallCaps/>
      <w:color w:val="747070" w:themeColor="background2" w:themeShade="7F"/>
      <w:spacing w:val="20"/>
      <w:sz w:val="16"/>
      <w:szCs w:val="16"/>
    </w:rPr>
  </w:style>
  <w:style w:type="paragraph" w:styleId="Heading8">
    <w:name w:val="heading 8"/>
    <w:basedOn w:val="Normal"/>
    <w:next w:val="Normal"/>
    <w:link w:val="Heading8Char"/>
    <w:uiPriority w:val="9"/>
    <w:semiHidden/>
    <w:unhideWhenUsed/>
    <w:qFormat/>
    <w:rsid w:val="00B86A4C"/>
    <w:pPr>
      <w:spacing w:before="200" w:after="60" w:line="240" w:lineRule="auto"/>
      <w:contextualSpacing/>
      <w:outlineLvl w:val="7"/>
    </w:pPr>
    <w:rPr>
      <w:rFonts w:asciiTheme="majorHAnsi" w:eastAsiaTheme="majorEastAsia" w:hAnsiTheme="majorHAnsi" w:cstheme="majorBidi"/>
      <w:b/>
      <w:smallCaps/>
      <w:color w:val="747070" w:themeColor="background2" w:themeShade="7F"/>
      <w:spacing w:val="20"/>
      <w:sz w:val="16"/>
      <w:szCs w:val="16"/>
    </w:rPr>
  </w:style>
  <w:style w:type="paragraph" w:styleId="Heading9">
    <w:name w:val="heading 9"/>
    <w:basedOn w:val="Normal"/>
    <w:next w:val="Normal"/>
    <w:link w:val="Heading9Char"/>
    <w:uiPriority w:val="9"/>
    <w:semiHidden/>
    <w:unhideWhenUsed/>
    <w:qFormat/>
    <w:rsid w:val="00B86A4C"/>
    <w:pPr>
      <w:spacing w:before="200" w:after="60" w:line="240" w:lineRule="auto"/>
      <w:contextualSpacing/>
      <w:outlineLvl w:val="8"/>
    </w:pPr>
    <w:rPr>
      <w:rFonts w:asciiTheme="majorHAnsi" w:eastAsiaTheme="majorEastAsia" w:hAnsiTheme="majorHAnsi" w:cstheme="majorBidi"/>
      <w:smallCaps/>
      <w:color w:val="747070"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BC6E78"/>
    <w:pPr>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BC6E78"/>
    <w:rPr>
      <w:rFonts w:ascii="Calibri" w:hAnsi="Calibri" w:cs="Calibri"/>
    </w:rPr>
  </w:style>
  <w:style w:type="paragraph" w:customStyle="1" w:styleId="EndNoteBibliography">
    <w:name w:val="EndNote Bibliography"/>
    <w:basedOn w:val="Normal"/>
    <w:link w:val="EndNoteBibliographyChar"/>
    <w:rsid w:val="00BC6E78"/>
    <w:rPr>
      <w:rFonts w:ascii="Calibri" w:hAnsi="Calibri" w:cs="Calibri"/>
    </w:rPr>
  </w:style>
  <w:style w:type="character" w:customStyle="1" w:styleId="EndNoteBibliographyChar">
    <w:name w:val="EndNote Bibliography Char"/>
    <w:basedOn w:val="DefaultParagraphFont"/>
    <w:link w:val="EndNoteBibliography"/>
    <w:rsid w:val="00BC6E78"/>
    <w:rPr>
      <w:rFonts w:ascii="Calibri" w:hAnsi="Calibri" w:cs="Calibri"/>
    </w:rPr>
  </w:style>
  <w:style w:type="paragraph" w:styleId="NormalWeb">
    <w:name w:val="Normal (Web)"/>
    <w:basedOn w:val="Normal"/>
    <w:uiPriority w:val="99"/>
    <w:semiHidden/>
    <w:unhideWhenUsed/>
    <w:rsid w:val="00AA47EC"/>
    <w:pPr>
      <w:spacing w:before="100" w:beforeAutospacing="1" w:after="100" w:afterAutospacing="1"/>
    </w:pPr>
    <w:rPr>
      <w:rFonts w:ascii="Calibri" w:hAnsi="Calibri" w:cs="Calibri"/>
      <w:sz w:val="22"/>
      <w:szCs w:val="22"/>
    </w:rPr>
  </w:style>
  <w:style w:type="table" w:styleId="TableGrid">
    <w:name w:val="Table Grid"/>
    <w:basedOn w:val="TableNormal"/>
    <w:uiPriority w:val="39"/>
    <w:rsid w:val="004050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07765C"/>
  </w:style>
  <w:style w:type="character" w:customStyle="1" w:styleId="Heading1Char">
    <w:name w:val="Heading 1 Char"/>
    <w:basedOn w:val="DefaultParagraphFont"/>
    <w:link w:val="Heading1"/>
    <w:uiPriority w:val="9"/>
    <w:rsid w:val="00B86A4C"/>
    <w:rPr>
      <w:rFonts w:asciiTheme="majorHAnsi" w:eastAsiaTheme="majorEastAsia" w:hAnsiTheme="majorHAnsi" w:cstheme="majorBidi"/>
      <w:smallCaps/>
      <w:color w:val="212934" w:themeColor="text2" w:themeShade="7F"/>
      <w:spacing w:val="20"/>
      <w:sz w:val="32"/>
      <w:szCs w:val="32"/>
    </w:rPr>
  </w:style>
  <w:style w:type="paragraph" w:styleId="BalloonText">
    <w:name w:val="Balloon Text"/>
    <w:basedOn w:val="Normal"/>
    <w:link w:val="BalloonTextChar"/>
    <w:uiPriority w:val="99"/>
    <w:semiHidden/>
    <w:unhideWhenUsed/>
    <w:rsid w:val="000810B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810BE"/>
    <w:rPr>
      <w:rFonts w:ascii="Times New Roman" w:hAnsi="Times New Roman" w:cs="Times New Roman"/>
      <w:sz w:val="18"/>
      <w:szCs w:val="18"/>
    </w:rPr>
  </w:style>
  <w:style w:type="character" w:styleId="Hyperlink">
    <w:name w:val="Hyperlink"/>
    <w:basedOn w:val="DefaultParagraphFont"/>
    <w:uiPriority w:val="99"/>
    <w:unhideWhenUsed/>
    <w:rsid w:val="0006624C"/>
    <w:rPr>
      <w:color w:val="0563C1" w:themeColor="hyperlink"/>
      <w:u w:val="single"/>
    </w:rPr>
  </w:style>
  <w:style w:type="character" w:styleId="UnresolvedMention">
    <w:name w:val="Unresolved Mention"/>
    <w:basedOn w:val="DefaultParagraphFont"/>
    <w:uiPriority w:val="99"/>
    <w:semiHidden/>
    <w:unhideWhenUsed/>
    <w:rsid w:val="0006624C"/>
    <w:rPr>
      <w:color w:val="605E5C"/>
      <w:shd w:val="clear" w:color="auto" w:fill="E1DFDD"/>
    </w:rPr>
  </w:style>
  <w:style w:type="character" w:styleId="FollowedHyperlink">
    <w:name w:val="FollowedHyperlink"/>
    <w:basedOn w:val="DefaultParagraphFont"/>
    <w:uiPriority w:val="99"/>
    <w:semiHidden/>
    <w:unhideWhenUsed/>
    <w:rsid w:val="001D7DE1"/>
    <w:rPr>
      <w:color w:val="954F72" w:themeColor="followedHyperlink"/>
      <w:u w:val="single"/>
    </w:rPr>
  </w:style>
  <w:style w:type="character" w:customStyle="1" w:styleId="identity-handle">
    <w:name w:val="identity-handle"/>
    <w:basedOn w:val="DefaultParagraphFont"/>
    <w:rsid w:val="00AD0B01"/>
  </w:style>
  <w:style w:type="paragraph" w:styleId="Title">
    <w:name w:val="Title"/>
    <w:next w:val="Normal"/>
    <w:link w:val="TitleChar"/>
    <w:uiPriority w:val="10"/>
    <w:qFormat/>
    <w:rsid w:val="00B86A4C"/>
    <w:pPr>
      <w:spacing w:line="240" w:lineRule="auto"/>
      <w:ind w:left="0"/>
      <w:contextualSpacing/>
    </w:pPr>
    <w:rPr>
      <w:rFonts w:asciiTheme="majorHAnsi" w:eastAsiaTheme="majorEastAsia" w:hAnsiTheme="majorHAnsi" w:cstheme="majorBidi"/>
      <w:smallCaps/>
      <w:color w:val="323E4F" w:themeColor="text2" w:themeShade="BF"/>
      <w:spacing w:val="5"/>
      <w:sz w:val="72"/>
      <w:szCs w:val="72"/>
    </w:rPr>
  </w:style>
  <w:style w:type="character" w:customStyle="1" w:styleId="TitleChar">
    <w:name w:val="Title Char"/>
    <w:basedOn w:val="DefaultParagraphFont"/>
    <w:link w:val="Title"/>
    <w:uiPriority w:val="10"/>
    <w:rsid w:val="00B86A4C"/>
    <w:rPr>
      <w:rFonts w:asciiTheme="majorHAnsi" w:eastAsiaTheme="majorEastAsia" w:hAnsiTheme="majorHAnsi" w:cstheme="majorBidi"/>
      <w:smallCaps/>
      <w:color w:val="323E4F" w:themeColor="text2" w:themeShade="BF"/>
      <w:spacing w:val="5"/>
      <w:sz w:val="72"/>
      <w:szCs w:val="72"/>
    </w:rPr>
  </w:style>
  <w:style w:type="paragraph" w:styleId="ListParagraph">
    <w:name w:val="List Paragraph"/>
    <w:basedOn w:val="Normal"/>
    <w:uiPriority w:val="34"/>
    <w:qFormat/>
    <w:rsid w:val="00B86A4C"/>
    <w:pPr>
      <w:ind w:left="720"/>
      <w:contextualSpacing/>
    </w:pPr>
  </w:style>
  <w:style w:type="table" w:styleId="GridTable1Light-Accent1">
    <w:name w:val="Grid Table 1 Light Accent 1"/>
    <w:basedOn w:val="TableNormal"/>
    <w:uiPriority w:val="46"/>
    <w:rsid w:val="009C09BB"/>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B86A4C"/>
    <w:rPr>
      <w:rFonts w:asciiTheme="majorHAnsi" w:eastAsiaTheme="majorEastAsia" w:hAnsiTheme="majorHAnsi" w:cstheme="majorBidi"/>
      <w:smallCaps/>
      <w:color w:val="323E4F" w:themeColor="text2" w:themeShade="BF"/>
      <w:spacing w:val="20"/>
      <w:sz w:val="28"/>
      <w:szCs w:val="28"/>
    </w:rPr>
  </w:style>
  <w:style w:type="paragraph" w:styleId="CommentText">
    <w:name w:val="annotation text"/>
    <w:basedOn w:val="Normal"/>
    <w:link w:val="CommentTextChar"/>
    <w:uiPriority w:val="99"/>
    <w:semiHidden/>
    <w:unhideWhenUsed/>
    <w:rsid w:val="001A5131"/>
  </w:style>
  <w:style w:type="character" w:customStyle="1" w:styleId="CommentTextChar">
    <w:name w:val="Comment Text Char"/>
    <w:basedOn w:val="DefaultParagraphFont"/>
    <w:link w:val="CommentText"/>
    <w:uiPriority w:val="99"/>
    <w:semiHidden/>
    <w:rsid w:val="001A5131"/>
    <w:rPr>
      <w:sz w:val="20"/>
      <w:szCs w:val="20"/>
    </w:rPr>
  </w:style>
  <w:style w:type="character" w:styleId="CommentReference">
    <w:name w:val="annotation reference"/>
    <w:basedOn w:val="DefaultParagraphFont"/>
    <w:uiPriority w:val="99"/>
    <w:semiHidden/>
    <w:unhideWhenUsed/>
    <w:rsid w:val="001A5131"/>
    <w:rPr>
      <w:sz w:val="16"/>
      <w:szCs w:val="16"/>
    </w:rPr>
  </w:style>
  <w:style w:type="paragraph" w:styleId="Header">
    <w:name w:val="header"/>
    <w:basedOn w:val="Normal"/>
    <w:link w:val="HeaderChar"/>
    <w:uiPriority w:val="99"/>
    <w:unhideWhenUsed/>
    <w:rsid w:val="00370DE2"/>
    <w:pPr>
      <w:tabs>
        <w:tab w:val="center" w:pos="4680"/>
        <w:tab w:val="right" w:pos="9360"/>
      </w:tabs>
    </w:pPr>
  </w:style>
  <w:style w:type="character" w:customStyle="1" w:styleId="HeaderChar">
    <w:name w:val="Header Char"/>
    <w:basedOn w:val="DefaultParagraphFont"/>
    <w:link w:val="Header"/>
    <w:uiPriority w:val="99"/>
    <w:rsid w:val="00370DE2"/>
  </w:style>
  <w:style w:type="paragraph" w:styleId="Footer">
    <w:name w:val="footer"/>
    <w:basedOn w:val="Normal"/>
    <w:link w:val="FooterChar"/>
    <w:uiPriority w:val="99"/>
    <w:unhideWhenUsed/>
    <w:rsid w:val="00370DE2"/>
    <w:pPr>
      <w:tabs>
        <w:tab w:val="center" w:pos="4680"/>
        <w:tab w:val="right" w:pos="9360"/>
      </w:tabs>
    </w:pPr>
  </w:style>
  <w:style w:type="character" w:customStyle="1" w:styleId="FooterChar">
    <w:name w:val="Footer Char"/>
    <w:basedOn w:val="DefaultParagraphFont"/>
    <w:link w:val="Footer"/>
    <w:uiPriority w:val="99"/>
    <w:rsid w:val="00370DE2"/>
  </w:style>
  <w:style w:type="character" w:styleId="PageNumber">
    <w:name w:val="page number"/>
    <w:basedOn w:val="DefaultParagraphFont"/>
    <w:uiPriority w:val="99"/>
    <w:semiHidden/>
    <w:unhideWhenUsed/>
    <w:rsid w:val="00F958E0"/>
  </w:style>
  <w:style w:type="character" w:customStyle="1" w:styleId="Heading3Char">
    <w:name w:val="Heading 3 Char"/>
    <w:basedOn w:val="DefaultParagraphFont"/>
    <w:link w:val="Heading3"/>
    <w:uiPriority w:val="9"/>
    <w:semiHidden/>
    <w:rsid w:val="00B86A4C"/>
    <w:rPr>
      <w:rFonts w:asciiTheme="majorHAnsi" w:eastAsiaTheme="majorEastAsia" w:hAnsiTheme="majorHAnsi" w:cstheme="majorBidi"/>
      <w:smallCaps/>
      <w:color w:val="44546A" w:themeColor="text2"/>
      <w:spacing w:val="20"/>
      <w:sz w:val="24"/>
      <w:szCs w:val="24"/>
    </w:rPr>
  </w:style>
  <w:style w:type="character" w:customStyle="1" w:styleId="Heading4Char">
    <w:name w:val="Heading 4 Char"/>
    <w:basedOn w:val="DefaultParagraphFont"/>
    <w:link w:val="Heading4"/>
    <w:uiPriority w:val="9"/>
    <w:semiHidden/>
    <w:rsid w:val="00B86A4C"/>
    <w:rPr>
      <w:rFonts w:asciiTheme="majorHAnsi" w:eastAsiaTheme="majorEastAsia" w:hAnsiTheme="majorHAnsi" w:cstheme="majorBidi"/>
      <w:b/>
      <w:bCs/>
      <w:smallCaps/>
      <w:color w:val="657C9C" w:themeColor="text2" w:themeTint="BF"/>
      <w:spacing w:val="20"/>
    </w:rPr>
  </w:style>
  <w:style w:type="character" w:customStyle="1" w:styleId="Heading5Char">
    <w:name w:val="Heading 5 Char"/>
    <w:basedOn w:val="DefaultParagraphFont"/>
    <w:link w:val="Heading5"/>
    <w:uiPriority w:val="9"/>
    <w:semiHidden/>
    <w:rsid w:val="00B86A4C"/>
    <w:rPr>
      <w:rFonts w:asciiTheme="majorHAnsi" w:eastAsiaTheme="majorEastAsia" w:hAnsiTheme="majorHAnsi" w:cstheme="majorBidi"/>
      <w:smallCaps/>
      <w:color w:val="657C9C" w:themeColor="text2" w:themeTint="BF"/>
      <w:spacing w:val="20"/>
    </w:rPr>
  </w:style>
  <w:style w:type="character" w:customStyle="1" w:styleId="Heading6Char">
    <w:name w:val="Heading 6 Char"/>
    <w:basedOn w:val="DefaultParagraphFont"/>
    <w:link w:val="Heading6"/>
    <w:uiPriority w:val="9"/>
    <w:semiHidden/>
    <w:rsid w:val="00B86A4C"/>
    <w:rPr>
      <w:rFonts w:asciiTheme="majorHAnsi" w:eastAsiaTheme="majorEastAsia" w:hAnsiTheme="majorHAnsi" w:cstheme="majorBidi"/>
      <w:smallCaps/>
      <w:color w:val="747070" w:themeColor="background2" w:themeShade="7F"/>
      <w:spacing w:val="20"/>
    </w:rPr>
  </w:style>
  <w:style w:type="character" w:customStyle="1" w:styleId="Heading7Char">
    <w:name w:val="Heading 7 Char"/>
    <w:basedOn w:val="DefaultParagraphFont"/>
    <w:link w:val="Heading7"/>
    <w:uiPriority w:val="9"/>
    <w:semiHidden/>
    <w:rsid w:val="00B86A4C"/>
    <w:rPr>
      <w:rFonts w:asciiTheme="majorHAnsi" w:eastAsiaTheme="majorEastAsia" w:hAnsiTheme="majorHAnsi" w:cstheme="majorBidi"/>
      <w:b/>
      <w:bCs/>
      <w:smallCaps/>
      <w:color w:val="747070" w:themeColor="background2" w:themeShade="7F"/>
      <w:spacing w:val="20"/>
      <w:sz w:val="16"/>
      <w:szCs w:val="16"/>
    </w:rPr>
  </w:style>
  <w:style w:type="character" w:customStyle="1" w:styleId="Heading8Char">
    <w:name w:val="Heading 8 Char"/>
    <w:basedOn w:val="DefaultParagraphFont"/>
    <w:link w:val="Heading8"/>
    <w:uiPriority w:val="9"/>
    <w:semiHidden/>
    <w:rsid w:val="00B86A4C"/>
    <w:rPr>
      <w:rFonts w:asciiTheme="majorHAnsi" w:eastAsiaTheme="majorEastAsia" w:hAnsiTheme="majorHAnsi" w:cstheme="majorBidi"/>
      <w:b/>
      <w:smallCaps/>
      <w:color w:val="747070" w:themeColor="background2" w:themeShade="7F"/>
      <w:spacing w:val="20"/>
      <w:sz w:val="16"/>
      <w:szCs w:val="16"/>
    </w:rPr>
  </w:style>
  <w:style w:type="character" w:customStyle="1" w:styleId="Heading9Char">
    <w:name w:val="Heading 9 Char"/>
    <w:basedOn w:val="DefaultParagraphFont"/>
    <w:link w:val="Heading9"/>
    <w:uiPriority w:val="9"/>
    <w:semiHidden/>
    <w:rsid w:val="00B86A4C"/>
    <w:rPr>
      <w:rFonts w:asciiTheme="majorHAnsi" w:eastAsiaTheme="majorEastAsia" w:hAnsiTheme="majorHAnsi" w:cstheme="majorBidi"/>
      <w:smallCaps/>
      <w:color w:val="747070" w:themeColor="background2" w:themeShade="7F"/>
      <w:spacing w:val="20"/>
      <w:sz w:val="16"/>
      <w:szCs w:val="16"/>
    </w:rPr>
  </w:style>
  <w:style w:type="paragraph" w:styleId="Caption">
    <w:name w:val="caption"/>
    <w:basedOn w:val="Normal"/>
    <w:next w:val="Normal"/>
    <w:uiPriority w:val="35"/>
    <w:semiHidden/>
    <w:unhideWhenUsed/>
    <w:qFormat/>
    <w:rsid w:val="00B86A4C"/>
    <w:rPr>
      <w:b/>
      <w:bCs/>
      <w:smallCaps/>
      <w:color w:val="44546A" w:themeColor="text2"/>
      <w:spacing w:val="10"/>
      <w:sz w:val="18"/>
      <w:szCs w:val="18"/>
    </w:rPr>
  </w:style>
  <w:style w:type="paragraph" w:styleId="Subtitle">
    <w:name w:val="Subtitle"/>
    <w:next w:val="Normal"/>
    <w:link w:val="SubtitleChar"/>
    <w:uiPriority w:val="11"/>
    <w:qFormat/>
    <w:rsid w:val="00B86A4C"/>
    <w:pPr>
      <w:spacing w:after="600" w:line="240" w:lineRule="auto"/>
      <w:ind w:left="0"/>
    </w:pPr>
    <w:rPr>
      <w:smallCaps/>
      <w:color w:val="747070" w:themeColor="background2" w:themeShade="7F"/>
      <w:spacing w:val="5"/>
      <w:sz w:val="28"/>
      <w:szCs w:val="28"/>
    </w:rPr>
  </w:style>
  <w:style w:type="character" w:customStyle="1" w:styleId="SubtitleChar">
    <w:name w:val="Subtitle Char"/>
    <w:basedOn w:val="DefaultParagraphFont"/>
    <w:link w:val="Subtitle"/>
    <w:uiPriority w:val="11"/>
    <w:rsid w:val="00B86A4C"/>
    <w:rPr>
      <w:smallCaps/>
      <w:color w:val="747070" w:themeColor="background2" w:themeShade="7F"/>
      <w:spacing w:val="5"/>
      <w:sz w:val="28"/>
      <w:szCs w:val="28"/>
    </w:rPr>
  </w:style>
  <w:style w:type="character" w:styleId="Strong">
    <w:name w:val="Strong"/>
    <w:uiPriority w:val="22"/>
    <w:qFormat/>
    <w:rsid w:val="00B86A4C"/>
    <w:rPr>
      <w:b/>
      <w:bCs/>
      <w:spacing w:val="0"/>
    </w:rPr>
  </w:style>
  <w:style w:type="character" w:styleId="Emphasis">
    <w:name w:val="Emphasis"/>
    <w:uiPriority w:val="20"/>
    <w:qFormat/>
    <w:rsid w:val="00B86A4C"/>
    <w:rPr>
      <w:b/>
      <w:bCs/>
      <w:smallCaps/>
      <w:dstrike w:val="0"/>
      <w:color w:val="5A5A5A" w:themeColor="text1" w:themeTint="A5"/>
      <w:spacing w:val="20"/>
      <w:kern w:val="0"/>
      <w:vertAlign w:val="baseline"/>
    </w:rPr>
  </w:style>
  <w:style w:type="paragraph" w:styleId="NoSpacing">
    <w:name w:val="No Spacing"/>
    <w:basedOn w:val="Normal"/>
    <w:uiPriority w:val="1"/>
    <w:qFormat/>
    <w:rsid w:val="00B86A4C"/>
    <w:pPr>
      <w:spacing w:after="0" w:line="240" w:lineRule="auto"/>
    </w:pPr>
  </w:style>
  <w:style w:type="paragraph" w:styleId="Quote">
    <w:name w:val="Quote"/>
    <w:basedOn w:val="Normal"/>
    <w:next w:val="Normal"/>
    <w:link w:val="QuoteChar"/>
    <w:uiPriority w:val="29"/>
    <w:qFormat/>
    <w:rsid w:val="00B86A4C"/>
    <w:rPr>
      <w:i/>
      <w:iCs/>
    </w:rPr>
  </w:style>
  <w:style w:type="character" w:customStyle="1" w:styleId="QuoteChar">
    <w:name w:val="Quote Char"/>
    <w:basedOn w:val="DefaultParagraphFont"/>
    <w:link w:val="Quote"/>
    <w:uiPriority w:val="29"/>
    <w:rsid w:val="00B86A4C"/>
    <w:rPr>
      <w:i/>
      <w:iCs/>
      <w:color w:val="5A5A5A" w:themeColor="text1" w:themeTint="A5"/>
    </w:rPr>
  </w:style>
  <w:style w:type="paragraph" w:styleId="IntenseQuote">
    <w:name w:val="Intense Quote"/>
    <w:basedOn w:val="Normal"/>
    <w:next w:val="Normal"/>
    <w:link w:val="IntenseQuoteChar"/>
    <w:uiPriority w:val="30"/>
    <w:qFormat/>
    <w:rsid w:val="00B86A4C"/>
    <w:pPr>
      <w:pBdr>
        <w:top w:val="single" w:sz="4" w:space="12" w:color="7295D2" w:themeColor="accent1" w:themeTint="BF"/>
        <w:left w:val="single" w:sz="4" w:space="15" w:color="7295D2" w:themeColor="accent1" w:themeTint="BF"/>
        <w:bottom w:val="single" w:sz="12" w:space="10" w:color="2F5496" w:themeColor="accent1" w:themeShade="BF"/>
        <w:right w:val="single" w:sz="12" w:space="15" w:color="2F5496" w:themeColor="accent1" w:themeShade="BF"/>
        <w:between w:val="single" w:sz="4" w:space="12" w:color="7295D2" w:themeColor="accent1" w:themeTint="BF"/>
        <w:bar w:val="single" w:sz="4" w:color="7295D2" w:themeColor="accent1" w:themeTint="BF"/>
      </w:pBdr>
      <w:spacing w:line="300" w:lineRule="auto"/>
      <w:ind w:left="2506" w:right="432"/>
    </w:pPr>
    <w:rPr>
      <w:rFonts w:asciiTheme="majorHAnsi" w:eastAsiaTheme="majorEastAsia" w:hAnsiTheme="majorHAnsi" w:cstheme="majorBidi"/>
      <w:smallCaps/>
      <w:color w:val="2F5496" w:themeColor="accent1" w:themeShade="BF"/>
    </w:rPr>
  </w:style>
  <w:style w:type="character" w:customStyle="1" w:styleId="IntenseQuoteChar">
    <w:name w:val="Intense Quote Char"/>
    <w:basedOn w:val="DefaultParagraphFont"/>
    <w:link w:val="IntenseQuote"/>
    <w:uiPriority w:val="30"/>
    <w:rsid w:val="00B86A4C"/>
    <w:rPr>
      <w:rFonts w:asciiTheme="majorHAnsi" w:eastAsiaTheme="majorEastAsia" w:hAnsiTheme="majorHAnsi" w:cstheme="majorBidi"/>
      <w:smallCaps/>
      <w:color w:val="2F5496" w:themeColor="accent1" w:themeShade="BF"/>
    </w:rPr>
  </w:style>
  <w:style w:type="character" w:styleId="SubtleEmphasis">
    <w:name w:val="Subtle Emphasis"/>
    <w:uiPriority w:val="19"/>
    <w:qFormat/>
    <w:rsid w:val="00B86A4C"/>
    <w:rPr>
      <w:smallCaps/>
      <w:dstrike w:val="0"/>
      <w:color w:val="5A5A5A" w:themeColor="text1" w:themeTint="A5"/>
      <w:vertAlign w:val="baseline"/>
    </w:rPr>
  </w:style>
  <w:style w:type="character" w:styleId="IntenseEmphasis">
    <w:name w:val="Intense Emphasis"/>
    <w:uiPriority w:val="21"/>
    <w:qFormat/>
    <w:rsid w:val="00B86A4C"/>
    <w:rPr>
      <w:b/>
      <w:bCs/>
      <w:smallCaps/>
      <w:color w:val="4472C4" w:themeColor="accent1"/>
      <w:spacing w:val="40"/>
    </w:rPr>
  </w:style>
  <w:style w:type="character" w:styleId="SubtleReference">
    <w:name w:val="Subtle Reference"/>
    <w:uiPriority w:val="31"/>
    <w:qFormat/>
    <w:rsid w:val="00B86A4C"/>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B86A4C"/>
    <w:rPr>
      <w:rFonts w:asciiTheme="majorHAnsi" w:eastAsiaTheme="majorEastAsia" w:hAnsiTheme="majorHAnsi" w:cstheme="majorBidi"/>
      <w:b/>
      <w:bCs/>
      <w:i/>
      <w:iCs/>
      <w:smallCaps/>
      <w:color w:val="323E4F" w:themeColor="text2" w:themeShade="BF"/>
      <w:spacing w:val="20"/>
    </w:rPr>
  </w:style>
  <w:style w:type="character" w:styleId="BookTitle">
    <w:name w:val="Book Title"/>
    <w:uiPriority w:val="33"/>
    <w:qFormat/>
    <w:rsid w:val="00B86A4C"/>
    <w:rPr>
      <w:rFonts w:asciiTheme="majorHAnsi" w:eastAsiaTheme="majorEastAsia" w:hAnsiTheme="majorHAnsi" w:cstheme="majorBidi"/>
      <w:b/>
      <w:bCs/>
      <w:smallCaps/>
      <w:color w:val="323E4F" w:themeColor="text2" w:themeShade="BF"/>
      <w:spacing w:val="10"/>
      <w:u w:val="single"/>
    </w:rPr>
  </w:style>
  <w:style w:type="paragraph" w:styleId="TOCHeading">
    <w:name w:val="TOC Heading"/>
    <w:basedOn w:val="Heading1"/>
    <w:next w:val="Normal"/>
    <w:uiPriority w:val="39"/>
    <w:semiHidden/>
    <w:unhideWhenUsed/>
    <w:qFormat/>
    <w:rsid w:val="00B86A4C"/>
    <w:pPr>
      <w:outlineLvl w:val="9"/>
    </w:pPr>
  </w:style>
  <w:style w:type="paragraph" w:styleId="Revision">
    <w:name w:val="Revision"/>
    <w:hidden/>
    <w:uiPriority w:val="99"/>
    <w:semiHidden/>
    <w:rsid w:val="00873177"/>
    <w:pPr>
      <w:spacing w:after="0" w:line="240" w:lineRule="auto"/>
      <w:ind w:left="0"/>
    </w:pPr>
    <w:rPr>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206522">
      <w:bodyDiv w:val="1"/>
      <w:marLeft w:val="0"/>
      <w:marRight w:val="0"/>
      <w:marTop w:val="0"/>
      <w:marBottom w:val="0"/>
      <w:divBdr>
        <w:top w:val="none" w:sz="0" w:space="0" w:color="auto"/>
        <w:left w:val="none" w:sz="0" w:space="0" w:color="auto"/>
        <w:bottom w:val="none" w:sz="0" w:space="0" w:color="auto"/>
        <w:right w:val="none" w:sz="0" w:space="0" w:color="auto"/>
      </w:divBdr>
      <w:divsChild>
        <w:div w:id="144051077">
          <w:marLeft w:val="0"/>
          <w:marRight w:val="0"/>
          <w:marTop w:val="0"/>
          <w:marBottom w:val="45"/>
          <w:divBdr>
            <w:top w:val="none" w:sz="0" w:space="0" w:color="auto"/>
            <w:left w:val="none" w:sz="0" w:space="0" w:color="auto"/>
            <w:bottom w:val="none" w:sz="0" w:space="0" w:color="auto"/>
            <w:right w:val="none" w:sz="0" w:space="0" w:color="auto"/>
          </w:divBdr>
          <w:divsChild>
            <w:div w:id="2034723127">
              <w:marLeft w:val="0"/>
              <w:marRight w:val="0"/>
              <w:marTop w:val="0"/>
              <w:marBottom w:val="0"/>
              <w:divBdr>
                <w:top w:val="none" w:sz="0" w:space="0" w:color="auto"/>
                <w:left w:val="none" w:sz="0" w:space="0" w:color="auto"/>
                <w:bottom w:val="none" w:sz="0" w:space="0" w:color="auto"/>
                <w:right w:val="none" w:sz="0" w:space="0" w:color="auto"/>
              </w:divBdr>
            </w:div>
          </w:divsChild>
        </w:div>
        <w:div w:id="1866097291">
          <w:marLeft w:val="0"/>
          <w:marRight w:val="0"/>
          <w:marTop w:val="0"/>
          <w:marBottom w:val="0"/>
          <w:divBdr>
            <w:top w:val="none" w:sz="0" w:space="0" w:color="auto"/>
            <w:left w:val="none" w:sz="0" w:space="0" w:color="auto"/>
            <w:bottom w:val="none" w:sz="0" w:space="0" w:color="auto"/>
            <w:right w:val="none" w:sz="0" w:space="0" w:color="auto"/>
          </w:divBdr>
        </w:div>
      </w:divsChild>
    </w:div>
    <w:div w:id="83503118">
      <w:bodyDiv w:val="1"/>
      <w:marLeft w:val="0"/>
      <w:marRight w:val="0"/>
      <w:marTop w:val="0"/>
      <w:marBottom w:val="0"/>
      <w:divBdr>
        <w:top w:val="none" w:sz="0" w:space="0" w:color="auto"/>
        <w:left w:val="none" w:sz="0" w:space="0" w:color="auto"/>
        <w:bottom w:val="none" w:sz="0" w:space="0" w:color="auto"/>
        <w:right w:val="none" w:sz="0" w:space="0" w:color="auto"/>
      </w:divBdr>
    </w:div>
    <w:div w:id="212431632">
      <w:bodyDiv w:val="1"/>
      <w:marLeft w:val="0"/>
      <w:marRight w:val="0"/>
      <w:marTop w:val="0"/>
      <w:marBottom w:val="0"/>
      <w:divBdr>
        <w:top w:val="none" w:sz="0" w:space="0" w:color="auto"/>
        <w:left w:val="none" w:sz="0" w:space="0" w:color="auto"/>
        <w:bottom w:val="none" w:sz="0" w:space="0" w:color="auto"/>
        <w:right w:val="none" w:sz="0" w:space="0" w:color="auto"/>
      </w:divBdr>
    </w:div>
    <w:div w:id="660816663">
      <w:bodyDiv w:val="1"/>
      <w:marLeft w:val="0"/>
      <w:marRight w:val="0"/>
      <w:marTop w:val="0"/>
      <w:marBottom w:val="0"/>
      <w:divBdr>
        <w:top w:val="none" w:sz="0" w:space="0" w:color="auto"/>
        <w:left w:val="none" w:sz="0" w:space="0" w:color="auto"/>
        <w:bottom w:val="none" w:sz="0" w:space="0" w:color="auto"/>
        <w:right w:val="none" w:sz="0" w:space="0" w:color="auto"/>
      </w:divBdr>
    </w:div>
    <w:div w:id="1186555498">
      <w:bodyDiv w:val="1"/>
      <w:marLeft w:val="0"/>
      <w:marRight w:val="0"/>
      <w:marTop w:val="0"/>
      <w:marBottom w:val="0"/>
      <w:divBdr>
        <w:top w:val="none" w:sz="0" w:space="0" w:color="auto"/>
        <w:left w:val="none" w:sz="0" w:space="0" w:color="auto"/>
        <w:bottom w:val="none" w:sz="0" w:space="0" w:color="auto"/>
        <w:right w:val="none" w:sz="0" w:space="0" w:color="auto"/>
      </w:divBdr>
    </w:div>
    <w:div w:id="1246526418">
      <w:bodyDiv w:val="1"/>
      <w:marLeft w:val="0"/>
      <w:marRight w:val="0"/>
      <w:marTop w:val="0"/>
      <w:marBottom w:val="0"/>
      <w:divBdr>
        <w:top w:val="none" w:sz="0" w:space="0" w:color="auto"/>
        <w:left w:val="none" w:sz="0" w:space="0" w:color="auto"/>
        <w:bottom w:val="none" w:sz="0" w:space="0" w:color="auto"/>
        <w:right w:val="none" w:sz="0" w:space="0" w:color="auto"/>
      </w:divBdr>
    </w:div>
    <w:div w:id="1675835589">
      <w:bodyDiv w:val="1"/>
      <w:marLeft w:val="0"/>
      <w:marRight w:val="0"/>
      <w:marTop w:val="0"/>
      <w:marBottom w:val="0"/>
      <w:divBdr>
        <w:top w:val="none" w:sz="0" w:space="0" w:color="auto"/>
        <w:left w:val="none" w:sz="0" w:space="0" w:color="auto"/>
        <w:bottom w:val="none" w:sz="0" w:space="0" w:color="auto"/>
        <w:right w:val="none" w:sz="0" w:space="0" w:color="auto"/>
      </w:divBdr>
    </w:div>
    <w:div w:id="1910463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hart@amgen.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803C8-76CC-7448-B50C-542BA6FD7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4406</Words>
  <Characters>25115</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Coffman, Jon</dc:creator>
  <cp:keywords/>
  <dc:description/>
  <cp:lastModifiedBy>Coffman, Jon</cp:lastModifiedBy>
  <cp:revision>2</cp:revision>
  <cp:lastPrinted>2020-08-30T19:28:00Z</cp:lastPrinted>
  <dcterms:created xsi:type="dcterms:W3CDTF">2020-09-06T10:05:00Z</dcterms:created>
  <dcterms:modified xsi:type="dcterms:W3CDTF">2020-09-06T10:05:00Z</dcterms:modified>
</cp:coreProperties>
</file>