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5653DF25" w:rsidR="00C94563" w:rsidRDefault="000072BA" w:rsidP="00C94563">
      <w:pPr>
        <w:pStyle w:val="Title"/>
      </w:pPr>
      <w:r>
        <w:t>The</w:t>
      </w:r>
      <w:r w:rsidR="00C94563">
        <w:t xml:space="preserve"> </w:t>
      </w:r>
      <w:r>
        <w:t xml:space="preserve">Design Basis for </w:t>
      </w:r>
      <w:r w:rsidR="00DF0F68">
        <w:t xml:space="preserve">the Common Framework for </w:t>
      </w:r>
      <w:r w:rsidR="00C94563">
        <w:t xml:space="preserve">Integrated and Continuous </w:t>
      </w:r>
      <w:r w:rsidR="00DF0F68">
        <w:t>Biop</w:t>
      </w:r>
      <w:r w:rsidR="00C94563">
        <w:t>rocessing</w:t>
      </w:r>
    </w:p>
    <w:p w14:paraId="7A8A92BB" w14:textId="17D78491" w:rsidR="00C94563" w:rsidRDefault="00C94563" w:rsidP="004B47B5">
      <w:pPr>
        <w:spacing w:line="480" w:lineRule="auto"/>
      </w:pPr>
      <w:r>
        <w:t>© 2020 AstraZeneca</w:t>
      </w:r>
    </w:p>
    <w:p w14:paraId="60041BB0" w14:textId="5285ECD0" w:rsidR="00C94563" w:rsidRDefault="3A96757D" w:rsidP="004B47B5">
      <w:pPr>
        <w:spacing w:line="480" w:lineRule="auto"/>
      </w:pPr>
      <w:r>
        <w:t xml:space="preserve">Jon Coffman, Nicholas </w:t>
      </w:r>
      <w:proofErr w:type="spellStart"/>
      <w:r>
        <w:t>Guros</w:t>
      </w:r>
      <w:proofErr w:type="spellEnd"/>
      <w:r>
        <w:t xml:space="preserve">, Rick Lu, </w:t>
      </w:r>
      <w:proofErr w:type="spellStart"/>
      <w:r>
        <w:t>Ujwal</w:t>
      </w:r>
      <w:proofErr w:type="spellEnd"/>
      <w:r>
        <w:t xml:space="preserve"> Patil</w:t>
      </w:r>
      <w:r w:rsidR="00476A7F">
        <w:t>,</w:t>
      </w:r>
      <w:r>
        <w:t xml:space="preserve"> Steve Rose</w:t>
      </w:r>
      <w:r w:rsidR="00294F3E">
        <w:t>, Mark Brower</w:t>
      </w:r>
      <w:r w:rsidR="00044BDE">
        <w:t>*</w:t>
      </w:r>
    </w:p>
    <w:p w14:paraId="76DAD34E" w14:textId="5AB3A19A" w:rsidR="00044BDE" w:rsidRDefault="00044BDE" w:rsidP="004B47B5">
      <w:pPr>
        <w:spacing w:line="480" w:lineRule="auto"/>
      </w:pPr>
      <w:r>
        <w:t xml:space="preserve">*Merck and Company, </w:t>
      </w:r>
      <w:proofErr w:type="spellStart"/>
      <w:r>
        <w:t>Kennilworth</w:t>
      </w:r>
      <w:proofErr w:type="spellEnd"/>
      <w:r>
        <w:t>, NJ</w:t>
      </w:r>
    </w:p>
    <w:p w14:paraId="2B564706" w14:textId="4EC54AD0" w:rsidR="000072BA" w:rsidRPr="004F03CB" w:rsidRDefault="009F1E2D" w:rsidP="004F03CB">
      <w:pPr>
        <w:pStyle w:val="Heading1"/>
      </w:pPr>
      <w:r>
        <w:t>Abstract</w:t>
      </w:r>
    </w:p>
    <w:p w14:paraId="0D95912B" w14:textId="38A4A66C" w:rsidR="007F08AD" w:rsidRDefault="4C852D9A" w:rsidP="004B47B5">
      <w:pPr>
        <w:spacing w:line="480" w:lineRule="auto"/>
      </w:pPr>
      <w:r>
        <w:t xml:space="preserve">An 8-ton per year manufacturing facility is described based on the framework for integrated and continuous bioprocessing (ICB) common to all known biopharmaceutical implementations. While the output of this plant rivals some of the largest fed-batch plants in the world, the equipment inside the plant is relatively small: the plant consists of four 2,000L single use bioreactors and has a maximum flow rate of 13 L/min.  The equipment and facility for the ICB framework is described in sufficient detail to allow biopharmaceutical companies, vendors, contract manufacturers to build or buy their own systems. The design will allow the creation of a global ICB ecosystem that will transform biopharmaceutical manufacturing. </w:t>
      </w:r>
    </w:p>
    <w:p w14:paraId="479286F7" w14:textId="272C13C6" w:rsidR="5D61067A" w:rsidRDefault="00B44B16" w:rsidP="004B47B5">
      <w:pPr>
        <w:spacing w:before="120" w:after="120" w:line="480" w:lineRule="auto"/>
      </w:pPr>
      <w:r>
        <w:t xml:space="preserve">The design is fully backwards compatible with legacy fed-batch processes.  </w:t>
      </w:r>
      <w:r w:rsidR="00547B45">
        <w:t>A clinical production scale is described that can produce smaller batch sizes with the same equipment</w:t>
      </w:r>
      <w:r>
        <w:t xml:space="preserve"> as that used at the commercial scale</w:t>
      </w:r>
      <w:r w:rsidR="00547B45">
        <w:t xml:space="preserve">. </w:t>
      </w:r>
      <w:r w:rsidR="000940BF">
        <w:t xml:space="preserve">The design described allows the production of as little as 100g/day to nearly 40kg per day. </w:t>
      </w:r>
    </w:p>
    <w:p w14:paraId="557951F5" w14:textId="76AE567A" w:rsidR="00FB7E8C" w:rsidRDefault="00CF3C52" w:rsidP="00F34CAC">
      <w:pPr>
        <w:pStyle w:val="Heading1"/>
        <w:rPr>
          <w:rFonts w:eastAsia="Times New Roman"/>
        </w:rPr>
      </w:pPr>
      <w:r>
        <w:rPr>
          <w:rFonts w:eastAsia="Times New Roman"/>
        </w:rPr>
        <w:lastRenderedPageBreak/>
        <w:t>Introduction</w:t>
      </w:r>
    </w:p>
    <w:p w14:paraId="19388FF7" w14:textId="5259AF83" w:rsidR="00F34CAC" w:rsidRDefault="00F34CAC" w:rsidP="004B47B5">
      <w:pPr>
        <w:spacing w:line="480" w:lineRule="auto"/>
      </w:pPr>
      <w:r>
        <w:t xml:space="preserve">Many </w:t>
      </w:r>
      <w:r w:rsidR="00B44B16">
        <w:t xml:space="preserve">biopharmaceutical companies </w:t>
      </w:r>
      <w:r>
        <w:t xml:space="preserve">are investigating the next generation of </w:t>
      </w:r>
      <w:r w:rsidR="00E45AE0">
        <w:t xml:space="preserve">biologics </w:t>
      </w:r>
      <w:r>
        <w:t xml:space="preserve">manufacturing by developing integrated and continuous bioprocessing (ICB).  </w:t>
      </w:r>
      <w:r w:rsidR="00EB4A0D">
        <w:t>A</w:t>
      </w:r>
      <w:r w:rsidR="00855C50">
        <w:t xml:space="preserve"> seen in the companion article, a</w:t>
      </w:r>
      <w:r w:rsidR="00EB4A0D">
        <w:t xml:space="preserve"> common framework for ICB exists that would enable</w:t>
      </w:r>
      <w:r w:rsidR="00D12170">
        <w:t xml:space="preserve"> most, if not all, ICB processes currently being implemented. It can be implemented in a staged approach in new facilities. </w:t>
      </w:r>
    </w:p>
    <w:p w14:paraId="5B5EF9E9" w14:textId="45B86988" w:rsidR="00AA0FAB" w:rsidRDefault="00F34CAC" w:rsidP="004B47B5">
      <w:pPr>
        <w:spacing w:line="480" w:lineRule="auto"/>
      </w:pPr>
      <w:r>
        <w:t xml:space="preserve">The </w:t>
      </w:r>
      <w:r w:rsidR="00B44B16">
        <w:t xml:space="preserve">plant and equipment </w:t>
      </w:r>
      <w:r>
        <w:t>design</w:t>
      </w:r>
      <w:r w:rsidR="00FD4D66">
        <w:t>s</w:t>
      </w:r>
      <w:r>
        <w:t xml:space="preserve"> described </w:t>
      </w:r>
      <w:r w:rsidR="00B44B16">
        <w:t>here can produce</w:t>
      </w:r>
      <w:r>
        <w:t xml:space="preserve"> quantities of recombinant proteins that would satisfy any market need.</w:t>
      </w:r>
      <w:r w:rsidR="00FD4D66">
        <w:t xml:space="preserve"> </w:t>
      </w:r>
      <w:r w:rsidR="00B44B16">
        <w:t xml:space="preserve"> Very few products require over 1 ton of material per year</w:t>
      </w:r>
      <w:r w:rsidR="00855C50">
        <w:t xml:space="preserve"> </w:t>
      </w:r>
      <w:r w:rsidR="00855C50">
        <w:fldChar w:fldCharType="begin"/>
      </w:r>
      <w:r w:rsidR="004B47B5">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855C50">
        <w:fldChar w:fldCharType="separate"/>
      </w:r>
      <w:r w:rsidR="004B47B5">
        <w:rPr>
          <w:noProof/>
        </w:rPr>
        <w:t>(Kelley, 2009)</w:t>
      </w:r>
      <w:r w:rsidR="00855C50">
        <w:fldChar w:fldCharType="end"/>
      </w:r>
      <w:r w:rsidR="00732DB8">
        <w:t>;</w:t>
      </w:r>
      <w:r w:rsidR="00B44B16">
        <w:t xml:space="preserve"> </w:t>
      </w:r>
      <w:r w:rsidR="00732DB8">
        <w:t>t</w:t>
      </w:r>
      <w:r w:rsidR="00B44B16">
        <w:t>he</w:t>
      </w:r>
      <w:r w:rsidR="00732DB8">
        <w:t xml:space="preserve"> framework design is capable of </w:t>
      </w:r>
      <w:r w:rsidR="00855C50">
        <w:t>8</w:t>
      </w:r>
      <w:r w:rsidR="00732DB8">
        <w:t xml:space="preserve"> tons per year</w:t>
      </w:r>
      <w:r w:rsidR="00AA0FAB">
        <w:t xml:space="preserve">. </w:t>
      </w:r>
    </w:p>
    <w:p w14:paraId="2FE641AB" w14:textId="6428E274" w:rsidR="00083D20" w:rsidRDefault="4C852D9A">
      <w:pPr>
        <w:spacing w:line="480" w:lineRule="auto"/>
      </w:pPr>
      <w:r>
        <w:t>The examples</w:t>
      </w:r>
      <w:r w:rsidR="00F17385">
        <w:t xml:space="preserve"> </w:t>
      </w:r>
      <w:r>
        <w:t>include a 500L bioreactor with a low productivity cell line and 2000L bioreactor</w:t>
      </w:r>
      <w:r w:rsidR="00F17385">
        <w:t>s</w:t>
      </w:r>
      <w:r>
        <w:t xml:space="preserve"> with a high productivity cell line. The 500L </w:t>
      </w:r>
      <w:r w:rsidR="00166BF8">
        <w:t>bioreactor</w:t>
      </w:r>
      <w:r>
        <w:t xml:space="preserve"> makes about 0.5kg of material in the bioreactor per day, which results after 20 days in a 6kg batch. The 2000L </w:t>
      </w:r>
      <w:r w:rsidR="00166BF8">
        <w:t>bioreactor</w:t>
      </w:r>
      <w:r>
        <w:t xml:space="preserve"> makes about 10kg of material per day, which results after 20 days in a 130kg batch.</w:t>
      </w:r>
      <w:r w:rsidR="00855C50">
        <w:t xml:space="preserve"> </w:t>
      </w:r>
      <w:r w:rsidR="00F17385">
        <w:t>A f</w:t>
      </w:r>
      <w:r w:rsidR="00855C50">
        <w:t xml:space="preserve">our 2000L </w:t>
      </w:r>
      <w:r w:rsidR="00166BF8">
        <w:t>process</w:t>
      </w:r>
      <w:r w:rsidR="00855C50">
        <w:t xml:space="preserve"> </w:t>
      </w:r>
      <w:r w:rsidR="00F17385">
        <w:t xml:space="preserve">is described that </w:t>
      </w:r>
      <w:r>
        <w:t>result</w:t>
      </w:r>
      <w:r w:rsidR="00855C50">
        <w:t>s</w:t>
      </w:r>
      <w:r>
        <w:t xml:space="preserve"> in as much as a 500kg batch over 20 days, or about 8 tons per year in 17 batches. </w:t>
      </w:r>
    </w:p>
    <w:p w14:paraId="0F846BA3" w14:textId="3CF773C4" w:rsidR="00AA0FAB" w:rsidRDefault="00BA388E" w:rsidP="004B47B5">
      <w:pPr>
        <w:spacing w:line="480" w:lineRule="auto"/>
      </w:pPr>
      <w:r>
        <w:t>T</w:t>
      </w:r>
      <w:r w:rsidR="00AA0FAB">
        <w:t xml:space="preserve">he world may have an urgent need for quickly expandable manufacturing space. The common framework enables single-use equipment to be as productive as larger </w:t>
      </w:r>
      <w:r>
        <w:t>stainless-steel</w:t>
      </w:r>
      <w:r w:rsidR="00AA0FAB">
        <w:t xml:space="preserve"> plants. Due to the COVID-19 pandemic, many companies are buying up existing capacity in large stainless-steel facilities</w:t>
      </w:r>
      <w:r>
        <w:t xml:space="preserve"> for their antibody treatments</w:t>
      </w:r>
      <w:r w:rsidR="00AA0FAB">
        <w:t xml:space="preserve">. Expanding these facilities will take time. In addition, these facilities cost $400-800M </w:t>
      </w:r>
      <w:r>
        <w:fldChar w:fldCharType="begin"/>
      </w:r>
      <w:r w:rsidR="004B47B5">
        <w:instrText xml:space="preserve"> ADDIN EN.CITE &lt;EndNote&gt;&lt;Cite&gt;&lt;Author&gt;Jagschies&lt;/Author&gt;&lt;Year&gt;2020&lt;/Year&gt;&lt;IDText&gt;Hierarchy of High Impact Improvements in Bio Manufacturing&lt;/IDText&gt;&lt;DisplayText&gt;(Jagschies, 2020)&lt;/DisplayText&gt;&lt;record&gt;&lt;dates&gt;&lt;pub-dates&gt;&lt;date&gt;28 February 2020&lt;/date&gt;&lt;/pub-dates&gt;&lt;year&gt;2020&lt;/year&gt;&lt;/dates&gt;&lt;titles&gt;&lt;title&gt;Hierarchy of High Impact Improvements in Bio Manufacturing&lt;/title&gt;&lt;secondary-title&gt;Workshop on Innovations in Pharmaceutical Manufacturing&lt;/secondary-title&gt;&lt;/titles&gt;&lt;contributors&gt;&lt;authors&gt;&lt;author&gt;Jagschies, Günter&lt;/author&gt;&lt;/authors&gt;&lt;/contributors&gt;&lt;added-date format="utc"&gt;1601316695&lt;/added-date&gt;&lt;pub-location&gt;Washington, DC&lt;/pub-location&gt;&lt;ref-type name="Conference Proceeding"&gt;10&lt;/ref-type&gt;&lt;rec-number&gt;358&lt;/rec-number&gt;&lt;publisher&gt;National Academies of Science&lt;/publisher&gt;&lt;last-updated-date format="utc"&gt;1601316695&lt;/last-updated-date&gt;&lt;/record&gt;&lt;/Cite&gt;&lt;/EndNote&gt;</w:instrText>
      </w:r>
      <w:r>
        <w:fldChar w:fldCharType="separate"/>
      </w:r>
      <w:r w:rsidR="004B47B5">
        <w:rPr>
          <w:noProof/>
        </w:rPr>
        <w:t>(Jagschies, 2020)</w:t>
      </w:r>
      <w:r>
        <w:fldChar w:fldCharType="end"/>
      </w:r>
      <w:r>
        <w:t xml:space="preserve">. Finally, due to political nationalism, many countries and regions want to control the manufacture of these COVID-19 </w:t>
      </w:r>
      <w:r>
        <w:lastRenderedPageBreak/>
        <w:t xml:space="preserve">treatments.  By enabling cost-effective use of single-use technologies, the common framework allows the fast, and relatively inexpensive, building of large-capacity biomanufacturing. </w:t>
      </w:r>
    </w:p>
    <w:p w14:paraId="481026F2" w14:textId="4F268021" w:rsidR="00434601" w:rsidRDefault="0656EAB2" w:rsidP="007E0C39">
      <w:pPr>
        <w:pStyle w:val="Heading1"/>
        <w:rPr>
          <w:rFonts w:eastAsia="Times New Roman"/>
        </w:rPr>
      </w:pPr>
      <w:r w:rsidRPr="0656EAB2">
        <w:rPr>
          <w:rFonts w:eastAsia="Times New Roman"/>
        </w:rPr>
        <w:t>Materials and Methods</w:t>
      </w:r>
    </w:p>
    <w:p w14:paraId="6EBAA20B" w14:textId="3F3A5EDF" w:rsidR="0656EAB2" w:rsidRDefault="35E21494" w:rsidP="004B47B5">
      <w:pPr>
        <w:spacing w:line="480" w:lineRule="auto"/>
      </w:pPr>
      <w:r>
        <w:t xml:space="preserve">The design of the upstream and downstream was based on common and well-known engineering principles. The assumptions are shown in Table 1. The justification for the assumptions, and a more detailed materials and methods, is in the supplementary material. </w:t>
      </w:r>
      <w:r w:rsidR="00E45AE0">
        <w:t xml:space="preserve">In addition, a spreadsheet is enclosed in the supplementary material that can enable other manufacturing scenarios. A crowd-sourcing spreadsheet is located </w:t>
      </w:r>
      <w:r w:rsidR="004170B2">
        <w:t xml:space="preserve">online, which will allow further development of new technologies </w:t>
      </w:r>
      <w:r w:rsidR="004170B2">
        <w:fldChar w:fldCharType="begin"/>
      </w:r>
      <w:r w:rsidR="004B47B5">
        <w:instrText xml:space="preserve"> ADDIN EN.CITE &lt;EndNote&gt;&lt;Cite&gt;&lt;Author&gt;Coffman&lt;/Author&gt;&lt;Year&gt;2020&lt;/Year&gt;&lt;IDText&gt;Common Framework Spreadsheet&lt;/IDText&gt;&lt;DisplayText&gt;(Coffman, 2020)&lt;/DisplayText&gt;&lt;record&gt;&lt;urls&gt;&lt;related-urls&gt;&lt;url&gt;https://docs.google.com/spreadsheets/d/1GWc_qEpuogR91A4IbRGJYSOTvQOhvvLv6U1eSSDQhbQ/edit?usp=sharing&lt;/url&gt;&lt;/related-urls&gt;&lt;/urls&gt;&lt;titles&gt;&lt;title&gt;Common Framework Spreadsheet&lt;/title&gt;&lt;/titles&gt;&lt;contributors&gt;&lt;authors&gt;&lt;author&gt;Coffman, J.&lt;/author&gt;&lt;/authors&gt;&lt;/contributors&gt;&lt;added-date format="utc"&gt;1601132086&lt;/added-date&gt;&lt;ref-type name="Web Page"&gt;12&lt;/ref-type&gt;&lt;dates&gt;&lt;year&gt;2020&lt;/year&gt;&lt;/dates&gt;&lt;rec-number&gt;344&lt;/rec-number&gt;&lt;last-updated-date format="utc"&gt;1601132086&lt;/last-updated-date&gt;&lt;/record&gt;&lt;/Cite&gt;&lt;/EndNote&gt;</w:instrText>
      </w:r>
      <w:r w:rsidR="004170B2">
        <w:fldChar w:fldCharType="separate"/>
      </w:r>
      <w:r w:rsidR="004B47B5">
        <w:rPr>
          <w:noProof/>
        </w:rPr>
        <w:t>(Coffman, 2020)</w:t>
      </w:r>
      <w:r w:rsidR="004170B2">
        <w:fldChar w:fldCharType="end"/>
      </w:r>
      <w:r w:rsidR="004170B2">
        <w:t>.</w:t>
      </w:r>
    </w:p>
    <w:p w14:paraId="621099FA" w14:textId="46415C52" w:rsidR="00CA218D" w:rsidRDefault="35E21494" w:rsidP="35E21494">
      <w:pPr>
        <w:pStyle w:val="Heading1"/>
        <w:rPr>
          <w:rFonts w:eastAsia="Times New Roman"/>
        </w:rPr>
      </w:pPr>
      <w:r w:rsidRPr="35E21494">
        <w:rPr>
          <w:rFonts w:eastAsia="Times New Roman"/>
        </w:rPr>
        <w:t>Results and Discussion</w:t>
      </w:r>
    </w:p>
    <w:p w14:paraId="56A2D5A0" w14:textId="2D61F894" w:rsidR="000528EE" w:rsidRPr="000528EE" w:rsidRDefault="35E21494" w:rsidP="004B47B5">
      <w:pPr>
        <w:spacing w:line="480" w:lineRule="auto"/>
      </w:pPr>
      <w:r>
        <w:t xml:space="preserve">The high-level consequences of the common framework ICB are discussed in the accompanying article (Coffman, 2021). Here we discuss the details of the design to demonstrate the flexibility and productivity of the framework ICB. The examples used are shown in Figure 1 and Tables 1 and 2. They are described in more detail below. </w:t>
      </w:r>
    </w:p>
    <w:p w14:paraId="5485DA67" w14:textId="77777777" w:rsidR="00CA218D" w:rsidRDefault="00CA218D" w:rsidP="00CA218D">
      <w:pPr>
        <w:pStyle w:val="Heading2"/>
        <w:rPr>
          <w:rFonts w:eastAsia="Times New Roman"/>
        </w:rPr>
      </w:pPr>
      <w:r>
        <w:rPr>
          <w:rFonts w:eastAsia="Times New Roman"/>
        </w:rPr>
        <w:t>Bioreactor Design</w:t>
      </w:r>
    </w:p>
    <w:p w14:paraId="086A90F1" w14:textId="0CA873B3" w:rsidR="00BD0CE0" w:rsidRPr="00BD0CE0" w:rsidRDefault="00BD0CE0" w:rsidP="004B47B5">
      <w:pPr>
        <w:spacing w:line="480" w:lineRule="auto"/>
      </w:pPr>
      <w:r>
        <w:t xml:space="preserve">The </w:t>
      </w:r>
      <w:r w:rsidR="004170B2">
        <w:t xml:space="preserve">common framework </w:t>
      </w:r>
      <w:r>
        <w:t xml:space="preserve">bioreactor </w:t>
      </w:r>
      <w:r w:rsidR="004170B2">
        <w:t>is</w:t>
      </w:r>
      <w:r>
        <w:t xml:space="preserve"> designed to support high cell densities. The largest design challenges deal with supplying cells with O</w:t>
      </w:r>
      <w:r w:rsidRPr="004B47B5">
        <w:rPr>
          <w:vertAlign w:val="subscript"/>
        </w:rPr>
        <w:t>2</w:t>
      </w:r>
      <w:r>
        <w:t xml:space="preserve"> and stripping cells of CO</w:t>
      </w:r>
      <w:r w:rsidRPr="004B47B5">
        <w:rPr>
          <w:vertAlign w:val="subscript"/>
        </w:rPr>
        <w:t>2</w:t>
      </w:r>
      <w:r>
        <w:t xml:space="preserve">. The </w:t>
      </w:r>
      <w:r w:rsidR="00853A20">
        <w:t>mass of nutrients</w:t>
      </w:r>
      <w:r>
        <w:t xml:space="preserve"> required by high cell densities requires the development of media concentrates</w:t>
      </w:r>
      <w:r w:rsidR="004170B2">
        <w:t>, as well as the possibility of several feed solutions</w:t>
      </w:r>
      <w:r>
        <w:t xml:space="preserve">. The high density of cells also requires cooling to maintain the temperature. </w:t>
      </w:r>
      <w:r w:rsidR="00F64399">
        <w:t>While t</w:t>
      </w:r>
      <w:r>
        <w:t>hese challenges impact the bioreactor design in several ways</w:t>
      </w:r>
      <w:r w:rsidR="00F64399">
        <w:t xml:space="preserve">, they do not preclude the bioreactor for standard fed-batch operation. </w:t>
      </w:r>
    </w:p>
    <w:p w14:paraId="4C483E8C" w14:textId="04A8C065" w:rsidR="001A5131" w:rsidRDefault="4C852D9A" w:rsidP="004B47B5">
      <w:pPr>
        <w:spacing w:line="480" w:lineRule="auto"/>
      </w:pPr>
      <w:r>
        <w:lastRenderedPageBreak/>
        <w:t xml:space="preserve">Dynamic, or non-steady-state perfusion, where the cell density is not directly controlled by a bleed, can reach cell densities of 100-150Mcells/mL </w:t>
      </w:r>
      <w:r w:rsidR="00591A02">
        <w:fldChar w:fldCharType="begin"/>
      </w:r>
      <w:r w:rsidR="004B47B5">
        <w:instrText xml:space="preserve"> ADDIN EN.CITE &lt;EndNote&gt;&lt;Cite&gt;&lt;Author&gt;Wolf&lt;/Author&gt;&lt;Year&gt;2020&lt;/Year&gt;&lt;IDText&gt;Perfuson Cell Culture Process for Biopharmaceuticals&lt;/IDText&gt;&lt;DisplayText&gt;(Wolf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591A02">
        <w:fldChar w:fldCharType="separate"/>
      </w:r>
      <w:r w:rsidR="004B47B5">
        <w:rPr>
          <w:noProof/>
        </w:rPr>
        <w:t>(Wolf et al., 2020)</w:t>
      </w:r>
      <w:r w:rsidR="00591A02">
        <w:fldChar w:fldCharType="end"/>
      </w:r>
      <w:r>
        <w:t xml:space="preserve">. These cell densities would require oxygen transfer rates between 15 and 50 mM/hour </w:t>
      </w:r>
      <w:r w:rsidR="000528EE">
        <w:fldChar w:fldCharType="begin"/>
      </w:r>
      <w:r w:rsidR="004B47B5">
        <w:instrText xml:space="preserve"> ADDIN EN.CITE &lt;EndNote&gt;&lt;Cite&gt;&lt;Author&gt;Jorjani&lt;/Author&gt;&lt;Year&gt;1999&lt;/Year&gt;&lt;IDText&gt;Effects of Cell Density and Temperature on Oxygen Consumption Rate for Different Mammalian Cell Lines.&lt;/IDText&gt;&lt;DisplayText&gt;(Jorjani and Ozturk, 1999)&lt;/DisplayText&gt;&lt;record&gt;&lt;titles&gt;&lt;title&gt;Effects of Cell Density and Temperature on Oxygen Consumption Rate for Different Mammalian Cell Lines.&lt;/title&gt;&lt;secondary-title&gt;Biotechnology and Bioengineering&lt;/secondary-title&gt;&lt;/titles&gt;&lt;pages&gt;349-356&lt;/pages&gt;&lt;number&gt;3&lt;/number&gt;&lt;contributors&gt;&lt;authors&gt;&lt;author&gt;Jorjani, Parisa&lt;/author&gt;&lt;author&gt;Ozturk, Sadettin S.&lt;/author&gt;&lt;/authors&gt;&lt;/contributors&gt;&lt;added-date format="utc"&gt;1599048676&lt;/added-date&gt;&lt;ref-type name="Journal Article"&gt;17&lt;/ref-type&gt;&lt;dates&gt;&lt;year&gt;1999&lt;/year&gt;&lt;/dates&gt;&lt;rec-number&gt;220&lt;/rec-number&gt;&lt;last-updated-date format="utc"&gt;1600649850&lt;/last-updated-date&gt;&lt;volume&gt;64&lt;/volume&gt;&lt;/record&gt;&lt;/Cite&gt;&lt;/EndNote&gt;</w:instrText>
      </w:r>
      <w:r w:rsidR="000528EE">
        <w:fldChar w:fldCharType="separate"/>
      </w:r>
      <w:r w:rsidR="004B47B5">
        <w:rPr>
          <w:noProof/>
        </w:rPr>
        <w:t>(Jorjani and Ozturk, 1999)</w:t>
      </w:r>
      <w:r w:rsidR="000528EE">
        <w:fldChar w:fldCharType="end"/>
      </w:r>
      <w:r>
        <w:t xml:space="preserve">. The gas/liquid transfer coefficient </w:t>
      </w:r>
      <w:proofErr w:type="spellStart"/>
      <w:r w:rsidRPr="35E21494">
        <w:t>k</w:t>
      </w:r>
      <w:r w:rsidRPr="35E21494">
        <w:rPr>
          <w:vertAlign w:val="subscript"/>
        </w:rPr>
        <w:t>L</w:t>
      </w:r>
      <w:r w:rsidR="1112A9CD">
        <w:t>a</w:t>
      </w:r>
      <w:proofErr w:type="spellEnd"/>
      <w:r w:rsidR="1112A9CD" w:rsidRPr="35E21494">
        <w:rPr>
          <w:i/>
          <w:iCs/>
          <w:vertAlign w:val="subscript"/>
        </w:rPr>
        <w:t xml:space="preserve"> </w:t>
      </w:r>
      <w:r w:rsidRPr="35E21494">
        <w:rPr>
          <w:i/>
          <w:iCs/>
        </w:rPr>
        <w:t xml:space="preserve"> </w:t>
      </w:r>
      <w:r w:rsidRPr="6CD06139">
        <w:t>between 15 and 70 hour</w:t>
      </w:r>
      <w:r w:rsidRPr="6CD06139">
        <w:rPr>
          <w:vertAlign w:val="superscript"/>
        </w:rPr>
        <w:t>-1</w:t>
      </w:r>
      <w:r w:rsidR="000528EE">
        <w:t xml:space="preserve"> would be required</w:t>
      </w:r>
      <w:r w:rsidR="00EC30F7">
        <w:t xml:space="preserve"> </w:t>
      </w:r>
      <w:r w:rsidR="004155A0">
        <w:fldChar w:fldCharType="begin"/>
      </w:r>
      <w:r w:rsidR="004B47B5">
        <w:instrText xml:space="preserve"> ADDIN EN.CITE &lt;EndNote&gt;&lt;Cite&gt;&lt;Author&gt;Moutafchieva&lt;/Author&gt;&lt;Year&gt;2013&lt;/Year&gt;&lt;IDText&gt;EXPERIMENTAL DETERMINATION OF THE VOLUMETRIC MASS TRANSFER COEFFICIENT&lt;/IDText&gt;&lt;DisplayText&gt;(Moutafchieva et al., 2013)&lt;/DisplayText&gt;&lt;record&gt;&lt;titles&gt;&lt;title&gt;EXPERIMENTAL DETERMINATION OF THE VOLUMETRIC MASS TRANSFER COEFFICIENT&lt;/title&gt;&lt;secondary-title&gt;Journal of Chemical Technology and Metallurgy&lt;/secondary-title&gt;&lt;/titles&gt;&lt;pages&gt;351-356&lt;/pages&gt;&lt;number&gt;4&lt;/number&gt;&lt;contributors&gt;&lt;authors&gt;&lt;author&gt;Moutafchieva, D.&lt;/author&gt;&lt;author&gt;Popova, D.&lt;/author&gt;&lt;author&gt;Dimitrova, M.&lt;/author&gt;&lt;author&gt;Tchaoushev, S.&lt;/author&gt;&lt;/authors&gt;&lt;/contributors&gt;&lt;added-date format="utc"&gt;1599048676&lt;/added-date&gt;&lt;ref-type name="Journal Article"&gt;17&lt;/ref-type&gt;&lt;dates&gt;&lt;year&gt;2013&lt;/year&gt;&lt;/dates&gt;&lt;rec-number&gt;219&lt;/rec-number&gt;&lt;last-updated-date format="utc"&gt;1600808040&lt;/last-updated-date&gt;&lt;volume&gt;48&lt;/volume&gt;&lt;/record&gt;&lt;/Cite&gt;&lt;/EndNote&gt;</w:instrText>
      </w:r>
      <w:r w:rsidR="004155A0">
        <w:fldChar w:fldCharType="separate"/>
      </w:r>
      <w:r w:rsidR="004B47B5">
        <w:rPr>
          <w:noProof/>
        </w:rPr>
        <w:t>(Moutafchieva et al., 2013)</w:t>
      </w:r>
      <w:r w:rsidR="004155A0">
        <w:fldChar w:fldCharType="end"/>
      </w:r>
      <w:r>
        <w:t>.</w:t>
      </w:r>
      <w:r w:rsidR="00275CCA">
        <w:t xml:space="preserve">  </w:t>
      </w:r>
      <w:r w:rsidR="00E30825">
        <w:t xml:space="preserve">The cells consume oxygen so fast that they become hypoxic in less than 10 seconds without sparging (SI). Further, </w:t>
      </w:r>
      <w:r w:rsidR="00275CCA">
        <w:t>there are a few</w:t>
      </w:r>
      <w:r w:rsidR="00853A20">
        <w:t xml:space="preserve"> lab or pilot scale</w:t>
      </w:r>
      <w:r w:rsidR="00275CCA">
        <w:t xml:space="preserve"> examples of perfusion cell culture at 240Mcells/m</w:t>
      </w:r>
      <w:r w:rsidR="00E30825">
        <w:t xml:space="preserve">L </w:t>
      </w:r>
      <w:r w:rsidR="00275CCA">
        <w:fldChar w:fldCharType="begin">
          <w:fldData xml:space="preserve">PEVuZE5vdGU+PENpdGU+PEF1dGhvcj5DbGluY2tlPC9BdXRob3I+PFllYXI+MjAxMzwvWWVhcj48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</w:fldData>
        </w:fldChar>
      </w:r>
      <w:r w:rsidR="004B47B5">
        <w:instrText xml:space="preserve"> ADDIN EN.CITE </w:instrText>
      </w:r>
      <w:r w:rsidR="004B47B5">
        <w:fldChar w:fldCharType="begin">
          <w:fldData xml:space="preserve">PEVuZE5vdGU+PENpdGU+PEF1dGhvcj5DbGluY2tlPC9BdXRob3I+PFllYXI+MjAxMzwvWWVhcj48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</w:fldData>
        </w:fldChar>
      </w:r>
      <w:r w:rsidR="004B47B5">
        <w:instrText xml:space="preserve"> ADDIN EN.CITE.DATA </w:instrText>
      </w:r>
      <w:r w:rsidR="004B47B5">
        <w:fldChar w:fldCharType="end"/>
      </w:r>
      <w:r w:rsidR="00275CCA">
        <w:fldChar w:fldCharType="separate"/>
      </w:r>
      <w:r w:rsidR="004B47B5">
        <w:rPr>
          <w:noProof/>
        </w:rPr>
        <w:t>(Clincke et al., 2013a; Clincke et al., 2013b; Zamani et al., 2018)</w:t>
      </w:r>
      <w:r w:rsidR="00275CCA">
        <w:fldChar w:fldCharType="end"/>
      </w:r>
      <w:r>
        <w:t xml:space="preserve">. If the industry is to expand to this cell density, a </w:t>
      </w:r>
      <w:proofErr w:type="spellStart"/>
      <w:r w:rsidRPr="6CD06139">
        <w:t>k</w:t>
      </w:r>
      <w:r w:rsidRPr="6CD06139">
        <w:rPr>
          <w:vertAlign w:val="subscript"/>
        </w:rPr>
        <w:t>L</w:t>
      </w:r>
      <w:r>
        <w:t>a</w:t>
      </w:r>
      <w:proofErr w:type="spellEnd"/>
      <w:r w:rsidRPr="6CD06139">
        <w:t xml:space="preserve"> of over 100 hr</w:t>
      </w:r>
      <w:r w:rsidRPr="6CD06139">
        <w:rPr>
          <w:vertAlign w:val="superscript"/>
        </w:rPr>
        <w:t>-1</w:t>
      </w:r>
      <w:r w:rsidR="6CD06139">
        <w:t xml:space="preserve">, or lower </w:t>
      </w:r>
      <w:r w:rsidR="1112A9CD">
        <w:t xml:space="preserve">cell-specific </w:t>
      </w:r>
      <w:r w:rsidR="6CD06139">
        <w:t>oxygen uptake rates</w:t>
      </w:r>
      <w:r w:rsidR="00853A20">
        <w:t>,</w:t>
      </w:r>
      <w:r w:rsidR="6CD06139">
        <w:t xml:space="preserve"> would be required. </w:t>
      </w:r>
    </w:p>
    <w:p w14:paraId="7B767F69" w14:textId="5BD7411B" w:rsidR="00E30825" w:rsidRDefault="58FFA6F4" w:rsidP="004B47B5">
      <w:pPr>
        <w:spacing w:line="480" w:lineRule="auto"/>
      </w:pPr>
      <w:r>
        <w:t>The gassing strategy for a perfusion culture is a three-fold balancing act between control of dissolved oxygen (DO), pCO</w:t>
      </w:r>
      <w:r w:rsidRPr="58FFA6F4">
        <w:rPr>
          <w:vertAlign w:val="subscript"/>
        </w:rPr>
        <w:t>2</w:t>
      </w:r>
      <w:r>
        <w:t xml:space="preserve"> accumulation (i.e. pH and subsequent base utilization), and foam formation. Achieving desired control in any one aspect can result in an undesirable result in another aspect. </w:t>
      </w:r>
    </w:p>
    <w:p w14:paraId="78728C9C" w14:textId="5E268FEE" w:rsidR="009805E1" w:rsidRDefault="00E30825" w:rsidP="004B47B5">
      <w:pPr>
        <w:spacing w:line="480" w:lineRule="auto"/>
      </w:pPr>
      <w:r>
        <w:t>T</w:t>
      </w:r>
      <w:r w:rsidR="58FFA6F4">
        <w:t>he supply of oxygen to the cells can easily be the limiting factor in achieving high cell densities (</w:t>
      </w:r>
      <w:r w:rsidR="58FFA6F4" w:rsidRPr="004B47B5">
        <w:rPr>
          <w:b/>
          <w:bCs/>
        </w:rPr>
        <w:t>Ozturk, 1996,</w:t>
      </w:r>
      <w:r w:rsidR="58FFA6F4">
        <w:t xml:space="preserve"> </w:t>
      </w:r>
      <w:r w:rsidR="58FFA6F4" w:rsidRPr="004B47B5">
        <w:rPr>
          <w:b/>
          <w:bCs/>
        </w:rPr>
        <w:t>Zhu, Marie et al. 2017).</w:t>
      </w:r>
      <w:r w:rsidR="58FFA6F4">
        <w:t xml:space="preserve"> </w:t>
      </w:r>
      <w:r w:rsidR="00533948">
        <w:t xml:space="preserve"> The design of the </w:t>
      </w:r>
      <w:r w:rsidR="58FFA6F4">
        <w:t xml:space="preserve">mass-flow controller and sparger </w:t>
      </w:r>
      <w:r w:rsidR="00533948">
        <w:t>require consideration</w:t>
      </w:r>
      <w:r w:rsidR="58FFA6F4">
        <w:t>. Generally, mass-flow controllers delivering air and O</w:t>
      </w:r>
      <w:r w:rsidR="58FFA6F4" w:rsidRPr="58FFA6F4">
        <w:rPr>
          <w:vertAlign w:val="subscript"/>
        </w:rPr>
        <w:t>2</w:t>
      </w:r>
      <w:r w:rsidR="58FFA6F4">
        <w:t xml:space="preserve"> for perfusion processes requires significantly higher flow capacity than fed-batch processes, ranging from 0.05vvm to 0.2vvm. With respect to sparger design, micro-spargers have been demonstrated to improve the oxygen transport capacity needed to achieve a desired DO at perfusion-scale cell densities</w:t>
      </w:r>
      <w:r w:rsidR="00E17191">
        <w:t xml:space="preserve"> </w:t>
      </w:r>
      <w:r w:rsidR="00E17191">
        <w:fldChar w:fldCharType="begin">
          <w:fldData xml:space="preserve">PEVuZE5vdGU+PENpdGU+PEF1dGhvcj5EcmVoZXI8L0F1dGhvcj48WWVhcj4yMDE0PC9ZZWFyPjxJ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</w:fldData>
        </w:fldChar>
      </w:r>
      <w:r w:rsidR="004B47B5">
        <w:instrText xml:space="preserve"> ADDIN EN.CITE </w:instrText>
      </w:r>
      <w:r w:rsidR="004B47B5">
        <w:fldChar w:fldCharType="begin">
          <w:fldData xml:space="preserve">PEVuZE5vdGU+PENpdGU+PEF1dGhvcj5EcmVoZXI8L0F1dGhvcj48WWVhcj4yMDE0PC9ZZWFyPjxJ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</w:fldData>
        </w:fldChar>
      </w:r>
      <w:r w:rsidR="004B47B5">
        <w:instrText xml:space="preserve"> ADDIN EN.CITE.DATA </w:instrText>
      </w:r>
      <w:r w:rsidR="004B47B5">
        <w:fldChar w:fldCharType="end"/>
      </w:r>
      <w:r w:rsidR="00E17191">
        <w:fldChar w:fldCharType="separate"/>
      </w:r>
      <w:r w:rsidR="004B47B5">
        <w:rPr>
          <w:noProof/>
        </w:rPr>
        <w:t>(Diekmann et al., 2011; Dreher et al., 2014)</w:t>
      </w:r>
      <w:r w:rsidR="00E17191">
        <w:fldChar w:fldCharType="end"/>
      </w:r>
      <w:r w:rsidR="58FFA6F4">
        <w:t>.</w:t>
      </w:r>
      <w:r w:rsidR="008D6114">
        <w:t xml:space="preserve"> </w:t>
      </w:r>
      <w:r w:rsidR="58FFA6F4">
        <w:t xml:space="preserve">However, </w:t>
      </w:r>
      <w:proofErr w:type="spellStart"/>
      <w:r w:rsidR="58FFA6F4">
        <w:t>microspargers</w:t>
      </w:r>
      <w:proofErr w:type="spellEnd"/>
      <w:r w:rsidR="58FFA6F4">
        <w:t xml:space="preserve"> raise several concerns, including their potential to cause cell damage due to shear when the microscopic </w:t>
      </w:r>
      <w:r w:rsidR="58FFA6F4">
        <w:lastRenderedPageBreak/>
        <w:t xml:space="preserve">bubbles burst </w:t>
      </w:r>
      <w:r w:rsidR="0025648A">
        <w:fldChar w:fldCharType="begin"/>
      </w:r>
      <w:r w:rsidR="004B47B5">
        <w:instrText xml:space="preserve"> ADDIN EN.CITE &lt;EndNote&gt;&lt;Cite&gt;&lt;Author&gt;Wolf&lt;/Author&gt;&lt;Year&gt;2020&lt;/Year&gt;&lt;IDText&gt;Perfuson Cell Culture Process for Biopharmaceuticals&lt;/IDText&gt;&lt;DisplayText&gt;(Wolf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25648A">
        <w:fldChar w:fldCharType="separate"/>
      </w:r>
      <w:r w:rsidR="004B47B5">
        <w:rPr>
          <w:noProof/>
        </w:rPr>
        <w:t>(Wolf et al., 2020)</w:t>
      </w:r>
      <w:r w:rsidR="0025648A">
        <w:fldChar w:fldCharType="end"/>
      </w:r>
      <w:r w:rsidR="58FFA6F4">
        <w:t xml:space="preserve">. </w:t>
      </w:r>
      <w:proofErr w:type="spellStart"/>
      <w:r w:rsidR="58FFA6F4">
        <w:t>Microspargers</w:t>
      </w:r>
      <w:proofErr w:type="spellEnd"/>
      <w:r w:rsidR="58FFA6F4">
        <w:t xml:space="preserve"> have also been observed to yield higher pCO</w:t>
      </w:r>
      <w:r w:rsidR="58FFA6F4" w:rsidRPr="58FFA6F4">
        <w:rPr>
          <w:vertAlign w:val="subscript"/>
        </w:rPr>
        <w:t>2</w:t>
      </w:r>
      <w:r w:rsidR="58FFA6F4">
        <w:t xml:space="preserve"> accumulation than traditional macro, i.e. ring or drilled-hole, spargers </w:t>
      </w:r>
      <w:r w:rsidR="0025648A">
        <w:fldChar w:fldCharType="begin"/>
      </w:r>
      <w:r w:rsidR="004B47B5">
        <w:instrText xml:space="preserve"> ADDIN EN.CITE &lt;EndNote&gt;&lt;Cite&gt;&lt;Author&gt;Dreher&lt;/Author&gt;&lt;Year&gt;2014&lt;/Year&gt;&lt;IDText&gt;Design space definition for a stirred single-use bioreactor family from 50 to 2000 L scale&lt;/IDText&gt;&lt;DisplayText&gt;(Dreher et al., 2014)&lt;/DisplayText&gt;&lt;record&gt;&lt;isbn&gt;16180240&lt;/isbn&gt;&lt;titles&gt;&lt;title&gt;Design space definition for a stirred single-use bioreactor family from 50 to 2000 L scale&lt;/title&gt;&lt;secondary-title&gt;Engineering in Life Sciences&lt;/secondary-title&gt;&lt;/titles&gt;&lt;pages&gt;304-310&lt;/pages&gt;&lt;number&gt;3&lt;/number&gt;&lt;contributors&gt;&lt;authors&gt;&lt;author&gt;Dreher, Thomas&lt;/author&gt;&lt;author&gt;Husemann, Ute&lt;/author&gt;&lt;author&gt;Adams, Thorsten&lt;/author&gt;&lt;author&gt;de Wilde, Davy&lt;/author&gt;&lt;author&gt;Greller, Gerhard&lt;/author&gt;&lt;/authors&gt;&lt;/contributors&gt;&lt;section&gt;304&lt;/section&gt;&lt;added-date format="utc"&gt;1601318525&lt;/added-date&gt;&lt;ref-type name="Journal Article"&gt;17&lt;/ref-type&gt;&lt;dates&gt;&lt;year&gt;2014&lt;/year&gt;&lt;/dates&gt;&lt;rec-number&gt;359&lt;/rec-number&gt;&lt;last-updated-date format="utc"&gt;1601318527&lt;/last-updated-date&gt;&lt;electronic-resource-num&gt;10.1002/elsc.201300067&lt;/electronic-resource-num&gt;&lt;volume&gt;14&lt;/volume&gt;&lt;/record&gt;&lt;/Cite&gt;&lt;/EndNote&gt;</w:instrText>
      </w:r>
      <w:r w:rsidR="0025648A">
        <w:fldChar w:fldCharType="separate"/>
      </w:r>
      <w:r w:rsidR="004B47B5">
        <w:rPr>
          <w:noProof/>
        </w:rPr>
        <w:t>(Dreher et al., 2014)</w:t>
      </w:r>
      <w:r w:rsidR="0025648A">
        <w:fldChar w:fldCharType="end"/>
      </w:r>
      <w:r w:rsidR="58FFA6F4">
        <w:t xml:space="preserve">, which lowers culture pH, and subsequently more base utilization which can be increase cell stress and the rate of cellular apoptosis. Additionally, </w:t>
      </w:r>
      <w:proofErr w:type="spellStart"/>
      <w:r w:rsidR="58FFA6F4">
        <w:t>microsparging</w:t>
      </w:r>
      <w:proofErr w:type="spellEnd"/>
      <w:r w:rsidR="58FFA6F4">
        <w:t xml:space="preserve"> creates a thicker layer of foam than traditional spargers</w:t>
      </w:r>
      <w:r w:rsidR="008D6114">
        <w:t>. This thick foam</w:t>
      </w:r>
      <w:r w:rsidR="58FFA6F4">
        <w:t xml:space="preserve"> requires enhanced </w:t>
      </w:r>
      <w:r w:rsidR="008D6114">
        <w:t xml:space="preserve">control </w:t>
      </w:r>
      <w:proofErr w:type="gramStart"/>
      <w:r w:rsidR="58FFA6F4">
        <w:t>methods, and</w:t>
      </w:r>
      <w:proofErr w:type="gramEnd"/>
      <w:r w:rsidR="58FFA6F4">
        <w:t xml:space="preserve"> is a concern with respect to fouling bioreactor exhaust. </w:t>
      </w:r>
    </w:p>
    <w:p w14:paraId="6512E0B3" w14:textId="11316063" w:rsidR="009805E1" w:rsidRPr="004B47B5" w:rsidRDefault="35E21494" w:rsidP="004B47B5">
      <w:pPr>
        <w:spacing w:line="480" w:lineRule="auto"/>
        <w:rPr>
          <w:b/>
          <w:bCs/>
        </w:rPr>
      </w:pPr>
      <w:r>
        <w:t xml:space="preserve">A dual-sparger design that is composed of a micro and a macro sparger permits the most flexibility in configuring the gas flows to balance the requirements for dissolved oxygen, dissolved carbon dioxide, and foam management in a perfusion bioreactor. In this design, the </w:t>
      </w:r>
      <w:proofErr w:type="spellStart"/>
      <w:r>
        <w:t>microsparger</w:t>
      </w:r>
      <w:proofErr w:type="spellEnd"/>
      <w:r>
        <w:t xml:space="preserve"> component generally provides the required dissolved oxygen to a culture via relatively smaller bubbles and the </w:t>
      </w:r>
      <w:proofErr w:type="spellStart"/>
      <w:r>
        <w:t>macrosparger</w:t>
      </w:r>
      <w:proofErr w:type="spellEnd"/>
      <w:r>
        <w:t xml:space="preserve"> component generally provides a means to manage pCO</w:t>
      </w:r>
      <w:r w:rsidRPr="35E21494">
        <w:rPr>
          <w:vertAlign w:val="subscript"/>
        </w:rPr>
        <w:t>2</w:t>
      </w:r>
      <w:r>
        <w:t xml:space="preserve"> accumulation via stripping carbon dioxide from the system with relatively larger air bubbles. The dual-sparger design can also provide an additional benefit of reducing the amount of foam generated via destruction interactions between the two bubble sizes </w:t>
      </w:r>
      <w:r w:rsidRPr="004B47B5">
        <w:rPr>
          <w:b/>
          <w:bCs/>
        </w:rPr>
        <w:t>(</w:t>
      </w:r>
      <w:proofErr w:type="spellStart"/>
      <w:r w:rsidRPr="004B47B5">
        <w:rPr>
          <w:b/>
          <w:bCs/>
        </w:rPr>
        <w:t>Karakashev</w:t>
      </w:r>
      <w:proofErr w:type="spellEnd"/>
      <w:r w:rsidRPr="004B47B5">
        <w:rPr>
          <w:b/>
          <w:bCs/>
        </w:rPr>
        <w:t xml:space="preserve">, </w:t>
      </w:r>
      <w:proofErr w:type="spellStart"/>
      <w:r w:rsidRPr="004B47B5">
        <w:rPr>
          <w:b/>
          <w:bCs/>
        </w:rPr>
        <w:t>Stoyan</w:t>
      </w:r>
      <w:proofErr w:type="spellEnd"/>
      <w:r w:rsidRPr="004B47B5">
        <w:rPr>
          <w:b/>
          <w:bCs/>
        </w:rPr>
        <w:t xml:space="preserve"> et al. 2012).</w:t>
      </w:r>
    </w:p>
    <w:p w14:paraId="53B535BE" w14:textId="165E4678" w:rsidR="009805E1" w:rsidRDefault="58FFA6F4" w:rsidP="004B47B5">
      <w:pPr>
        <w:spacing w:line="480" w:lineRule="auto"/>
      </w:pPr>
      <w:r>
        <w:t xml:space="preserve">Even with a dual sparger design, foam and aerosol management is more difficult in perfusion cultures due to relatively higher agitation and gas flow rates than fed-batch cultures. The first line of defense is to manage foam generation in the bioreactor itself through means such as mechanical disturbance, adjustment of overlay humidity, and automated addition of antifoaming agents as a function of the rate of foam generation and foam thickness </w:t>
      </w:r>
      <w:r w:rsidR="00887138">
        <w:fldChar w:fldCharType="begin"/>
      </w:r>
      <w:r w:rsidR="004B47B5">
        <w:instrText xml:space="preserve"> ADDIN EN.CITE &lt;EndNote&gt;&lt;Cite&gt;&lt;Author&gt;Proulx&lt;/Author&gt;&lt;Year&gt;2019&lt;/Year&gt;&lt;IDText&gt;Introduction on Foam and its Impact in Bioreactors&lt;/IDText&gt;&lt;DisplayText&gt;(Proulx et al., 2019)&lt;/DisplayText&gt;&lt;record&gt;&lt;isbn&gt;2560-8304&lt;/isbn&gt;&lt;titles&gt;&lt;title&gt;Introduction on Foam and its Impact in Bioreactors&lt;/title&gt;&lt;secondary-title&gt;Canadian Journal of Biotechnology&lt;/secondary-title&gt;&lt;/titles&gt;&lt;pages&gt;143-157&lt;/pages&gt;&lt;number&gt;2&lt;/number&gt;&lt;contributors&gt;&lt;authors&gt;&lt;author&gt;Proulx, Pierre&lt;/author&gt;&lt;author&gt;Groleau, Denis&lt;/author&gt;&lt;author&gt;St-Pierre Lemieux, Gabriel&lt;/author&gt;&lt;/authors&gt;&lt;/contributors&gt;&lt;section&gt;143&lt;/section&gt;&lt;added-date format="utc"&gt;1601318525&lt;/added-date&gt;&lt;ref-type name="Journal Article"&gt;17&lt;/ref-type&gt;&lt;dates&gt;&lt;year&gt;2019&lt;/year&gt;&lt;/dates&gt;&lt;rec-number&gt;362&lt;/rec-number&gt;&lt;last-updated-date format="utc"&gt;1601318537&lt;/last-updated-date&gt;&lt;electronic-resource-num&gt;10.24870/cjb.2019-000131&lt;/electronic-resource-num&gt;&lt;volume&gt;3&lt;/volume&gt;&lt;/record&gt;&lt;/Cite&gt;&lt;/EndNote&gt;</w:instrText>
      </w:r>
      <w:r w:rsidR="00887138">
        <w:fldChar w:fldCharType="separate"/>
      </w:r>
      <w:r w:rsidR="004B47B5">
        <w:rPr>
          <w:noProof/>
        </w:rPr>
        <w:t>(Proulx et al., 2019)</w:t>
      </w:r>
      <w:r w:rsidR="00887138">
        <w:fldChar w:fldCharType="end"/>
      </w:r>
      <w:r>
        <w:t xml:space="preserve">. Redundant filters and/or vent traps are essential components of the exhaust </w:t>
      </w:r>
      <w:r>
        <w:lastRenderedPageBreak/>
        <w:t>manifold to manage the collection of foam and aerosols, as is the ability to seamlessly switch between such unit operations while maintaining a sterile boundary. Advanced filtration systems</w:t>
      </w:r>
      <w:r w:rsidR="00887138">
        <w:t xml:space="preserve"> </w:t>
      </w:r>
      <w:r w:rsidR="00887138">
        <w:fldChar w:fldCharType="begin"/>
      </w:r>
      <w:r w:rsidR="004B47B5">
        <w:instrText xml:space="preserve"> ADDIN EN.CITE &lt;EndNote&gt;&lt;Cite&gt;&lt;Author&gt;Le Merdy&lt;/Author&gt;&lt;Year&gt;2017&lt;/Year&gt;&lt;IDText&gt;Exploration of synthetic depth filtration applied to mammalian cell harvest&lt;/IDText&gt;&lt;DisplayText&gt;(Le Merdy et al., 2017; Pegel et al., 2011)&lt;/DisplayText&gt;&lt;record&gt;&lt;titles&gt;&lt;title&gt;Exploration of synthetic depth filtration applied to mammalian cell harvest&lt;/title&gt;&lt;/titles&gt;&lt;contributors&gt;&lt;authors&gt;&lt;author&gt;Le Merdy, Sarah&lt;/author&gt;&lt;author&gt;Cherradi, Youness&lt;/author&gt;&lt;author&gt;Kalashnikov, Pavel&lt;/author&gt;&lt;/authors&gt;&lt;/contributors&gt;&lt;added-date format="utc"&gt;1601319444&lt;/added-date&gt;&lt;pub-location&gt;Merck Millipore&lt;/pub-location&gt;&lt;ref-type name="Audiovisual Material"&gt;3&lt;/ref-type&gt;&lt;dates&gt;&lt;year&gt;2017&lt;/year&gt;&lt;/dates&gt;&lt;rec-number&gt;363&lt;/rec-number&gt;&lt;last-updated-date format="utc"&gt;1601320133&lt;/last-updated-date&gt;&lt;/record&gt;&lt;/Cite&gt;&lt;Cite&gt;&lt;Author&gt;Pegel&lt;/Author&gt;&lt;Year&gt;2011&lt;/Year&gt;&lt;IDText&gt;Evaluating disposable depth filtration platforms for mAb harvest clarification&lt;/IDText&gt;&lt;record&gt;&lt;urls&gt;&lt;related-urls&gt;&lt;url&gt;https://bioprocessintl.com/downstream-processing/filtration/evaluating-disposable-depth-filtration-platforms-for-mab-harvest-clarification-322313/?pageNum&lt;/url&gt;&lt;/related-urls&gt;&lt;/urls&gt;&lt;titles&gt;&lt;title&gt;Evaluating disposable depth filtration platforms for mAb harvest clarification&lt;/title&gt;&lt;secondary-title&gt;BioProcess Int,&lt;/secondary-title&gt;&lt;/titles&gt;&lt;pages&gt;52-56&lt;/pages&gt;&lt;contributors&gt;&lt;authors&gt;&lt;author&gt;Pegel, A.&lt;/author&gt;&lt;author&gt;Reiser, S.&lt;/author&gt;&lt;author&gt;Steurenthaler, M&lt;/author&gt;&lt;author&gt;Klein, S&lt;/author&gt;&lt;/authors&gt;&lt;/contributors&gt;&lt;added-date format="utc"&gt;1601319444&lt;/added-date&gt;&lt;ref-type name="Journal Article"&gt;17&lt;/ref-type&gt;&lt;dates&gt;&lt;year&gt;2011&lt;/year&gt;&lt;/dates&gt;&lt;rec-number&gt;364&lt;/rec-number&gt;&lt;last-updated-date format="utc"&gt;1601319444&lt;/last-updated-date&gt;&lt;volume&gt;9&lt;/volume&gt;&lt;/record&gt;&lt;/Cite&gt;&lt;/EndNote&gt;</w:instrText>
      </w:r>
      <w:r w:rsidR="00887138">
        <w:fldChar w:fldCharType="separate"/>
      </w:r>
      <w:r w:rsidR="004B47B5">
        <w:rPr>
          <w:noProof/>
        </w:rPr>
        <w:t>(Le Merdy et al., 2017; Pegel et al., 2011)</w:t>
      </w:r>
      <w:r w:rsidR="00887138">
        <w:fldChar w:fldCharType="end"/>
      </w:r>
      <w:r>
        <w:t xml:space="preserve"> demonstrate an enhanced ability to manage foam and aerosol generation, and should be considered for implementation in any bioreactor exhaust manifold.</w:t>
      </w:r>
    </w:p>
    <w:p w14:paraId="745AC9EA" w14:textId="7E67EDA8" w:rsidR="009805E1" w:rsidRDefault="249B7370" w:rsidP="004B47B5">
      <w:pPr>
        <w:spacing w:line="480" w:lineRule="auto"/>
      </w:pPr>
      <w:r>
        <w:t>The last consideration for the perfusion bioreactor gassing strategy is the control strategy. Essential to maintaining the balance between DO, pCO</w:t>
      </w:r>
      <w:r w:rsidRPr="004B47B5">
        <w:rPr>
          <w:vertAlign w:val="subscript"/>
        </w:rPr>
        <w:t>2</w:t>
      </w:r>
      <w:r>
        <w:t xml:space="preserve"> accumulation, and foam generation is establishing bioreactor-specific relationships for the parameters that govern this balance, including the gas transfer (i.e. </w:t>
      </w:r>
      <w:proofErr w:type="spellStart"/>
      <w:r>
        <w:t>k</w:t>
      </w:r>
      <w:r w:rsidRPr="004B47B5">
        <w:rPr>
          <w:vertAlign w:val="subscript"/>
        </w:rPr>
        <w:t>L</w:t>
      </w:r>
      <w:r>
        <w:t>a</w:t>
      </w:r>
      <w:proofErr w:type="spellEnd"/>
      <w:r>
        <w:t xml:space="preserve">) for a given gas species and sparger design. Therefore, it is essential for perfusion bioreactor control architecture to permit the use of reasonably complex algorithms </w:t>
      </w:r>
      <w:r w:rsidR="00887138">
        <w:fldChar w:fldCharType="begin"/>
      </w:r>
      <w:r w:rsidR="004B47B5">
        <w:instrText xml:space="preserve"> ADDIN EN.CITE &lt;EndNote&gt;&lt;Cite&gt;&lt;Author&gt;Abbate&lt;/Author&gt;&lt;Year&gt;2020&lt;/Year&gt;&lt;IDText&gt;Experimental Validation of a Cascade Control Strategy for Continuously Perfused Animal Cell Cultures.&lt;/IDText&gt;&lt;DisplayText&gt;(Abbate et al., 2020)&lt;/DisplayText&gt;&lt;record&gt;&lt;titles&gt;&lt;title&gt;Experimental Validation of a Cascade Control Strategy for Continuously Perfused Animal Cell Cultures.&lt;/title&gt;&lt;secondary-title&gt;Processes&lt;/secondary-title&gt;&lt;/titles&gt;&lt;pages&gt;413&lt;/pages&gt;&lt;contributors&gt;&lt;authors&gt;&lt;author&gt;Abbate, T.&lt;/author&gt;&lt;author&gt;Sbarciog, M. &lt;/author&gt;&lt;author&gt;Dewasme, L.&lt;/author&gt;&lt;author&gt;Vande Wouwer, A. &lt;/author&gt;&lt;/authors&gt;&lt;/contributors&gt;&lt;added-date format="utc"&gt;1601319669&lt;/added-date&gt;&lt;ref-type name="Journal Article"&gt;17&lt;/ref-type&gt;&lt;dates&gt;&lt;year&gt;2020&lt;/year&gt;&lt;/dates&gt;&lt;rec-number&gt;365&lt;/rec-number&gt;&lt;last-updated-date format="utc"&gt;1601319669&lt;/last-updated-date&gt;&lt;volume&gt;8&lt;/volume&gt;&lt;/record&gt;&lt;/Cite&gt;&lt;/EndNote&gt;</w:instrText>
      </w:r>
      <w:r w:rsidR="00887138">
        <w:fldChar w:fldCharType="separate"/>
      </w:r>
      <w:r w:rsidR="004B47B5">
        <w:rPr>
          <w:noProof/>
        </w:rPr>
        <w:t>(Abbate et al., 2020)</w:t>
      </w:r>
      <w:r w:rsidR="00887138">
        <w:fldChar w:fldCharType="end"/>
      </w:r>
      <w:r>
        <w:t xml:space="preserve"> to manage these three control elements, as well as the ability to incorporate so-called offline, at-line, and online measurements such as cell density, temperature, lactic acid concentration, glucose concentration, and </w:t>
      </w:r>
      <w:proofErr w:type="spellStart"/>
      <w:r>
        <w:t>pH.</w:t>
      </w:r>
      <w:proofErr w:type="spellEnd"/>
    </w:p>
    <w:p w14:paraId="15E0F808" w14:textId="32678CC0" w:rsidR="001A5131" w:rsidRDefault="001829DC" w:rsidP="004B47B5">
      <w:pPr>
        <w:spacing w:line="480" w:lineRule="auto"/>
      </w:pPr>
      <w:r>
        <w:t xml:space="preserve">Media </w:t>
      </w:r>
      <w:r w:rsidR="00C76A53">
        <w:t xml:space="preserve">delivery is also different for high-cell density perfusion compared to fed-batch. The media is </w:t>
      </w:r>
      <w:proofErr w:type="gramStart"/>
      <w:r w:rsidR="00C76A53">
        <w:t>concentrated, and</w:t>
      </w:r>
      <w:proofErr w:type="gramEnd"/>
      <w:r w:rsidR="00C76A53">
        <w:t xml:space="preserve"> can be in multiple streams rather than one stream. </w:t>
      </w:r>
      <w:r w:rsidR="1B476BAB">
        <w:t>In the scenarios shown in Table 1, the media concentrates are made up of a 5x, 12x, and 20x concentrate</w:t>
      </w:r>
      <w:r w:rsidR="00C76A53">
        <w:t>s</w:t>
      </w:r>
      <w:r w:rsidR="1B476BAB">
        <w:t xml:space="preserve">, which, taken as a whole, are effectively a 3x concentrate. Multiple media feed pumps sized from 0.02 </w:t>
      </w:r>
      <w:proofErr w:type="spellStart"/>
      <w:r w:rsidR="1B476BAB">
        <w:t>vvd</w:t>
      </w:r>
      <w:proofErr w:type="spellEnd"/>
      <w:r w:rsidR="1B476BAB">
        <w:t xml:space="preserve"> to 0.3vvd would be needed. For a 2000L bioreactor, this is a surprisingly small 20-400mL/min. A glucose concentrate and antifoam will also need to be added with even smaller flow rates. The pump rates should be capable of being set by complicated calculations that may </w:t>
      </w:r>
      <w:r w:rsidR="1B476BAB">
        <w:lastRenderedPageBreak/>
        <w:t>rely on PAT or on mechanistic models</w:t>
      </w:r>
      <w:r w:rsidR="00C76A53">
        <w:t>, similar to the ones that might be required for gassing</w:t>
      </w:r>
      <w:r w:rsidR="1B476BAB">
        <w:t xml:space="preserve">.  Overall bioreactor level control is required to control the feeds or the permeate rate. </w:t>
      </w:r>
    </w:p>
    <w:p w14:paraId="72980C17" w14:textId="1C942EEC" w:rsidR="001A5131" w:rsidRDefault="001A5131" w:rsidP="004B47B5">
      <w:pPr>
        <w:spacing w:line="480" w:lineRule="auto"/>
      </w:pPr>
      <w:r>
        <w:t xml:space="preserve">The media concentrates may be added through a single line with a static mixer. Typically, a line of water enters the static mixer, and a series of T-connections allow the mixing of each concentrate in a serial fashion. </w:t>
      </w:r>
    </w:p>
    <w:p w14:paraId="4BDFB222" w14:textId="3EBA2E3E" w:rsidR="00086A43" w:rsidRDefault="001A5131" w:rsidP="004B47B5">
      <w:pPr>
        <w:spacing w:line="480" w:lineRule="auto"/>
      </w:pPr>
      <w:r>
        <w:t>The use of media concentrates greatly reduces the size of the media preparation and media storage area. In the</w:t>
      </w:r>
      <w:r w:rsidR="0075041C">
        <w:t xml:space="preserve"> 4x</w:t>
      </w:r>
      <w:r>
        <w:t>2000L scenario shown in Table</w:t>
      </w:r>
      <w:r w:rsidR="000528EE">
        <w:t>s</w:t>
      </w:r>
      <w:r>
        <w:t xml:space="preserve"> </w:t>
      </w:r>
      <w:r w:rsidR="000528EE">
        <w:t>1 and 2</w:t>
      </w:r>
      <w:r>
        <w:t xml:space="preserve">, the media can be stored in </w:t>
      </w:r>
      <w:r w:rsidR="0075041C">
        <w:t>sixteen</w:t>
      </w:r>
      <w:r>
        <w:t xml:space="preserve"> 5,000L single use containers. </w:t>
      </w:r>
      <w:r w:rsidR="0075041C">
        <w:t xml:space="preserve">The 20x media would require an additional 2,000L container. </w:t>
      </w:r>
    </w:p>
    <w:p w14:paraId="3F51CE19" w14:textId="39469021" w:rsidR="00BD0CE0" w:rsidRDefault="00BD0CE0" w:rsidP="004B47B5">
      <w:pPr>
        <w:spacing w:line="480" w:lineRule="auto"/>
      </w:pPr>
      <w:r>
        <w:t>T</w:t>
      </w:r>
      <w:r w:rsidRPr="381343D6">
        <w:t>hese bioreactors may become exothermic and require cooling</w:t>
      </w:r>
      <w:r>
        <w:t xml:space="preserve"> due to the exceptional quantity of cell mass, a novel concern for perfusion as compared to batch mammalian cell culture</w:t>
      </w:r>
      <w:r w:rsidRPr="381343D6">
        <w:t xml:space="preserve">. </w:t>
      </w:r>
      <w:r>
        <w:t>Cells generate</w:t>
      </w:r>
      <w:r w:rsidRPr="381343D6">
        <w:t xml:space="preserve"> </w:t>
      </w:r>
      <w:r>
        <w:t xml:space="preserve">about 28pW/cell </w:t>
      </w:r>
      <w:r>
        <w:fldChar w:fldCharType="begin"/>
      </w:r>
      <w:r w:rsidR="004B47B5">
        <w:instrText xml:space="preserve"> ADDIN EN.CITE &lt;EndNote&gt;&lt;Cite&gt;&lt;Author&gt;Kemp&lt;/Author&gt;&lt;Year&gt;1997&lt;/Year&gt;&lt;IDText&gt;Heat flux and the calorimetric-respirometric ratio as measures of catabolic flux in mammalian cells&lt;/IDText&gt;&lt;DisplayText&gt;(Kemp and Guan, 1997)&lt;/DisplayText&gt;&lt;record&gt;&lt;titles&gt;&lt;title&gt;Heat flux and the calorimetric-respirometric ratio as measures of catabolic flux in mammalian cells&lt;/title&gt;&lt;secondary-title&gt;Thermochimica acta&lt;/secondary-title&gt;&lt;/titles&gt;&lt;pages&gt;199-211&lt;/pages&gt;&lt;contributors&gt;&lt;authors&gt;&lt;author&gt;Kemp, R.B.&lt;/author&gt;&lt;author&gt;Guan, Y.&lt;/author&gt;&lt;/authors&gt;&lt;/contributors&gt;&lt;added-date format="utc"&gt;1600807120&lt;/added-date&gt;&lt;ref-type name="Journal Article"&gt;17&lt;/ref-type&gt;&lt;dates&gt;&lt;year&gt;1997&lt;/year&gt;&lt;/dates&gt;&lt;rec-number&gt;322&lt;/rec-number&gt;&lt;last-updated-date format="utc"&gt;1600807132&lt;/last-updated-date&gt;&lt;volume&gt;300&lt;/volume&gt;&lt;/record&gt;&lt;/Cite&gt;&lt;/EndNote&gt;</w:instrText>
      </w:r>
      <w:r>
        <w:fldChar w:fldCharType="separate"/>
      </w:r>
      <w:r w:rsidR="004B47B5">
        <w:rPr>
          <w:noProof/>
        </w:rPr>
        <w:t>(Kemp and Guan, 1997)</w:t>
      </w:r>
      <w:r>
        <w:fldChar w:fldCharType="end"/>
      </w:r>
      <w:r>
        <w:t xml:space="preserve"> or between 1.4 to 4.2 W/L for cell densities between 50M-150 </w:t>
      </w:r>
      <w:proofErr w:type="spellStart"/>
      <w:r>
        <w:t>Mcells</w:t>
      </w:r>
      <w:proofErr w:type="spellEnd"/>
      <w:r>
        <w:t>/</w:t>
      </w:r>
      <w:proofErr w:type="spellStart"/>
      <w:r>
        <w:t>mL.</w:t>
      </w:r>
      <w:proofErr w:type="spellEnd"/>
      <w:r>
        <w:t xml:space="preserve"> A 2000L vessel </w:t>
      </w:r>
      <w:r w:rsidR="004C73EE">
        <w:t>c</w:t>
      </w:r>
      <w:r>
        <w:t xml:space="preserve">ould generate between 3000W to 8000W, which is easily handled by cooling jackets. Cooling a 12kL bioreactor may, however, become a limitation as the cells could generate up to 50kW. A heat exchanger in line with the tangential flow filtration system may become necessary. </w:t>
      </w:r>
    </w:p>
    <w:p w14:paraId="5B3EB256" w14:textId="6DCB9C68" w:rsidR="009805E1" w:rsidRDefault="009805E1" w:rsidP="004B47B5">
      <w:pPr>
        <w:spacing w:line="480" w:lineRule="auto"/>
      </w:pPr>
      <w:r>
        <w:t>A design that might be suitable for a clinical manufacturing facility is shown in Column 1 in Table</w:t>
      </w:r>
      <w:r w:rsidR="000528EE">
        <w:t>s 1 and 2</w:t>
      </w:r>
      <w:r>
        <w:t xml:space="preserve">. The 500L bioreactor operates at 50Mc/mL with a 20 </w:t>
      </w:r>
      <w:proofErr w:type="spellStart"/>
      <w:r>
        <w:t>pg</w:t>
      </w:r>
      <w:proofErr w:type="spellEnd"/>
      <w:r>
        <w:t xml:space="preserve">/c/day cell line. This scenario represents one that can be achieved by converting a fed-batch process over to perfusion cell-culture without much difficulty. It also represents one that might occur early in </w:t>
      </w:r>
      <w:r>
        <w:lastRenderedPageBreak/>
        <w:t xml:space="preserve">development, when process optimization and intensification has not occurred. The </w:t>
      </w:r>
      <w:r w:rsidR="00993891">
        <w:t xml:space="preserve">bioreactor makes 500g/day. </w:t>
      </w:r>
    </w:p>
    <w:p w14:paraId="03FEA454" w14:textId="732C6025" w:rsidR="00993891" w:rsidRDefault="00993891" w:rsidP="004B47B5">
      <w:pPr>
        <w:spacing w:line="480" w:lineRule="auto"/>
      </w:pPr>
      <w:r>
        <w:t xml:space="preserve">A commercial bioreactor set up is shown in </w:t>
      </w:r>
      <w:r w:rsidR="000528EE">
        <w:t>Table</w:t>
      </w:r>
      <w:r>
        <w:t xml:space="preserve"> </w:t>
      </w:r>
      <w:r w:rsidR="000528EE">
        <w:t>1 and 2</w:t>
      </w:r>
      <w:r>
        <w:t xml:space="preserve">, and column 3, operating at an average cell density of 120Mc/mL with a 40pcd cell line. In this scenario, four 2,000L bioreactors are operated to feed a single downstream. The bioreactors together produce 38kg per day.  Over the course of the </w:t>
      </w:r>
      <w:proofErr w:type="gramStart"/>
      <w:r>
        <w:t>20 day</w:t>
      </w:r>
      <w:proofErr w:type="gramEnd"/>
      <w:r>
        <w:t xml:space="preserve"> run, over 500kg of material is pooled into a single lot. </w:t>
      </w:r>
    </w:p>
    <w:p w14:paraId="272DB985" w14:textId="39C739B0" w:rsidR="7C34C8D8" w:rsidRPr="003C2C0D" w:rsidRDefault="003C2C0D" w:rsidP="007E0C39">
      <w:pPr>
        <w:pStyle w:val="Heading2"/>
        <w:rPr>
          <w:rFonts w:eastAsia="Times New Roman"/>
        </w:rPr>
      </w:pPr>
      <w:r w:rsidRPr="003C2C0D">
        <w:rPr>
          <w:rFonts w:eastAsia="Times New Roman"/>
        </w:rPr>
        <w:t>Cell Retention Design</w:t>
      </w:r>
    </w:p>
    <w:p w14:paraId="2E3956EA" w14:textId="0850DE26" w:rsidR="0087443E" w:rsidRPr="004B47B5" w:rsidRDefault="009E2C78" w:rsidP="004B47B5">
      <w:pPr>
        <w:spacing w:line="480" w:lineRule="auto"/>
      </w:pPr>
      <w:r>
        <w:t>T</w:t>
      </w:r>
      <w:r w:rsidR="5D61067A" w:rsidRPr="5D61067A">
        <w:t xml:space="preserve">he </w:t>
      </w:r>
      <w:r>
        <w:t xml:space="preserve">TFF </w:t>
      </w:r>
      <w:r w:rsidR="5D61067A" w:rsidRPr="5D61067A">
        <w:t xml:space="preserve">design </w:t>
      </w:r>
      <w:r>
        <w:t>is</w:t>
      </w:r>
      <w:r w:rsidR="5D61067A" w:rsidRPr="5D61067A">
        <w:t xml:space="preserve"> shown in Table </w:t>
      </w:r>
      <w:r w:rsidR="000528EE">
        <w:t>1 and 2</w:t>
      </w:r>
      <w:r w:rsidR="006460F7">
        <w:t xml:space="preserve"> </w:t>
      </w:r>
      <w:r w:rsidR="5D61067A" w:rsidRPr="5D61067A">
        <w:t xml:space="preserve">for a 500L and 2000L bioreactor. </w:t>
      </w:r>
      <w:r>
        <w:t xml:space="preserve"> </w:t>
      </w:r>
      <w:r w:rsidR="5D61067A" w:rsidRPr="5D61067A">
        <w:t xml:space="preserve">In order to mitigate against </w:t>
      </w:r>
      <w:r w:rsidR="00012EB1">
        <w:t xml:space="preserve">Starling flow </w:t>
      </w:r>
      <w:r w:rsidR="00012EB1">
        <w:fldChar w:fldCharType="begin"/>
      </w:r>
      <w:r w:rsidR="004B47B5">
        <w:instrText xml:space="preserve"> ADDIN EN.CITE &lt;EndNote&gt;&lt;Cite&gt;&lt;Author&gt;Radoniqi&lt;/Author&gt;&lt;Year&gt;2018&lt;/Year&gt;&lt;IDText&gt;Computational fluid dynamic modeling of alternating tangential flow filtration for perfusion cell culture&lt;/IDText&gt;&lt;DisplayText&gt;(Radoniqi et al., 2018)&lt;/DisplayText&gt;&lt;record&gt;&lt;dates&gt;&lt;pub-dates&gt;&lt;date&gt;Nov&lt;/date&gt;&lt;/pub-dates&gt;&lt;year&gt;2018&lt;/year&gt;&lt;/dates&gt;&lt;keywords&gt;&lt;keyword&gt;Animals&lt;/keyword&gt;&lt;keyword&gt;*Bioreactors&lt;/keyword&gt;&lt;keyword&gt;CHO Cells&lt;/keyword&gt;&lt;keyword&gt;Cell Culture Techniques/*methods&lt;/keyword&gt;&lt;keyword&gt;Cell Separation/*methods&lt;/keyword&gt;&lt;keyword&gt;Cricetulus&lt;/keyword&gt;&lt;keyword&gt;Filtration/*methods&lt;/keyword&gt;&lt;keyword&gt;*Hydrodynamics&lt;/keyword&gt;&lt;keyword&gt;*Starling flow&lt;/keyword&gt;&lt;keyword&gt;*alternating tangential flow filtration&lt;/keyword&gt;&lt;keyword&gt;*computational fluid dynamics&lt;/keyword&gt;&lt;keyword&gt;*cross flow velocity&lt;/keyword&gt;&lt;/keywords&gt;&lt;urls&gt;&lt;related-urls&gt;&lt;url&gt;https://www.ncbi.nlm.nih.gov/pubmed/30080936&lt;/url&gt;&lt;/related-urls&gt;&lt;/urls&gt;&lt;isbn&gt;1097-0290 (Electronic)&amp;#xD;0006-3592 (Linking)&lt;/isbn&gt;&lt;custom2&gt;PMC6221016&lt;/custom2&gt;&lt;titles&gt;&lt;title&gt;Computational fluid dynamic modeling of alternating tangential flow filtration for perfusion cell culture&lt;/title&gt;&lt;secondary-title&gt;Biotechnol Bioeng&lt;/secondary-title&gt;&lt;/titles&gt;&lt;pages&gt;2751-2759&lt;/pages&gt;&lt;number&gt;11&lt;/number&gt;&lt;contributors&gt;&lt;authors&gt;&lt;author&gt;Radoniqi, F.&lt;/author&gt;&lt;author&gt;Zhang, H.&lt;/author&gt;&lt;author&gt;Bardliving, C. L.&lt;/author&gt;&lt;author&gt;Shamlou, P.&lt;/author&gt;&lt;author&gt;Coffman, J.&lt;/author&gt;&lt;/authors&gt;&lt;/contributors&gt;&lt;edition&gt;2018/08/07&lt;/edition&gt;&lt;added-date format="utc"&gt;1598125667&lt;/added-date&gt;&lt;ref-type name="Journal Article"&gt;17&lt;/ref-type&gt;&lt;auth-address&gt;School of Applied Life Sciences, Amgen Bioprocessing Center, Keck Graduate Institute, Claremont, California.&amp;#xD;Department of Process Science, Boehringer Ingelheim, Fremont, California.&lt;/auth-address&gt;&lt;rec-number&gt;205&lt;/rec-number&gt;&lt;last-updated-date format="utc"&gt;1599749422&lt;/last-updated-date&gt;&lt;accession-num&gt;30080936&lt;/accession-num&gt;&lt;electronic-resource-num&gt;10.1002/bit.26813&lt;/electronic-resource-num&gt;&lt;volume&gt;115&lt;/volume&gt;&lt;/record&gt;&lt;/Cite&gt;&lt;/EndNote&gt;</w:instrText>
      </w:r>
      <w:r w:rsidR="00012EB1">
        <w:fldChar w:fldCharType="separate"/>
      </w:r>
      <w:r w:rsidR="004B47B5">
        <w:rPr>
          <w:noProof/>
        </w:rPr>
        <w:t>(Radoniqi et al., 2018)</w:t>
      </w:r>
      <w:r w:rsidR="00012EB1">
        <w:fldChar w:fldCharType="end"/>
      </w:r>
      <w:r w:rsidR="5D61067A" w:rsidRPr="5D61067A">
        <w:t xml:space="preserve">, the membrane area was scaled up by adding filter modules in series, rather than in parallel. </w:t>
      </w:r>
      <w:r w:rsidR="00093F53">
        <w:t xml:space="preserve"> The 2000L bioreactor require</w:t>
      </w:r>
      <w:r w:rsidR="00F32133">
        <w:t>s</w:t>
      </w:r>
      <w:r w:rsidR="00093F53">
        <w:t xml:space="preserve"> four hollow fiber modules </w:t>
      </w:r>
      <w:r w:rsidR="006A53EE">
        <w:t xml:space="preserve">in series </w:t>
      </w:r>
      <w:r w:rsidR="5D61067A" w:rsidRPr="5D61067A">
        <w:t xml:space="preserve">(see Figure </w:t>
      </w:r>
      <w:r w:rsidR="00275CCA">
        <w:t>2</w:t>
      </w:r>
      <w:r w:rsidR="5D61067A" w:rsidRPr="5D61067A">
        <w:t>A)</w:t>
      </w:r>
      <w:r w:rsidR="00093F53">
        <w:t xml:space="preserve">. </w:t>
      </w:r>
      <w:r w:rsidR="00D94A75">
        <w:t>A parallel scale-up strategy would require</w:t>
      </w:r>
      <w:r w:rsidR="5D61067A" w:rsidRPr="5D61067A">
        <w:t xml:space="preserve"> the retentate flow rate to between 500 and 1000L/min, or 0.25-0.5vvm</w:t>
      </w:r>
      <w:r w:rsidR="008D6114">
        <w:t>, Figure 2B</w:t>
      </w:r>
      <w:r w:rsidR="5D61067A" w:rsidRPr="5D61067A">
        <w:t xml:space="preserve">. These flow rates would require very large pumps, and the cells would have 5-10 times more pump passes. Damage to cells through pumps is an important factor to mitigate </w:t>
      </w:r>
      <w:r w:rsidR="00275CCA">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PERpc3BsYXlUZXh0PihXYW5nIGV0IGFsLiwgMjAxNyk8L0Rpc3BsYXlUZXh0PjxyZWNvcmQ+PGRh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</w:fldData>
        </w:fldChar>
      </w:r>
      <w:r w:rsidR="004B47B5">
        <w:instrText xml:space="preserve"> ADDIN EN.CITE </w:instrText>
      </w:r>
      <w:r w:rsidR="004B47B5">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PERpc3BsYXlUZXh0PihXYW5nIGV0IGFsLiwgMjAxNyk8L0Rpc3BsYXlUZXh0PjxyZWNvcmQ+PGRh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</w:fldData>
        </w:fldChar>
      </w:r>
      <w:r w:rsidR="004B47B5">
        <w:instrText xml:space="preserve"> ADDIN EN.CITE.DATA </w:instrText>
      </w:r>
      <w:r w:rsidR="004B47B5">
        <w:fldChar w:fldCharType="end"/>
      </w:r>
      <w:r w:rsidR="00275CCA">
        <w:fldChar w:fldCharType="separate"/>
      </w:r>
      <w:r w:rsidR="004B47B5">
        <w:rPr>
          <w:noProof/>
        </w:rPr>
        <w:t>(Wang et al., 2017)</w:t>
      </w:r>
      <w:r w:rsidR="00275CCA">
        <w:fldChar w:fldCharType="end"/>
      </w:r>
      <w:r w:rsidR="5D61067A" w:rsidRPr="5D61067A">
        <w:t xml:space="preserve">. </w:t>
      </w:r>
    </w:p>
    <w:p w14:paraId="734DAB4D" w14:textId="56A95759" w:rsidR="00B23039" w:rsidRDefault="00B23039" w:rsidP="004B47B5">
      <w:pPr>
        <w:spacing w:line="480" w:lineRule="auto"/>
      </w:pPr>
      <w:r>
        <w:t xml:space="preserve">Switching the filter for the 2000L bioreactor design is best accomplished by the use of Y-connectors and valves between the two </w:t>
      </w:r>
      <w:r w:rsidR="001F5183">
        <w:t>sets of filter modules</w:t>
      </w:r>
      <w:r>
        <w:t xml:space="preserve">. </w:t>
      </w:r>
      <w:r w:rsidR="00012EB1">
        <w:t xml:space="preserve">Ideally, the connectors would have zero dead volume, so cells do not get stuck in the </w:t>
      </w:r>
      <w:r w:rsidR="00F32133">
        <w:t>dead leg</w:t>
      </w:r>
      <w:r w:rsidR="00012EB1">
        <w:t xml:space="preserve">. </w:t>
      </w:r>
      <w:r w:rsidR="001F5183">
        <w:t xml:space="preserve">Manual switching between the two sets of filter modules is likely acceptable for most operations, even in commercial space.  </w:t>
      </w:r>
    </w:p>
    <w:p w14:paraId="50D06254" w14:textId="77777777" w:rsidR="00093F53" w:rsidRDefault="661F475E" w:rsidP="004B47B5">
      <w:pPr>
        <w:spacing w:line="480" w:lineRule="auto"/>
      </w:pPr>
      <w:r>
        <w:t xml:space="preserve">The design calls for </w:t>
      </w:r>
      <w:r w:rsidR="00093F53">
        <w:t>one</w:t>
      </w:r>
      <w:r>
        <w:t xml:space="preserve"> ATF</w:t>
      </w:r>
      <w:r w:rsidR="00093F53">
        <w:t>10 systems</w:t>
      </w:r>
      <w:r>
        <w:t xml:space="preserve"> </w:t>
      </w:r>
      <w:r w:rsidR="00093F53">
        <w:t xml:space="preserve">for the 500L bioreactor and three </w:t>
      </w:r>
      <w:r>
        <w:t xml:space="preserve">per 2000L bioreactor. While this takes up a considerable amount of floor space around the bioreactor, it is not a major inconvenience. </w:t>
      </w:r>
    </w:p>
    <w:p w14:paraId="58AF0ACF" w14:textId="0C0624B7" w:rsidR="007320DB" w:rsidRDefault="661F475E" w:rsidP="004B47B5">
      <w:pPr>
        <w:spacing w:line="480" w:lineRule="auto"/>
      </w:pPr>
      <w:r>
        <w:lastRenderedPageBreak/>
        <w:t xml:space="preserve">The area required </w:t>
      </w:r>
      <w:r w:rsidR="00093F53">
        <w:t xml:space="preserve">for both ATF and TFF on the 2000L bioreactor </w:t>
      </w:r>
      <w:r>
        <w:t>is 30m</w:t>
      </w:r>
      <w:r w:rsidRPr="661F475E">
        <w:rPr>
          <w:vertAlign w:val="superscript"/>
        </w:rPr>
        <w:t>2</w:t>
      </w:r>
      <w:r w:rsidR="00093F53">
        <w:t xml:space="preserve">. Modules are commercially available. </w:t>
      </w:r>
      <w:r>
        <w:t xml:space="preserve">The ATF and TFF systems require three or four </w:t>
      </w:r>
      <w:proofErr w:type="gramStart"/>
      <w:r>
        <w:t>small</w:t>
      </w:r>
      <w:proofErr w:type="gramEnd"/>
      <w:r>
        <w:t xml:space="preserve"> permeate pumps with a maximum flow rate of less than 500 mL/min. The total flow rate onto the capture step is small, about 8L/min</w:t>
      </w:r>
      <w:r w:rsidR="00093F53">
        <w:t xml:space="preserve"> for the 4x2000L design. </w:t>
      </w:r>
      <w:r>
        <w:t xml:space="preserve"> </w:t>
      </w:r>
      <w:r w:rsidR="007338BC">
        <w:t xml:space="preserve">It should be noted that the residence time of the cells in the filters is near or exceeds the time to hypoxia. </w:t>
      </w:r>
    </w:p>
    <w:p w14:paraId="021AE79E" w14:textId="62BB3767" w:rsidR="008002C6" w:rsidRDefault="008002C6" w:rsidP="004B47B5">
      <w:pPr>
        <w:spacing w:line="480" w:lineRule="auto"/>
      </w:pPr>
      <w:r>
        <w:t>Single-use bioreactors</w:t>
      </w:r>
      <w:r w:rsidR="007338BC">
        <w:t xml:space="preserve"> over 500L</w:t>
      </w:r>
      <w:r>
        <w:t xml:space="preserve"> </w:t>
      </w:r>
      <w:r w:rsidR="007338BC">
        <w:t xml:space="preserve">do well to </w:t>
      </w:r>
      <w:proofErr w:type="gramStart"/>
      <w:r w:rsidR="007338BC">
        <w:t xml:space="preserve">have  </w:t>
      </w:r>
      <w:r>
        <w:t>1.5</w:t>
      </w:r>
      <w:proofErr w:type="gramEnd"/>
      <w:r>
        <w:t>-inch</w:t>
      </w:r>
      <w:r w:rsidR="008D6114">
        <w:t xml:space="preserve"> to 2-inch</w:t>
      </w:r>
      <w:r>
        <w:t xml:space="preserve"> ports to allow unrestricted flow for each pump system. </w:t>
      </w:r>
      <w:r w:rsidR="008D6114">
        <w:t xml:space="preserve">Connecting the SUB to the TFF </w:t>
      </w:r>
      <w:r w:rsidR="0041752C">
        <w:t>requires</w:t>
      </w:r>
      <w:r w:rsidR="008D6114">
        <w:t xml:space="preserve"> a</w:t>
      </w:r>
      <w:r w:rsidR="00012EB1">
        <w:t xml:space="preserve"> 1.5-inch sanitary connection</w:t>
      </w:r>
      <w:r w:rsidR="008D6114">
        <w:t>, which</w:t>
      </w:r>
      <w:r w:rsidR="00012EB1">
        <w:t xml:space="preserve"> is not known to be commercially available. </w:t>
      </w:r>
      <w:r w:rsidR="008D6114">
        <w:t xml:space="preserve">Instead, two 1-inch ports are </w:t>
      </w:r>
      <w:r w:rsidR="007338BC">
        <w:t xml:space="preserve">often </w:t>
      </w:r>
      <w:r w:rsidR="008D6114">
        <w:t xml:space="preserve">used for each connection. </w:t>
      </w:r>
      <w:r>
        <w:t xml:space="preserve">The 2000L bioreactor requires four </w:t>
      </w:r>
      <w:r w:rsidR="008D6114">
        <w:t>1.5</w:t>
      </w:r>
      <w:r w:rsidR="0041752C">
        <w:t xml:space="preserve"> to </w:t>
      </w:r>
      <w:r w:rsidR="008D6114">
        <w:t xml:space="preserve">2-inch </w:t>
      </w:r>
      <w:r>
        <w:t>ports to support the ATF and two</w:t>
      </w:r>
      <w:r w:rsidR="0041752C">
        <w:t xml:space="preserve"> 1.5 to 2-inch</w:t>
      </w:r>
      <w:r>
        <w:t xml:space="preserve"> ports to support the TFF operation. </w:t>
      </w:r>
      <w:r w:rsidR="0041752C">
        <w:t xml:space="preserve">The common framework bioreactor supports both ATF and TFF operation. </w:t>
      </w:r>
    </w:p>
    <w:p w14:paraId="2203A9DC" w14:textId="46974531" w:rsidR="001A5131" w:rsidRDefault="00A86482" w:rsidP="004B47B5">
      <w:pPr>
        <w:pStyle w:val="Heading2"/>
        <w:spacing w:line="480" w:lineRule="auto"/>
      </w:pPr>
      <w:r>
        <w:t xml:space="preserve">Dual Column Chromatography </w:t>
      </w:r>
      <w:r w:rsidR="001A5131">
        <w:t>Design</w:t>
      </w:r>
    </w:p>
    <w:p w14:paraId="50AD0271" w14:textId="4F0E7DD0" w:rsidR="003228AC" w:rsidRDefault="00A86482" w:rsidP="004B47B5">
      <w:pPr>
        <w:spacing w:line="480" w:lineRule="auto"/>
      </w:pPr>
      <w:r>
        <w:t>Dual</w:t>
      </w:r>
      <w:r w:rsidR="00903475">
        <w:t xml:space="preserve"> chromatography</w:t>
      </w:r>
      <w:r>
        <w:t xml:space="preserve"> is the simplest and perhaps easiest form of ICB that can be implemented</w:t>
      </w:r>
      <w:r w:rsidR="00B007DB">
        <w:t xml:space="preserve"> </w:t>
      </w:r>
      <w:r w:rsidR="00B007DB">
        <w:fldChar w:fldCharType="begin"/>
      </w:r>
      <w:r w:rsidR="004B47B5">
        <w:instrText xml:space="preserve"> ADDIN EN.CITE &lt;EndNote&gt;&lt;Cite&gt;&lt;Author&gt;Angarita&lt;/Author&gt;&lt;Year&gt;2015&lt;/Year&gt;&lt;IDText&gt;Twin-column CaptureSMB: a novel cyclic process for protein A affinity chromatography&lt;/IDText&gt;&lt;DisplayText&gt;(Angarita et al., 2015)&lt;/DisplayText&gt;&lt;record&gt;&lt;urls&gt;&lt;related-urls&gt;&lt;url&gt;https://www.sciencedirect.com/science/article/abs/pii/S0021967315003039?via%3Dihub&lt;/url&gt;&lt;/related-urls&gt;&lt;/urls&gt;&lt;isbn&gt;0021-9673&lt;/isbn&gt;&lt;titles&gt;&lt;title&gt;Twin-column CaptureSMB: a novel cyclic process for protein A affinity chromatography&lt;/title&gt;&lt;secondary-title&gt;Journal of Chromatography A&lt;/secondary-title&gt;&lt;/titles&gt;&lt;pages&gt;85-95&lt;/pages&gt;&lt;contributors&gt;&lt;authors&gt;&lt;author&gt;Angarita, Monica&lt;/author&gt;&lt;author&gt;Müller-Späth, Thomas&lt;/author&gt;&lt;author&gt;Baur, Daniel&lt;/author&gt;&lt;author&gt;Lievrouw, Roel&lt;/author&gt;&lt;author&gt;Lissens, Geert&lt;/author&gt;&lt;author&gt;Morbidelli, Massimo &lt;/author&gt;&lt;/authors&gt;&lt;/contributors&gt;&lt;added-date format="utc"&gt;1597775526&lt;/added-date&gt;&lt;ref-type name="Journal Article"&gt;17&lt;/ref-type&gt;&lt;dates&gt;&lt;year&gt;2015&lt;/year&gt;&lt;/dates&gt;&lt;rec-number&gt;192&lt;/rec-number&gt;&lt;last-updated-date format="utc"&gt;1601218039&lt;/last-updated-date&gt;&lt;volume&gt;1389&lt;/volume&gt;&lt;/record&gt;&lt;/Cite&gt;&lt;/EndNote&gt;</w:instrText>
      </w:r>
      <w:r w:rsidR="00B007DB">
        <w:fldChar w:fldCharType="separate"/>
      </w:r>
      <w:r w:rsidR="004B47B5">
        <w:rPr>
          <w:noProof/>
        </w:rPr>
        <w:t>(Angarita et al., 2015)</w:t>
      </w:r>
      <w:r w:rsidR="00B007DB">
        <w:fldChar w:fldCharType="end"/>
      </w:r>
      <w:r>
        <w:t xml:space="preserve">. The high-level skid design shown in Figure </w:t>
      </w:r>
      <w:r w:rsidR="006460F7">
        <w:t>3</w:t>
      </w:r>
      <w:r>
        <w:t xml:space="preserve"> allows flexibility for ICB and batch processing. The system uses two pump sizes. A smaller pump is used for the solution concentrates. Larger pumps are used for the diluent and the load. </w:t>
      </w:r>
      <w:r w:rsidR="00903475">
        <w:t xml:space="preserve"> </w:t>
      </w:r>
      <w:r>
        <w:t>This design has a large</w:t>
      </w:r>
      <w:r w:rsidR="00F32133">
        <w:t xml:space="preserve"> processing</w:t>
      </w:r>
      <w:r>
        <w:t xml:space="preserve"> range. </w:t>
      </w:r>
      <w:r w:rsidR="00045625">
        <w:t xml:space="preserve">The overall accurate flow rate range is 0.3 to 12.5 L/min. </w:t>
      </w:r>
      <w:r>
        <w:t xml:space="preserve">High productivity processes use solution concentrates and dilute with water. The largest </w:t>
      </w:r>
      <w:r w:rsidR="00024969">
        <w:t>processing</w:t>
      </w:r>
      <w:r>
        <w:t xml:space="preserve"> </w:t>
      </w:r>
      <w:r w:rsidR="007B1224">
        <w:t>possible on this system is two 25L columns operated in series</w:t>
      </w:r>
      <w:r w:rsidR="00024969">
        <w:t xml:space="preserve">, allowing for </w:t>
      </w:r>
      <w:r w:rsidR="007B1224">
        <w:t>57.6kg/day</w:t>
      </w:r>
      <w:r w:rsidR="00024969">
        <w:t xml:space="preserve">. </w:t>
      </w:r>
      <w:r w:rsidR="0097587D">
        <w:t xml:space="preserve">The smallest mass that can be processed uses only the smaller pump with no dilution at the lowest accurate flow rate, allowing the use of a 0.6L column. This set up processes as little as 36g per day.  </w:t>
      </w:r>
      <w:r w:rsidR="00160AB4">
        <w:t xml:space="preserve">Two </w:t>
      </w:r>
      <w:r w:rsidR="00160AB4">
        <w:lastRenderedPageBreak/>
        <w:t>columns operated in parallel can process</w:t>
      </w:r>
      <w:r w:rsidR="00C26EC3">
        <w:t xml:space="preserve"> as much as</w:t>
      </w:r>
      <w:r w:rsidR="00160AB4">
        <w:t xml:space="preserve"> 48kg/day, due to the decreased effective capacity of the column.</w:t>
      </w:r>
      <w:r w:rsidR="00024969">
        <w:t xml:space="preserve"> </w:t>
      </w:r>
      <w:r w:rsidR="002B0DBC">
        <w:t xml:space="preserve">For plants that desire this degree of flexibility, </w:t>
      </w:r>
      <w:r w:rsidR="00045625">
        <w:t xml:space="preserve">the product flow path on such a skid would </w:t>
      </w:r>
      <w:r w:rsidR="008C6F26">
        <w:t xml:space="preserve">be single </w:t>
      </w:r>
      <w:proofErr w:type="gramStart"/>
      <w:r w:rsidR="008C6F26">
        <w:t>use, and</w:t>
      </w:r>
      <w:proofErr w:type="gramEnd"/>
      <w:r w:rsidR="008C6F26">
        <w:t xml:space="preserve"> allow a high-flow and a low-flow tubing kit to avoid product dilution at the low flow rate range. </w:t>
      </w:r>
      <w:r w:rsidR="002B0DBC">
        <w:t xml:space="preserve"> Most plants would not need this degree of flexibility and the full range of productivity will depend upon the tubing diameter and the extra-column volume. </w:t>
      </w:r>
    </w:p>
    <w:p w14:paraId="4B994F7F" w14:textId="77777777" w:rsidR="00F64399" w:rsidRDefault="00C26EC3" w:rsidP="004B47B5">
      <w:pPr>
        <w:spacing w:line="480" w:lineRule="auto"/>
      </w:pPr>
      <w:r>
        <w:t xml:space="preserve">The downstream process is tolerant to changes in productivity in the upstream in two ways. Firstly, the columns can be underloaded. The load range the Protein A is assumed to be 10g/L-72g/L. The second is that the columns can be cycled as few as once per day, to as many as sixteen times per day. The lower limit is set, in part, by the bioburden control strategy, in that we prefer to load a column less than 12 hours before sanitizing it. The total in-batch range of productivity is therefore </w:t>
      </w:r>
      <w:proofErr w:type="gramStart"/>
      <w:r>
        <w:t>230 fold</w:t>
      </w:r>
      <w:proofErr w:type="gramEnd"/>
      <w:r>
        <w:t xml:space="preserve">. Between batches, the columns can be changed in size from 0.6L to 25L. Thus, the overall batch-to-batch productivity range for the downstream is 9600-fold range. </w:t>
      </w:r>
    </w:p>
    <w:p w14:paraId="5AE1CA01" w14:textId="01F131E5" w:rsidR="0063232D" w:rsidRDefault="0063232D" w:rsidP="004B47B5">
      <w:pPr>
        <w:spacing w:line="480" w:lineRule="auto"/>
      </w:pPr>
      <w:r>
        <w:t xml:space="preserve">The </w:t>
      </w:r>
      <w:r w:rsidR="00C26EC3">
        <w:t xml:space="preserve">average </w:t>
      </w:r>
      <w:r>
        <w:t xml:space="preserve">number of cycles per day is set to avoid changing </w:t>
      </w:r>
      <w:r w:rsidR="00995D71">
        <w:t>columns</w:t>
      </w:r>
      <w:r>
        <w:t xml:space="preserve"> during the </w:t>
      </w:r>
      <w:r w:rsidR="00004A26">
        <w:t>20-day</w:t>
      </w:r>
      <w:r>
        <w:t xml:space="preserve"> run for commercial processes. Each column is cycled 10 times per day, for a total cycling of 200 cycles per lot. While column lifetime may vary from product to product, targeting 200 cycles is not overly burdensome for commercial processes. Poorer column lifetime will require larger columns and fewer cycles per day. </w:t>
      </w:r>
    </w:p>
    <w:p w14:paraId="7B590A1C" w14:textId="42F8DDEC" w:rsidR="008C6F26" w:rsidRDefault="008C6F26" w:rsidP="004B47B5">
      <w:pPr>
        <w:spacing w:line="480" w:lineRule="auto"/>
      </w:pPr>
      <w:r>
        <w:t xml:space="preserve">The system also has UV absorbance detection with two path lengths to allow both high and low concentration measurement. Ideally, the UV detector would be linear up to concentrations of </w:t>
      </w:r>
      <w:r>
        <w:lastRenderedPageBreak/>
        <w:t>150 g/L, or about 200 AU/cm. A detector with 0.1mm and 1.0mm path lengths would be sufficient. These detection limits are necessary to enable accurate yield calculations on every cycle. Optionally, the detector would allow a scan of absorbance from 230 nm to 320 nm. Spectral analysis of column peaks can be used to estimate purity</w:t>
      </w:r>
      <w:r w:rsidR="00396DE1">
        <w:t xml:space="preserve"> </w:t>
      </w:r>
      <w:r w:rsidR="00396DE1">
        <w:fldChar w:fldCharType="begin">
          <w:fldData xml:space="preserve">PEVuZE5vdGU+PENpdGU+PEF1dGhvcj5CcmVzdHJpY2g8L0F1dGhvcj48WWVhcj4yMDE0PC9ZZWFy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</w:fldData>
        </w:fldChar>
      </w:r>
      <w:r w:rsidR="004B47B5">
        <w:instrText xml:space="preserve"> ADDIN EN.CITE </w:instrText>
      </w:r>
      <w:r w:rsidR="004B47B5">
        <w:fldChar w:fldCharType="begin">
          <w:fldData xml:space="preserve">PEVuZE5vdGU+PENpdGU+PEF1dGhvcj5CcmVzdHJpY2g8L0F1dGhvcj48WWVhcj4yMDE0PC9ZZWFy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</w:fldData>
        </w:fldChar>
      </w:r>
      <w:r w:rsidR="004B47B5">
        <w:instrText xml:space="preserve"> ADDIN EN.CITE.DATA </w:instrText>
      </w:r>
      <w:r w:rsidR="004B47B5">
        <w:fldChar w:fldCharType="end"/>
      </w:r>
      <w:r w:rsidR="00396DE1">
        <w:fldChar w:fldCharType="separate"/>
      </w:r>
      <w:r w:rsidR="004B47B5">
        <w:rPr>
          <w:noProof/>
        </w:rPr>
        <w:t>(Brestrich et al., 2014; Brestrich et al., 2016; Brestrich et al., 2015)</w:t>
      </w:r>
      <w:r w:rsidR="00396DE1">
        <w:fldChar w:fldCharType="end"/>
      </w:r>
      <w:r>
        <w:t xml:space="preserve">. Additional data </w:t>
      </w:r>
      <w:r w:rsidR="00396DE1">
        <w:t>connections</w:t>
      </w:r>
      <w:r>
        <w:t xml:space="preserve"> should be available for expanding PAT methods that are not described here. </w:t>
      </w:r>
    </w:p>
    <w:p w14:paraId="0F639FF8" w14:textId="7F825058" w:rsidR="00D81BC5" w:rsidRDefault="4C852D9A" w:rsidP="004B47B5">
      <w:pPr>
        <w:spacing w:line="480" w:lineRule="auto"/>
      </w:pPr>
      <w:r>
        <w:t>The dual column chromatography skid may not benefit from being single use, depending upon the application. Small lot sizes will have an increased burden of on the COGM of the single use assemblies. This burden is less important in clinical manufacturing, where flexibility and change</w:t>
      </w:r>
      <w:r w:rsidR="007338BC">
        <w:t>-</w:t>
      </w:r>
      <w:r>
        <w:t>over time might be more important. This burden is also less important for very large batches, such as those derived from the 4x2000L example. Plants producing more material than the 4x2000L example would be limited by the available SU column sizes, large SU valves, and the number of SU containers for media and solution preparation and storage. SU pumps are not limiting:  A system based on commonly used single use pumps (</w:t>
      </w:r>
      <w:proofErr w:type="spellStart"/>
      <w:r>
        <w:t>Quatroflo</w:t>
      </w:r>
      <w:proofErr w:type="spellEnd"/>
      <w:r>
        <w:t xml:space="preserve"> 4400SU, 83L/min max, and </w:t>
      </w:r>
      <w:proofErr w:type="spellStart"/>
      <w:r>
        <w:t>Quatroflo</w:t>
      </w:r>
      <w:proofErr w:type="spellEnd"/>
      <w:r>
        <w:t xml:space="preserve"> 1200SU, 20L/min max) could conceivably be used to process nearly 400kg/day.</w:t>
      </w:r>
    </w:p>
    <w:p w14:paraId="6520C9F3" w14:textId="75810635" w:rsidR="00F64399" w:rsidRDefault="00F64399" w:rsidP="004B47B5">
      <w:pPr>
        <w:spacing w:line="480" w:lineRule="auto"/>
      </w:pPr>
      <w:r>
        <w:t xml:space="preserve">The dual column system is backward compatible with batch processing. The downstream can process 48kg/day, </w:t>
      </w:r>
      <w:r w:rsidR="00636DAE">
        <w:t>or from a fed-batch with</w:t>
      </w:r>
      <w:r>
        <w:t xml:space="preserve"> 24g/L titer, from each of the four bioreactors if they are harvested on different days. This titer is well in excess of any standard fed batch process. </w:t>
      </w:r>
    </w:p>
    <w:p w14:paraId="594C9420" w14:textId="46806C25" w:rsidR="00496D7A" w:rsidRDefault="00496D7A" w:rsidP="00496D7A">
      <w:pPr>
        <w:pStyle w:val="Heading2"/>
      </w:pPr>
      <w:r>
        <w:lastRenderedPageBreak/>
        <w:t>Virus Inactivation</w:t>
      </w:r>
    </w:p>
    <w:p w14:paraId="47C1A7E0" w14:textId="45513049" w:rsidR="00496D7A" w:rsidRDefault="0098366C" w:rsidP="004B47B5">
      <w:pPr>
        <w:spacing w:line="480" w:lineRule="auto"/>
      </w:pPr>
      <w:r>
        <w:t xml:space="preserve">The framework virus inactivation step supports both batch </w:t>
      </w:r>
      <w:r w:rsidR="00004A26">
        <w:t xml:space="preserve">and continuous </w:t>
      </w:r>
      <w:r>
        <w:t>virus inactivation. The skid performs on-line titration of the peak as it elutes from the Protein A step. The acidified peak then goes into a tank for the batch operation or into a plug flow reactor (PFR) for continuous inactivation. At the end of the incubation time, the product stream is neutralized before passing to the next step.</w:t>
      </w:r>
    </w:p>
    <w:p w14:paraId="7AD33BCA" w14:textId="56B64526" w:rsidR="0098366C" w:rsidRDefault="0098366C" w:rsidP="004B47B5">
      <w:pPr>
        <w:spacing w:line="480" w:lineRule="auto"/>
      </w:pPr>
      <w:r>
        <w:t xml:space="preserve">Those processes that use a surge tank prior to the virus inactivation step will have a homogeneous </w:t>
      </w:r>
      <w:r w:rsidR="00AF667D">
        <w:t xml:space="preserve">product stream entering and exiting the PFR. This homogeneity allows for either a volume-based titration, or one based on a closed-loop pH control. Those steps that </w:t>
      </w:r>
      <w:r w:rsidR="00906BBE">
        <w:t xml:space="preserve">titrate the peak </w:t>
      </w:r>
      <w:r w:rsidR="00004A26">
        <w:t>in-line without a surge tank</w:t>
      </w:r>
      <w:r w:rsidR="00906BBE">
        <w:t xml:space="preserve"> will require some feed-forward control based on UV. The UV signal from the Protein A skid will require integration with the virus inactivation skid, or the VI skid will require a UV sensor on the inlet. </w:t>
      </w:r>
    </w:p>
    <w:p w14:paraId="398FB82B" w14:textId="7CEC4368" w:rsidR="006F1B28" w:rsidRDefault="006F1B28" w:rsidP="006F1B28">
      <w:pPr>
        <w:pStyle w:val="Heading2"/>
      </w:pPr>
      <w:r>
        <w:t xml:space="preserve">Depth Filtration </w:t>
      </w:r>
    </w:p>
    <w:p w14:paraId="0EE2E2B9" w14:textId="7DE49447" w:rsidR="006F1B28" w:rsidRDefault="006F1B28" w:rsidP="004B47B5">
      <w:pPr>
        <w:spacing w:line="480" w:lineRule="auto"/>
      </w:pPr>
      <w:r>
        <w:t xml:space="preserve">High-density fed-batch processes precipitate HCP and other impurities after the low pH virus inactivation process. The particulates are removed typically by a depth filter. </w:t>
      </w:r>
    </w:p>
    <w:p w14:paraId="769A42DD" w14:textId="2F0A58EC" w:rsidR="006F1B28" w:rsidRDefault="006F1B28" w:rsidP="004B47B5">
      <w:pPr>
        <w:spacing w:line="480" w:lineRule="auto"/>
      </w:pPr>
      <w:r>
        <w:t xml:space="preserve">Perfusion based processes do not precipitate with the same frequency or degree. The framework process requires the capability of adding a depth filter. The depth filter has challenges for continuous processing. There are not many depth filters that arrive sterile or have a low bioburden specification. This means that depth filtration is an opportunity for bioburden to enter the process. Some depth filters can be sanitized with various solutions, hydroxide being the most typical. </w:t>
      </w:r>
    </w:p>
    <w:p w14:paraId="3B022BD4" w14:textId="523DDB5D" w:rsidR="006F1B28" w:rsidRPr="006F1B28" w:rsidRDefault="006F1B28" w:rsidP="004B47B5">
      <w:pPr>
        <w:spacing w:line="480" w:lineRule="auto"/>
      </w:pPr>
      <w:r>
        <w:lastRenderedPageBreak/>
        <w:t>Since the depth filter capacity is so low (100 L/m</w:t>
      </w:r>
      <w:r>
        <w:rPr>
          <w:vertAlign w:val="superscript"/>
        </w:rPr>
        <w:t>2</w:t>
      </w:r>
      <w:r>
        <w:t xml:space="preserve">), it will require frequent changing. The framework presumes daily changing.  The filter area is proportional to the Protein A column </w:t>
      </w:r>
      <w:proofErr w:type="gramStart"/>
      <w:r>
        <w:t>volume, and</w:t>
      </w:r>
      <w:proofErr w:type="gramEnd"/>
      <w:r>
        <w:t xml:space="preserve"> varies from 0.5 m</w:t>
      </w:r>
      <w:r>
        <w:rPr>
          <w:vertAlign w:val="superscript"/>
        </w:rPr>
        <w:t>2</w:t>
      </w:r>
      <w:r>
        <w:t xml:space="preserve"> for the clinical process to 13m</w:t>
      </w:r>
      <w:r>
        <w:rPr>
          <w:vertAlign w:val="superscript"/>
        </w:rPr>
        <w:t>2</w:t>
      </w:r>
      <w:r>
        <w:t xml:space="preserve"> for the 500kg process. While 13m</w:t>
      </w:r>
      <w:r>
        <w:rPr>
          <w:vertAlign w:val="superscript"/>
        </w:rPr>
        <w:t>2</w:t>
      </w:r>
      <w:r>
        <w:t xml:space="preserve"> is seen commonly in manufacturing plants, it is large and is best </w:t>
      </w:r>
      <w:r w:rsidR="007C4E36">
        <w:t xml:space="preserve">flushed with its own pump system. </w:t>
      </w:r>
    </w:p>
    <w:p w14:paraId="4DC35BFB" w14:textId="10556381" w:rsidR="00A676F3" w:rsidRPr="00A676F3" w:rsidRDefault="00A676F3" w:rsidP="008002C6">
      <w:pPr>
        <w:pStyle w:val="Heading2"/>
      </w:pPr>
      <w:r w:rsidRPr="00A676F3">
        <w:t xml:space="preserve">Virus </w:t>
      </w:r>
      <w:r w:rsidR="00F77AFB">
        <w:t>retentive</w:t>
      </w:r>
      <w:r w:rsidRPr="00A676F3">
        <w:t xml:space="preserve"> filtration (VRF)</w:t>
      </w:r>
    </w:p>
    <w:p w14:paraId="5AAC8785" w14:textId="2A155C99" w:rsidR="00A676F3" w:rsidRDefault="747B87A7" w:rsidP="004B47B5">
      <w:pPr>
        <w:spacing w:line="480" w:lineRule="auto"/>
      </w:pPr>
      <w:r>
        <w:t xml:space="preserve">Virus filtration provides a robust and scalable solution for viral clearance in biologic manufacturing. The choice of a suitable virus filter is governed by a combination of feed characteristics and process parameters. Therefore, the lack of in-depth understanding has, for many, restricted the VRF process to a batch operation. Table </w:t>
      </w:r>
      <w:r w:rsidR="006460F7">
        <w:t>1 and 2</w:t>
      </w:r>
      <w:r>
        <w:t xml:space="preserve"> depict various scenarios for a VRF process following the second polishing step. As shown in Table </w:t>
      </w:r>
      <w:r w:rsidR="006460F7">
        <w:t>2</w:t>
      </w:r>
      <w:r>
        <w:t>, the low productivity scenario would necessitate a membrane area of 0.5 m</w:t>
      </w:r>
      <w:r w:rsidRPr="747B87A7">
        <w:rPr>
          <w:vertAlign w:val="superscript"/>
        </w:rPr>
        <w:t>2</w:t>
      </w:r>
      <w:r>
        <w:t xml:space="preserve">. Each VRF sub-batch is expected to be operated at 24 h intervals. Here, each sub-batch will take roughly three hours, yielding the final product pool of 277 </w:t>
      </w:r>
      <w:proofErr w:type="spellStart"/>
      <w:r>
        <w:t>Litres</w:t>
      </w:r>
      <w:proofErr w:type="spellEnd"/>
      <w:r>
        <w:t xml:space="preserve"> at 24 g/L (Table </w:t>
      </w:r>
      <w:r w:rsidR="006460F7">
        <w:t>2</w:t>
      </w:r>
      <w:r>
        <w:t xml:space="preserve">). The concomitant adjustments in membrane area and other operating parameters towards changes in capacity and productivity are mentioned in the supplementary information (Table </w:t>
      </w:r>
      <w:r w:rsidR="006460F7">
        <w:t>2</w:t>
      </w:r>
      <w:r>
        <w:t xml:space="preserve"> &amp; SI Table). </w:t>
      </w:r>
    </w:p>
    <w:p w14:paraId="0D05F395" w14:textId="79FD8843" w:rsidR="00A676F3" w:rsidRDefault="00A676F3" w:rsidP="006A53EE">
      <w:pPr>
        <w:pStyle w:val="Heading2"/>
      </w:pPr>
      <w:r>
        <w:t>Ultrafiltration and Diafiltration (UF/DF)</w:t>
      </w:r>
    </w:p>
    <w:p w14:paraId="2F0F0FCC" w14:textId="4C347DED" w:rsidR="005D1514" w:rsidRDefault="00A429DF" w:rsidP="004B47B5">
      <w:pPr>
        <w:spacing w:line="480" w:lineRule="auto"/>
      </w:pPr>
      <w:r>
        <w:t xml:space="preserve">The common framework process enables both batch and single-pass (SP) ultrafiltration and diafiltration (UFDF). </w:t>
      </w:r>
      <w:r w:rsidR="005D1514">
        <w:t xml:space="preserve">The framework uses a flexible single-use skid with the same pumps and different flow path to accommodate both operations. </w:t>
      </w:r>
    </w:p>
    <w:p w14:paraId="02014325" w14:textId="55B69FE1" w:rsidR="00B304B0" w:rsidRDefault="00A676F3" w:rsidP="004B47B5">
      <w:pPr>
        <w:spacing w:line="480" w:lineRule="auto"/>
      </w:pPr>
      <w:r w:rsidRPr="002F271B">
        <w:lastRenderedPageBreak/>
        <w:t xml:space="preserve">The </w:t>
      </w:r>
      <w:r w:rsidR="007058E1">
        <w:t xml:space="preserve">batch </w:t>
      </w:r>
      <w:r w:rsidRPr="002F271B">
        <w:t>UF/DF step</w:t>
      </w:r>
      <w:r w:rsidR="005D1514">
        <w:t xml:space="preserve"> is shown in Figure </w:t>
      </w:r>
      <w:r w:rsidR="006460F7">
        <w:t xml:space="preserve">5 </w:t>
      </w:r>
      <w:r w:rsidR="005D1514">
        <w:t xml:space="preserve">and </w:t>
      </w:r>
      <w:r w:rsidRPr="002F271B">
        <w:t>involves batch tangential flow filtration (TFF) and a recirculation skid to attain the desired product concentration.</w:t>
      </w:r>
      <w:r w:rsidR="00A429DF">
        <w:t xml:space="preserve"> </w:t>
      </w:r>
      <w:r w:rsidR="007058E1">
        <w:t xml:space="preserve">The framework process performs a batch UFDF frequently to avoid the need for a large system.  </w:t>
      </w:r>
      <w:r w:rsidR="005D1514" w:rsidRPr="002F271B">
        <w:t xml:space="preserve">The entire UF/DF process will be split into </w:t>
      </w:r>
      <w:r w:rsidR="005D1514">
        <w:t xml:space="preserve">as many as </w:t>
      </w:r>
      <w:r w:rsidR="005D1514" w:rsidRPr="002F271B">
        <w:t xml:space="preserve">20 sub-batches that are expected to be in-sync with the VRF process. </w:t>
      </w:r>
      <w:r w:rsidR="007058E1">
        <w:t xml:space="preserve">A concentration step is operated continuously as the run progresses. Periodically, the concentrated pool is moved to </w:t>
      </w:r>
      <w:r w:rsidR="005D1514">
        <w:t xml:space="preserve">the DF </w:t>
      </w:r>
      <w:r w:rsidR="007058E1">
        <w:t>retentate tank where the</w:t>
      </w:r>
      <w:r w:rsidR="005D1514">
        <w:t xml:space="preserve"> diafiltration</w:t>
      </w:r>
      <w:r w:rsidR="007058E1">
        <w:t xml:space="preserve"> is performed. The material is moved to the final in-process retentate pool where the final UF concentration occurs continuously as the run progresses. </w:t>
      </w:r>
      <w:r w:rsidR="005D1514" w:rsidRPr="002F271B">
        <w:t xml:space="preserve">Table </w:t>
      </w:r>
      <w:r w:rsidR="006460F7">
        <w:t>1 and 2</w:t>
      </w:r>
      <w:r w:rsidR="005D1514" w:rsidRPr="002F271B">
        <w:t>, depicts the process parameters and throughput for a typical TFF module</w:t>
      </w:r>
      <w:r w:rsidR="005D1514">
        <w:t xml:space="preserve">. </w:t>
      </w:r>
      <w:r w:rsidR="005D1514" w:rsidRPr="002F271B">
        <w:t xml:space="preserve"> </w:t>
      </w:r>
      <w:r w:rsidR="007058E1">
        <w:t xml:space="preserve">The size of the filters and pumps used is similar across all scales by controlling </w:t>
      </w:r>
      <w:r w:rsidR="00846BE4">
        <w:t>the frequency</w:t>
      </w:r>
      <w:r w:rsidR="007058E1">
        <w:t xml:space="preserve"> of the batch operation. </w:t>
      </w:r>
      <w:r w:rsidR="00B304B0">
        <w:t>T</w:t>
      </w:r>
      <w:r w:rsidR="007058E1">
        <w:t>he filter used for the</w:t>
      </w:r>
      <w:r w:rsidR="005D1514">
        <w:t xml:space="preserve"> clinical</w:t>
      </w:r>
      <w:r w:rsidR="007058E1">
        <w:t xml:space="preserve"> 6</w:t>
      </w:r>
      <w:r w:rsidR="00B304B0">
        <w:t xml:space="preserve"> </w:t>
      </w:r>
      <w:r w:rsidR="007058E1">
        <w:t>kg DF is 0</w:t>
      </w:r>
      <w:r w:rsidR="00B304B0">
        <w:t>.2-1</w:t>
      </w:r>
      <w:r w:rsidR="007058E1">
        <w:t xml:space="preserve"> m</w:t>
      </w:r>
      <w:r w:rsidR="007058E1" w:rsidRPr="005D1514">
        <w:rPr>
          <w:vertAlign w:val="superscript"/>
        </w:rPr>
        <w:t>2</w:t>
      </w:r>
      <w:r w:rsidR="007058E1">
        <w:t xml:space="preserve"> and for the</w:t>
      </w:r>
      <w:r w:rsidR="005D1514">
        <w:t xml:space="preserve"> commercial </w:t>
      </w:r>
      <w:r w:rsidR="007058E1">
        <w:t xml:space="preserve">500kg batch is </w:t>
      </w:r>
      <w:r w:rsidR="00B304B0">
        <w:t>0.4-</w:t>
      </w:r>
      <w:r w:rsidR="007058E1">
        <w:t>4m</w:t>
      </w:r>
      <w:r w:rsidR="007058E1" w:rsidRPr="005D1514">
        <w:rPr>
          <w:vertAlign w:val="superscript"/>
        </w:rPr>
        <w:t>2</w:t>
      </w:r>
      <w:r w:rsidR="00B304B0">
        <w:t>. E</w:t>
      </w:r>
      <w:r w:rsidR="007058E1">
        <w:t xml:space="preserve">ach are sub batched </w:t>
      </w:r>
      <w:r w:rsidR="00B304B0">
        <w:t>one</w:t>
      </w:r>
      <w:r w:rsidR="007058E1">
        <w:t xml:space="preserve"> time and </w:t>
      </w:r>
      <w:r w:rsidR="00B304B0">
        <w:t>twenty</w:t>
      </w:r>
      <w:r w:rsidR="007058E1">
        <w:t xml:space="preserve"> times, respectively. </w:t>
      </w:r>
    </w:p>
    <w:p w14:paraId="598E45BB" w14:textId="7F25F1C9" w:rsidR="004E0F55" w:rsidRDefault="00C5287B" w:rsidP="004B47B5">
      <w:pPr>
        <w:spacing w:line="480" w:lineRule="auto"/>
      </w:pPr>
      <w:r>
        <w:t>T</w:t>
      </w:r>
      <w:r w:rsidR="1B476BAB">
        <w:t>he volume of DF buffer required for a batch with high</w:t>
      </w:r>
      <w:r w:rsidR="00CC6752">
        <w:t xml:space="preserve"> </w:t>
      </w:r>
      <w:r w:rsidR="1B476BAB">
        <w:t>productivity can be prohibitively high</w:t>
      </w:r>
      <w:r>
        <w:t xml:space="preserve"> (Table 2 and SI Table)</w:t>
      </w:r>
      <w:r w:rsidR="1B476BAB">
        <w:t>. For the 500kg batch, the DF buffer volume is 66,000L</w:t>
      </w:r>
      <w:r w:rsidR="00AF5897">
        <w:t>, which is 25% of the total downstream solution volume</w:t>
      </w:r>
      <w:r w:rsidR="1B476BAB">
        <w:t xml:space="preserve">. This issue can be partially mitigated by the use of buffer concentrates </w:t>
      </w:r>
      <w:r w:rsidR="00AF5897">
        <w:t>or in-line conditioning</w:t>
      </w:r>
      <w:r w:rsidR="1B476BAB">
        <w:t xml:space="preserve">. </w:t>
      </w:r>
      <w:r>
        <w:t>A</w:t>
      </w:r>
      <w:r w:rsidR="00AF5897">
        <w:t xml:space="preserve">ccurate pumps are needed for this final step. </w:t>
      </w:r>
    </w:p>
    <w:p w14:paraId="14FA61FC" w14:textId="33A92169" w:rsidR="00A676F3" w:rsidRDefault="1B476BAB" w:rsidP="004B47B5">
      <w:pPr>
        <w:spacing w:line="480" w:lineRule="auto"/>
      </w:pPr>
      <w:r>
        <w:t xml:space="preserve">Recently, alternative approaches to overcome shortfalls of the typical UF/DF operation have been reported in the literature. The advent of single-pass tangential flow filtration (SPTFF) membrane filtration modules has made it possible to attain high protein concentration factors in a ‘single-pass’ while eliminating the need for repeated product recirculation </w:t>
      </w:r>
      <w:r w:rsidR="00A676F3">
        <w:fldChar w:fldCharType="begin" w:fldLock="1"/>
      </w:r>
      <w:r w:rsidR="00A676F3">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A676F3">
        <w:fldChar w:fldCharType="separate"/>
      </w:r>
      <w:r w:rsidRPr="1B476BAB">
        <w:rPr>
          <w:noProof/>
        </w:rPr>
        <w:t>(Jungbauer, 2013)</w:t>
      </w:r>
      <w:r w:rsidR="00A676F3">
        <w:fldChar w:fldCharType="end"/>
      </w:r>
      <w:r>
        <w:t xml:space="preserve">. The use of multistage SPTFF cascade for continuous diafiltration of proteins using </w:t>
      </w:r>
      <w:proofErr w:type="spellStart"/>
      <w:r>
        <w:lastRenderedPageBreak/>
        <w:t>cocurrent</w:t>
      </w:r>
      <w:proofErr w:type="spellEnd"/>
      <w:r>
        <w:t xml:space="preserve"> and countercurrent mode have been demonstrated </w:t>
      </w:r>
      <w:r w:rsidR="00A676F3">
        <w:fldChar w:fldCharType="begin" w:fldLock="1"/>
      </w:r>
      <w:r w:rsidR="00A676F3">
        <w:instrText>ADDIN CSL_CITATION {"citationItems":[{"id":"ITEM-1","itemData":{"DOI":"10.1002/biot.201800061","ISSN":"1860-6768","abstract":"The changing landscape of the biopharmaceutical market is driving a paradigm shift toward continuous manufacturing. To date, integrated continuous bioprocessing has not been realized as enabling technologies are nascent. In this work, a fully integrated continuous process is successfully demonstrated from pilot scale bioreactor to drug substance. Comparable product quality is observed between the continuous process and a 500 L fed-batch conventional process. The continuous process generated material at a rate of 1 kg of purified mAb every 4 days, achieving a 4.6-fold increase in productivity compared to the fed-batch process A plant throughput analysis using BioSolve software shows that a fed-batch facility with 4 × 12 500 L stainless steel bioreactors and purification train of the corresponding scale can be replaced by a continuous facility consisting of 5 × 2000 L single use bioreactors and smaller purification train, with a cost reduction of 15%.","author":[{"dropping-particle":"","family":"Arnold","given":"Lindsay","non-dropping-particle":"","parse-names":false,"suffix":""},{"dropping-particle":"","family":"Lee","given":"Kenneth","non-dropping-particle":"","parse-names":false,"suffix":""},{"dropping-particle":"","family":"Rucker‐Pezzini","given":"Joanna","non-dropping-particle":"","parse-names":false,"suffix":""},{"dropping-particle":"","family":"Lee","given":"Jeong H.","non-dropping-particle":"","parse-names":false,"suffix":""}],"container-title":"Biotechnology Journal","id":"ITEM-1","issue":"2","issued":{"date-parts":[["2019","2","22"]]},"page":"1800061","title":"Implementation of Fully Integrated Continuous Antibody Processing: Effects on Productivity and COGm","type":"article-journal","volume":"14"},"uris":["http://www.mendeley.com/documents/?uuid=e9d221df-677f-4645-8475-580f1d2650df"]},{"id":"ITEM-2","itemData":{"DOI":"10.3390/pr7060317","ISSN":"2227-9717","abstract":"In this study the Single-Pass-Tangential-Flow-Filtration (SPTFF) concept for continuous ultrafiltration in bioprocessing is investigated. Based on a previously validated physico-chemical model for a single ultrafiltration cassette, the transfer to a multistage SPTFF is predicted and validated experimentally by concentration steps for bovine serum albumin (BSA) and the monoclonal antibody immunoglobulin G (IgG) are compared. The model applied for the ultrafiltration membrane contains the Stagnant Film Model (SFM) for concentration polarization, as well as the Osmotic Pressure Model (OPM) and the Boundary Layer Model (BLM) for the mass transfer through the membrane. In addition, pressure drop correlations as a function of the Reynolds number are included to describe the development of the transmembrane pressure over the length of the module. The outcome of this study shows the potential to improve this multi-parameter dependent unit operation by a model-based optimization allowing significant reduction of experimental efforts and applying the Quality by Design (QbD) approach consistently. Consequently, a versatile tool for conceptual process design is presented and further application is discussed.","author":[{"dropping-particle":"","family":"Huter","given":"Maximilian J.","non-dropping-particle":"","parse-names":false,"suffix":""},{"dropping-particle":"","family":"Strube","given":"Jochen","non-dropping-particle":"","parse-names":false,"suffix":""}],"container-title":"Processes","id":"ITEM-2","issue":"6","issued":{"date-parts":[["2019","5","28"]]},"page":"317","title":"Model-Based Design and Process Optimization of Continuous Single Pass Tangential Flow Filtration Focusing on Continuous Bioprocessing","type":"article-journal","volume":"7"},"uris":["http://www.mendeley.com/documents/?uuid=7cd3b7fe-bb56-4324-9d2f-f73af96d4d74"]},{"id":"ITEM-3","itemData":{"DOI":"10.1002/btpr.2810","ISSN":"8756-7938","abstract":"There is growing interest in the development of fully integrated and continuous biomanufacturing processes for the production of monoclonal antibody products. A recent study has demonstrated the feasibility of using a two-stage countercurrent diafiltration (DF) process for continuous product formulation, but this system did not provide sufficient levels of buffer exchange for most applications. The objective of this study was to design and test a three-stage countercurrent DF system that could achieve at least 99.9% buffer exchange over 24 hr of continuous operation. Experimental data were obtained using concentrated solutions of human immunoglobulin G as a model protein, with the extent of vitamin B12 removal used to track the extent of DF. Pall Cadence™ inline concentrators with Delta 30 kD regenerated cellulose membranes were used in the three stages to achieve high conversion in a single pass. The three-stage system showed stable operation with &gt;99.9% vitamin B12 removal and a minimal increase in pressure over the full 24 hr. Modules were effectively cleaned using sodium hydroxide, with nearly complete recovery of water permeability. A simple economic analysis was presented that accounts for the trade-offs between quantity of buffer used and membrane costs for this type of countercurrent staged DF process. The results provide important insights to the design and operation of a continuous process for antibody formulation.","author":[{"dropping-particle":"","family":"Jabra","given":"Mario G.","non-dropping-particle":"","parse-names":false,"suffix":""},{"dropping-particle":"","family":"Yehl","given":"Christopher J.","non-dropping-particle":"","parse-names":false,"suffix":""},{"dropping-particle":"","family":"Zydney","given":"Andrew L.","non-dropping-particle":"","parse-names":false,"suffix":""}],"container-title":"Biotechnology Progress","id":"ITEM-3","issue":"4","issued":{"date-parts":[["2019","7","15"]]},"page":"6-11","title":"Multistage continuous countercurrent diafiltration for formulation of monoclonal antibodies","type":"article-journal","volume":"35"},"uris":["http://www.mendeley.com/documents/?uuid=1e27a021-dc54-43f3-b02b-f8b2bf64e638"]},{"id":"ITEM-4","itemData":{"DOI":"10.1002/bit.26441","ISSN":"10970290","PMID":"28865125","abstract":"A number of groups have studied the application of continuous bioreactors and continuous chromatographic systems as part of efforts to develop an integrated continuous biomanufacturing process. The objective of this study was to examine the feasibility of using a countercurrent staged diafiltration process for continuous protein formulation with reduced buffer requirements. Experiments were performed using a polyclonal immunoglobulin (IgG) with Cadence™ Inline Concentrators. Model equations were developed for the product yield, impurity removal, and buffer requirements as a function of the number of stages and the stage conversion (ratio of permeate to feed flow rate). Data from a countercurrent two-stage system were in excellent agreement with model calculations, demonstrating the potential of using countercurrent staged diafiltration for protein formulation. Model simulations demonstrated the importance of the countercurrent staging on both the extent of buffer exchange and the amount of buffer required per kg of formulated product. The staged diafiltration process not only provides for continuous buffer exchange, it could also provide significant reductions in the number of pump passes while providing opportunities for reduced buffer requirements.","author":[{"dropping-particle":"","family":"Nambiar","given":"Anirudh M.K.","non-dropping-particle":"","parse-names":false,"suffix":""},{"dropping-particle":"","family":"Li","given":"Ying","non-dropping-particle":"","parse-names":false,"suffix":""},{"dropping-particle":"","family":"Zydney","given":"Andrew L.","non-dropping-particle":"","parse-names":false,"suffix":""}],"container-title":"Biotechnology and Bioengineering","id":"ITEM-4","issue":"1","issued":{"date-parts":[["2018"]]},"page":"139-144","title":"Countercurrent staged diafiltration for formulation of high value proteins","type":"article-journal","volume":"115"},"uris":["http://www.mendeley.com/documents/?uuid=93a7029f-bae4-40ac-8e76-62574a426066"]},{"id":"ITEM-5","itemData":{"DOI":"10.1002/bit.26608","ISSN":"1097-0290","author":[{"dropping-particle":"","family":"Rucker-Pezzini","given":"Joanna","non-dropping-particle":"","parse-names":false,"suffix":""},{"dropping-particle":"","family":"Arnold","given":"Lindsay","non-dropping-particle":"","parse-names":false,"suffix":""},{"dropping-particle":"","family":"Hill-Byrne","given":"Kevin","non-dropping-particle":"","parse-names":false,"suffix":""},{"dropping-particle":"","family":"Sharp","given":"Tom","non-dropping-particle":"","parse-names":false,"suffix":""},{"dropping-particle":"","family":"Avazhanskiy","given":"Maksim","non-dropping-particle":"","parse-names":false,"suffix":""},{"dropping-particle":"","family":"Forespring","given":"Chris","non-dropping-particle":"","parse-names":false,"suffix":""}],"container-title":"Biotechnology and Bioengineering","id":"ITEM-5","issued":{"date-parts":[["2018"]]},"title":"Single Pass Diafiltration Integrated into a Fully Continuous mAb Purification Process","type":"article-journal"},"uris":["http://www.mendeley.com/documents/?uuid=58483fbd-9262-46d7-a3e2-8fb7107a6c44"]}],"mendeley":{"formattedCitation":"(Arnold et al., 2019; Huter and Strube, 2019; Jabra et al., 2019; Nambiar et al., 2018; Rucker-Pezzini et al., 2018)","plainTextFormattedCitation":"(Arnold et al., 2019; Huter and Strube, 2019; Jabra et al., 2019; Nambiar et al., 2018; Rucker-Pezzini et al., 2018)","previouslyFormattedCitation":"(Arnold et al., 2019; Huter and Strube, 2019; Jabra et al., 2019; Nambiar et al., 2018; Rucker-Pezzini et al., 2018)"},"properties":{"noteIndex":0},"schema":"https://github.com/citation-style-language/schema/raw/master/csl-citation.json"}</w:instrText>
      </w:r>
      <w:r w:rsidR="00A676F3">
        <w:fldChar w:fldCharType="separate"/>
      </w:r>
      <w:r w:rsidRPr="1B476BAB">
        <w:rPr>
          <w:noProof/>
        </w:rPr>
        <w:t>(Arnold et al., 2019; Huter and Strube, 2019; Jabra et al., 2019; Nambiar et al., 2018; Rucker-Pezzini et al., 2018)</w:t>
      </w:r>
      <w:r w:rsidR="00A676F3">
        <w:fldChar w:fldCharType="end"/>
      </w:r>
      <w:r>
        <w:t xml:space="preserve">. Table 2 describes the proposed implementation of the SPTFF modules for an integrated and continuous UF and countercurrent-DF (CC-DF) process. Here, the feed flow to the UF process is adjusted in a way to spread out each VRF sub-batch pool over 24 h. This allows the UF process to be operated uninterrupted over the entire batch. The retentate stream is then directly fed to the three-stage CC-DF cascade eliminating the need for a surge tank. The DF buffer's countercurrent flow results in at least a 40% reduction in buffer usage than batch DF operation, primarily because the </w:t>
      </w:r>
      <w:r w:rsidR="00165EFF">
        <w:t>CC-DF</w:t>
      </w:r>
      <w:r>
        <w:t xml:space="preserve"> step operates at a higher product concentration.</w:t>
      </w:r>
    </w:p>
    <w:p w14:paraId="4868BB64" w14:textId="11A4C9BD" w:rsidR="00B304B0" w:rsidRDefault="747B87A7" w:rsidP="004B47B5">
      <w:pPr>
        <w:spacing w:line="480" w:lineRule="auto"/>
      </w:pPr>
      <w:r>
        <w:t xml:space="preserve">A few pumps are mismatched between the UFDF and SP options. </w:t>
      </w:r>
      <w:proofErr w:type="spellStart"/>
      <w:r w:rsidR="00165EFF">
        <w:t>Multihead</w:t>
      </w:r>
      <w:proofErr w:type="spellEnd"/>
      <w:r w:rsidR="00165EFF">
        <w:t xml:space="preserve"> peristaltic pumps can simplify the pump design considerably.  The pumps used on the module could use high-flow and low-flow tubing depending upon the application. </w:t>
      </w:r>
    </w:p>
    <w:p w14:paraId="648DB392" w14:textId="783AB641" w:rsidR="00A676F3" w:rsidRDefault="00A676F3" w:rsidP="004B47B5">
      <w:pPr>
        <w:spacing w:line="480" w:lineRule="auto"/>
      </w:pPr>
      <w:r w:rsidRPr="002F271B">
        <w:t>Recent reports also successfully demonstrated the use of hollow-fiber dialyzers for buffer exchange</w:t>
      </w:r>
      <w:r>
        <w:t xml:space="preserve"> </w:t>
      </w:r>
      <w:r>
        <w:fldChar w:fldCharType="begin" w:fldLock="1"/>
      </w:r>
      <w:r>
        <w:instrText>ADDIN CSL_CITATION {"citationItems":[{"id":"ITEM-1","itemData":{"DOI":"10.1002/btpr.2763","ISSN":"15206033","PMID":"30520568","abstract":"Buffer exchange, desalting, and formulation of high-value biotherapeutics are currently performed using batch diafiltration (DF); however, this type of tangential flow filtration process may be difficult to implement as part of a fully continuous biomanufacturing process. The objective of this study was to explore the potential of using countercurrent dialysis for continuous protein formulation and buffer exchange. Experiments were performed using concentrated solutions of immunoglobuin G (IgG) with commercially available hollow fiber dialyzers having 1.5 and 1.8 m 2 membrane surface area. More than 99.9% buffer exchange was obtained over a range of conditions, as determined from the removal of a model impurity (vitamin B 12 ). The dialyzers were able to process more than 0.5 kg of IgG per day in an easily scalable low-cost process. In addition, buffer requirements were less than 0.02 L of buffer per gram IgG, which is several times less than that used in current batch DF processes. These results clearly demonstrate the potential of using low-cost hollow fiber dialyzers for buffer exchange and product formulation in continuous bioprocessing. © 2018 American Institute of Chemical Engineers Biotechnol. Prog., 35: e2763, 2019.","author":[{"dropping-particle":"","family":"Yehl","given":"Christopher J.","non-dropping-particle":"","parse-names":false,"suffix":""},{"dropping-particle":"","family":"Jabra","given":"Mario G.","non-dropping-particle":"","parse-names":false,"suffix":""},{"dropping-particle":"","family":"Zydney","given":"Andrew L.","non-dropping-particle":"","parse-names":false,"suffix":""}],"container-title":"Biotechnology Progress","id":"ITEM-1","issue":"2","issued":{"date-parts":[["2019"]]},"page":"1-5","title":"Hollow fiber countercurrent dialysis for continuous buffer exchange of high-value biotherapeutics","type":"article-journal","volume":"35"},"uris":["http://www.mendeley.com/documents/?uuid=a6d31de8-33a0-45c4-8042-fd11f08b552e"]}],"mendeley":{"formattedCitation":"(Yehl et al., 2019)","plainTextFormattedCitation":"(Yehl et al., 2019)","previouslyFormattedCitation":"(Yehl et al., 2019)"},"properties":{"noteIndex":0},"schema":"https://github.com/citation-style-language/schema/raw/master/csl-citation.json"}</w:instrText>
      </w:r>
      <w:r>
        <w:fldChar w:fldCharType="separate"/>
      </w:r>
      <w:r w:rsidRPr="00790DFF">
        <w:rPr>
          <w:noProof/>
        </w:rPr>
        <w:t>(Yehl et al., 2019)</w:t>
      </w:r>
      <w:r>
        <w:fldChar w:fldCharType="end"/>
      </w:r>
      <w:r w:rsidRPr="002F271B">
        <w:t xml:space="preserve">. </w:t>
      </w:r>
      <w:r w:rsidR="003C4CE7">
        <w:t xml:space="preserve">The framework skid would also enable the operation of this step, which has the potential of reducing the total DF buffer required by a factor of 8 from the batch-wise UFDF option. </w:t>
      </w:r>
    </w:p>
    <w:p w14:paraId="36A4BC58" w14:textId="483F7771" w:rsidR="00A676F3" w:rsidRDefault="00906BBE" w:rsidP="00906BBE">
      <w:pPr>
        <w:pStyle w:val="Heading1"/>
      </w:pPr>
      <w:r>
        <w:t>Conclusion</w:t>
      </w:r>
    </w:p>
    <w:p w14:paraId="45D60E14" w14:textId="23C1C26D" w:rsidR="00906BBE" w:rsidRDefault="00906BBE" w:rsidP="004B47B5">
      <w:pPr>
        <w:spacing w:line="480" w:lineRule="auto"/>
      </w:pPr>
      <w:r>
        <w:t xml:space="preserve">The common integrated and continuous bioprocessing framework enables the design of equipment flexible enough to process 6kg to 500kg lot sizes. The design also allows flexibility for some batch </w:t>
      </w:r>
      <w:r w:rsidR="007C4E36">
        <w:t>operations and</w:t>
      </w:r>
      <w:r>
        <w:t xml:space="preserve"> is </w:t>
      </w:r>
      <w:r w:rsidR="00954D5F">
        <w:t>compatible</w:t>
      </w:r>
      <w:r>
        <w:t xml:space="preserve"> with legacy processes. </w:t>
      </w:r>
    </w:p>
    <w:p w14:paraId="5B4C8B2A" w14:textId="20B40590" w:rsidR="004B47B5" w:rsidRDefault="004B47B5" w:rsidP="004B47B5">
      <w:pPr>
        <w:spacing w:line="480" w:lineRule="auto"/>
      </w:pPr>
      <w:r>
        <w:lastRenderedPageBreak/>
        <w:t xml:space="preserve">This flexible, mostly single-use design has particular relevancy today during the pandemic. While most COVID-19 </w:t>
      </w:r>
      <w:proofErr w:type="spellStart"/>
      <w:r>
        <w:t>mAb</w:t>
      </w:r>
      <w:proofErr w:type="spellEnd"/>
      <w:r>
        <w:t xml:space="preserve"> projects are made in fed-batch right now, c</w:t>
      </w:r>
      <w:r>
        <w:t>onvertin</w:t>
      </w:r>
      <w:r>
        <w:t>g</w:t>
      </w:r>
      <w:r>
        <w:t xml:space="preserve"> from fed-batch to ICB is possible. While converting to ICB will not help in the near term, it would allow manufacturing expansion within about two years. </w:t>
      </w:r>
      <w:r>
        <w:t xml:space="preserve">Converting to perfusion bioreactor would be a relatively large change from a regulatory </w:t>
      </w:r>
      <w:proofErr w:type="gramStart"/>
      <w:r>
        <w:t>perspective, and</w:t>
      </w:r>
      <w:proofErr w:type="gramEnd"/>
      <w:r>
        <w:t xml:space="preserve"> would require strong comparability. The alternative is a capacity crunch and investment in billions of dollars of </w:t>
      </w:r>
      <w:proofErr w:type="gramStart"/>
      <w:r>
        <w:t>stainless steel</w:t>
      </w:r>
      <w:proofErr w:type="gramEnd"/>
      <w:r>
        <w:t xml:space="preserve"> infrastructure in countries all over the world. </w:t>
      </w:r>
      <w:r>
        <w:t xml:space="preserve">Since SARS-CoV-2 is not going away, the antibody manufacturing may be required for many years to come. In addition, fast development of scalable </w:t>
      </w:r>
      <w:proofErr w:type="spellStart"/>
      <w:r>
        <w:t>mAb</w:t>
      </w:r>
      <w:proofErr w:type="spellEnd"/>
      <w:r>
        <w:t xml:space="preserve"> manufacturing will help in the next pandemic, which is closer than we would like to think.</w:t>
      </w:r>
    </w:p>
    <w:p w14:paraId="5E976099" w14:textId="043F9F18" w:rsidR="00B55A5F" w:rsidRDefault="004B47B5">
      <w:pPr>
        <w:spacing w:line="480" w:lineRule="auto"/>
      </w:pPr>
      <w:r>
        <w:t>The framework ICB allows companies to harmonize their platform around</w:t>
      </w:r>
      <w:r w:rsidR="0656EAB2">
        <w:t xml:space="preserve"> off-the-shelf equipment. </w:t>
      </w:r>
      <w:r>
        <w:t xml:space="preserve"> </w:t>
      </w:r>
      <w:r w:rsidR="0656EAB2">
        <w:t>Also, it’s possible for contract manufactures to buy equipment that would be backward compatible with batch processes, as well as future compatible for ICB. This flexibility has not been realized to date. Many companies think of ICB processes as a step forward from which there is no turning back. This paper demonstrates that the common framework ICB can be designed, purchased, and installed with an eye toward the future, and yet without worry about the past.</w:t>
      </w:r>
    </w:p>
    <w:p w14:paraId="37A6900B" w14:textId="0A6D722C" w:rsidR="0038467E" w:rsidRPr="00906BBE" w:rsidRDefault="0038467E" w:rsidP="004B47B5">
      <w:pPr>
        <w:spacing w:line="480" w:lineRule="auto"/>
      </w:pPr>
    </w:p>
    <w:p w14:paraId="0E6177A4" w14:textId="20EA91F4"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Pr>
          <w:rFonts w:ascii="Times New Roman" w:hAnsi="Times New Roman" w:cs="Times New Roman"/>
        </w:rPr>
        <w:fldChar w:fldCharType="begin" w:fldLock="1"/>
      </w:r>
      <w:r w:rsidRPr="0656EAB2">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656EAB2" w:rsidRPr="0656EAB2">
        <w:rPr>
          <w:rFonts w:ascii="Times New Roman" w:hAnsi="Times New Roman" w:cs="Times New Roman"/>
          <w:noProof/>
        </w:rPr>
        <w:t xml:space="preserve">Bakhshayeshi M, Zydney AL. 2008. Effect of solution pH on protein transmission and membrane capacity during virus filtration. </w:t>
      </w:r>
      <w:r w:rsidR="0656EAB2" w:rsidRPr="0656EAB2">
        <w:rPr>
          <w:rFonts w:ascii="Times New Roman" w:hAnsi="Times New Roman" w:cs="Times New Roman"/>
          <w:i/>
          <w:iCs/>
          <w:noProof/>
        </w:rPr>
        <w:t>Biotechnol. Bioeng.</w:t>
      </w:r>
      <w:r w:rsidR="0656EAB2" w:rsidRPr="0656EAB2">
        <w:rPr>
          <w:rFonts w:ascii="Times New Roman" w:hAnsi="Times New Roman" w:cs="Times New Roman"/>
          <w:noProof/>
        </w:rPr>
        <w:t xml:space="preserve"> </w:t>
      </w:r>
      <w:r w:rsidR="0656EAB2" w:rsidRPr="0656EAB2">
        <w:rPr>
          <w:rFonts w:ascii="Times New Roman" w:hAnsi="Times New Roman" w:cs="Times New Roman"/>
          <w:b/>
          <w:bCs/>
          <w:noProof/>
        </w:rPr>
        <w:t>100</w:t>
      </w:r>
      <w:r w:rsidR="0656EAB2" w:rsidRPr="0656EAB2">
        <w:rPr>
          <w:rFonts w:ascii="Times New Roman" w:hAnsi="Times New Roman" w:cs="Times New Roman"/>
          <w:noProof/>
        </w:rPr>
        <w:t>:108–117.</w:t>
      </w:r>
    </w:p>
    <w:p w14:paraId="4C378773"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Bohonak DM, Zydney AL. 2005. Compaction and permeability effects with virus filtration </w:t>
      </w:r>
      <w:r w:rsidRPr="00F41708">
        <w:rPr>
          <w:rFonts w:ascii="Times New Roman" w:hAnsi="Times New Roman" w:cs="Times New Roman"/>
          <w:noProof/>
        </w:rPr>
        <w:lastRenderedPageBreak/>
        <w:t xml:space="preserve">membranes.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254</w:t>
      </w:r>
      <w:r w:rsidRPr="00F41708">
        <w:rPr>
          <w:rFonts w:ascii="Times New Roman" w:hAnsi="Times New Roman" w:cs="Times New Roman"/>
          <w:noProof/>
        </w:rPr>
        <w:t>:71–79.</w:t>
      </w:r>
    </w:p>
    <w:p w14:paraId="09541B73"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Bolton G, Cabatingan M, Rubino M, Lute S, Brorson K, Bailey M. 2005. Normal-flow virus filtration: detection and assessment of the endpoint in bioprocessing. </w:t>
      </w:r>
      <w:r w:rsidRPr="00F41708">
        <w:rPr>
          <w:rFonts w:ascii="Times New Roman" w:hAnsi="Times New Roman" w:cs="Times New Roman"/>
          <w:i/>
          <w:iCs/>
          <w:noProof/>
        </w:rPr>
        <w:t>Biotechnol. Appl. Biochem.</w:t>
      </w:r>
      <w:r w:rsidRPr="00F41708">
        <w:rPr>
          <w:rFonts w:ascii="Times New Roman" w:hAnsi="Times New Roman" w:cs="Times New Roman"/>
          <w:noProof/>
        </w:rPr>
        <w:t xml:space="preserve"> </w:t>
      </w:r>
      <w:r w:rsidRPr="00F41708">
        <w:rPr>
          <w:rFonts w:ascii="Times New Roman" w:hAnsi="Times New Roman" w:cs="Times New Roman"/>
          <w:b/>
          <w:bCs/>
          <w:noProof/>
        </w:rPr>
        <w:t>42</w:t>
      </w:r>
      <w:r w:rsidRPr="00F41708">
        <w:rPr>
          <w:rFonts w:ascii="Times New Roman" w:hAnsi="Times New Roman" w:cs="Times New Roman"/>
          <w:noProof/>
        </w:rPr>
        <w:t>:133.</w:t>
      </w:r>
    </w:p>
    <w:p w14:paraId="7AADC7FE"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Ireland T, Bolton G, Noguchi M. 2005. Optimizing Virus Filter Performance  with Prefiltration. </w:t>
      </w:r>
      <w:r w:rsidRPr="00F41708">
        <w:rPr>
          <w:rFonts w:ascii="Times New Roman" w:hAnsi="Times New Roman" w:cs="Times New Roman"/>
          <w:i/>
          <w:iCs/>
          <w:noProof/>
        </w:rPr>
        <w:t>Bioprocess Int.</w:t>
      </w:r>
      <w:r w:rsidRPr="00F41708">
        <w:rPr>
          <w:rFonts w:ascii="Times New Roman" w:hAnsi="Times New Roman" w:cs="Times New Roman"/>
          <w:noProof/>
        </w:rPr>
        <w:t xml:space="preserve"> </w:t>
      </w:r>
      <w:r w:rsidRPr="00F41708">
        <w:rPr>
          <w:rFonts w:ascii="Times New Roman" w:hAnsi="Times New Roman" w:cs="Times New Roman"/>
          <w:b/>
          <w:bCs/>
          <w:noProof/>
        </w:rPr>
        <w:t>3</w:t>
      </w:r>
      <w:r w:rsidRPr="00F41708">
        <w:rPr>
          <w:rFonts w:ascii="Times New Roman" w:hAnsi="Times New Roman" w:cs="Times New Roman"/>
          <w:noProof/>
        </w:rPr>
        <w:t xml:space="preserve">:44–7. </w:t>
      </w:r>
    </w:p>
    <w:p w14:paraId="77DE4478"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Rathore AS, Kumar V, Arora A, Lute S, Brorson K, Shukla A. 2014. Mechanistic modeling of viral filtration.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458</w:t>
      </w:r>
      <w:r w:rsidRPr="00F41708">
        <w:rPr>
          <w:rFonts w:ascii="Times New Roman" w:hAnsi="Times New Roman" w:cs="Times New Roman"/>
          <w:noProof/>
        </w:rPr>
        <w:t>:96–103.</w:t>
      </w:r>
    </w:p>
    <w:p w14:paraId="24F5B0B2"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Strauss D, Goldstein J, Hongo-Hirasaki T, Yokoyama Y, Hirotomi N, Miyabayashi T, Vacante D. 2017. Characterizing the impact of pressure on virus filtration processes and establishing design spaces to ensure effective parvovirus removal.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33</w:t>
      </w:r>
      <w:r w:rsidRPr="00F41708">
        <w:rPr>
          <w:rFonts w:ascii="Times New Roman" w:hAnsi="Times New Roman" w:cs="Times New Roman"/>
          <w:noProof/>
        </w:rPr>
        <w:t>:1294–1302.</w:t>
      </w:r>
    </w:p>
    <w:p w14:paraId="0088754F"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Syedain ZH, Bohonak DM, Zydney AL. 2006. Protein Fouling of Virus Filtration Membranes: Effects of Membrane Orientation and Operating Conditions.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22</w:t>
      </w:r>
      <w:r w:rsidRPr="00F41708">
        <w:rPr>
          <w:rFonts w:ascii="Times New Roman" w:hAnsi="Times New Roman" w:cs="Times New Roman"/>
          <w:noProof/>
        </w:rPr>
        <w:t>:1163–1169.</w:t>
      </w:r>
    </w:p>
    <w:p w14:paraId="0E09069C"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Tateishi J, Kitamoto T, Mohri S, Satoh S, Sato T, Shepherd A, Macnaughton MR. 2001. Scrapie Removal using Planova®Virus Removal Filters. </w:t>
      </w:r>
      <w:r w:rsidRPr="00F41708">
        <w:rPr>
          <w:rFonts w:ascii="Times New Roman" w:hAnsi="Times New Roman" w:cs="Times New Roman"/>
          <w:i/>
          <w:iCs/>
          <w:noProof/>
        </w:rPr>
        <w:t>Biologicals</w:t>
      </w:r>
      <w:r w:rsidRPr="00F41708">
        <w:rPr>
          <w:rFonts w:ascii="Times New Roman" w:hAnsi="Times New Roman" w:cs="Times New Roman"/>
          <w:noProof/>
        </w:rPr>
        <w:t xml:space="preserve"> </w:t>
      </w:r>
      <w:r w:rsidRPr="00F41708">
        <w:rPr>
          <w:rFonts w:ascii="Times New Roman" w:hAnsi="Times New Roman" w:cs="Times New Roman"/>
          <w:b/>
          <w:bCs/>
          <w:noProof/>
        </w:rPr>
        <w:t>29</w:t>
      </w:r>
      <w:r w:rsidRPr="00F41708">
        <w:rPr>
          <w:rFonts w:ascii="Times New Roman" w:hAnsi="Times New Roman" w:cs="Times New Roman"/>
          <w:noProof/>
        </w:rPr>
        <w:t xml:space="preserve">:17–25. </w:t>
      </w:r>
    </w:p>
    <w:p w14:paraId="0B4F36EA" w14:textId="77777777" w:rsidR="00275CCA" w:rsidRPr="00F41708"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F41708">
        <w:rPr>
          <w:rFonts w:ascii="Times New Roman" w:hAnsi="Times New Roman" w:cs="Times New Roman"/>
          <w:noProof/>
        </w:rPr>
        <w:t xml:space="preserve">Wickramasinghe SR, Stump ED, Grzenia DL, Husson SM, Pellegrino J. 2010. Understanding virus filtration membrane performance.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365</w:t>
      </w:r>
      <w:r w:rsidRPr="00F41708">
        <w:rPr>
          <w:rFonts w:ascii="Times New Roman" w:hAnsi="Times New Roman" w:cs="Times New Roman"/>
          <w:noProof/>
        </w:rPr>
        <w:t>:160–169.</w:t>
      </w:r>
    </w:p>
    <w:p w14:paraId="29BFE174" w14:textId="78FA5C60" w:rsidR="00855C50" w:rsidRDefault="00275CCA" w:rsidP="004B47B5">
      <w:pPr>
        <w:spacing w:line="480" w:lineRule="auto"/>
        <w:textAlignment w:val="center"/>
        <w:rPr>
          <w:rFonts w:ascii="Calibri" w:eastAsia="Times New Roman" w:hAnsi="Calibri" w:cs="Calibri"/>
          <w:color w:val="000000"/>
          <w:sz w:val="22"/>
          <w:szCs w:val="22"/>
        </w:rPr>
      </w:pPr>
      <w:r>
        <w:fldChar w:fldCharType="end"/>
      </w:r>
    </w:p>
    <w:p w14:paraId="5BE0DD8E" w14:textId="77777777" w:rsidR="00275CCA" w:rsidRDefault="00275CCA" w:rsidP="00275CCA">
      <w:pPr>
        <w:pStyle w:val="ListParagraph"/>
        <w:spacing w:line="480" w:lineRule="auto"/>
        <w:ind w:left="0"/>
        <w:jc w:val="both"/>
        <w:rPr>
          <w:rFonts w:ascii="Times New Roman" w:hAnsi="Times New Roman" w:cs="Times New Roman"/>
        </w:rPr>
      </w:pPr>
      <w:r>
        <w:rPr>
          <w:rFonts w:ascii="Times New Roman" w:hAnsi="Times New Roman" w:cs="Times New Roman"/>
        </w:rPr>
        <w:t>References for UF/DF</w:t>
      </w:r>
    </w:p>
    <w:p w14:paraId="5CA0658E"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Pr>
          <w:rFonts w:ascii="Times New Roman" w:hAnsi="Times New Roman" w:cs="Times New Roman"/>
        </w:rPr>
        <w:lastRenderedPageBreak/>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AC7F44">
        <w:rPr>
          <w:rFonts w:ascii="Times New Roman" w:hAnsi="Times New Roman" w:cs="Times New Roman"/>
          <w:noProof/>
        </w:rPr>
        <w:t xml:space="preserve">Arnold L, Lee K, Rucker‐Pezzini J, Lee JH. 2019. Implementation of Fully Integrated Continuous Antibody Processing: Effects on Productivity and COGm. </w:t>
      </w:r>
      <w:r w:rsidRPr="00AC7F44">
        <w:rPr>
          <w:rFonts w:ascii="Times New Roman" w:hAnsi="Times New Roman" w:cs="Times New Roman"/>
          <w:i/>
          <w:iCs/>
          <w:noProof/>
        </w:rPr>
        <w:t>Biotechnol. J.</w:t>
      </w:r>
      <w:r w:rsidRPr="00AC7F44">
        <w:rPr>
          <w:rFonts w:ascii="Times New Roman" w:hAnsi="Times New Roman" w:cs="Times New Roman"/>
          <w:noProof/>
        </w:rPr>
        <w:t xml:space="preserve"> </w:t>
      </w:r>
      <w:r w:rsidRPr="00AC7F44">
        <w:rPr>
          <w:rFonts w:ascii="Times New Roman" w:hAnsi="Times New Roman" w:cs="Times New Roman"/>
          <w:b/>
          <w:bCs/>
          <w:noProof/>
        </w:rPr>
        <w:t>14</w:t>
      </w:r>
      <w:r w:rsidRPr="00AC7F44">
        <w:rPr>
          <w:rFonts w:ascii="Times New Roman" w:hAnsi="Times New Roman" w:cs="Times New Roman"/>
          <w:noProof/>
        </w:rPr>
        <w:t>:1800061.</w:t>
      </w:r>
    </w:p>
    <w:p w14:paraId="1064D1AE"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Huter MJ, Strube J. 2019. Model-Based Design and Process Optimization of Continuous Single Pass Tangential Flow Filtration Focusing on Continuous Bioprocessing. </w:t>
      </w:r>
      <w:r w:rsidRPr="00AC7F44">
        <w:rPr>
          <w:rFonts w:ascii="Times New Roman" w:hAnsi="Times New Roman" w:cs="Times New Roman"/>
          <w:i/>
          <w:iCs/>
          <w:noProof/>
        </w:rPr>
        <w:t>Processes</w:t>
      </w:r>
      <w:r w:rsidRPr="00AC7F44">
        <w:rPr>
          <w:rFonts w:ascii="Times New Roman" w:hAnsi="Times New Roman" w:cs="Times New Roman"/>
          <w:noProof/>
        </w:rPr>
        <w:t xml:space="preserve"> </w:t>
      </w:r>
      <w:r w:rsidRPr="00AC7F44">
        <w:rPr>
          <w:rFonts w:ascii="Times New Roman" w:hAnsi="Times New Roman" w:cs="Times New Roman"/>
          <w:b/>
          <w:bCs/>
          <w:noProof/>
        </w:rPr>
        <w:t>7</w:t>
      </w:r>
      <w:r w:rsidRPr="00AC7F44">
        <w:rPr>
          <w:rFonts w:ascii="Times New Roman" w:hAnsi="Times New Roman" w:cs="Times New Roman"/>
          <w:noProof/>
        </w:rPr>
        <w:t>:317.</w:t>
      </w:r>
    </w:p>
    <w:p w14:paraId="06CCB291"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Jabra MG, Yehl CJ, Zydney AL. 2019. Multistage continuous countercurrent diafiltration for formulation of monoclonal antibodies.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 xml:space="preserve">:6–11. </w:t>
      </w:r>
    </w:p>
    <w:p w14:paraId="75EB1A8C"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Jungbauer A. 2013. Continuous downstream processing of biopharmaceuticals. </w:t>
      </w:r>
      <w:r w:rsidRPr="00AC7F44">
        <w:rPr>
          <w:rFonts w:ascii="Times New Roman" w:hAnsi="Times New Roman" w:cs="Times New Roman"/>
          <w:i/>
          <w:iCs/>
          <w:noProof/>
        </w:rPr>
        <w:t>Trends Biotechnol.</w:t>
      </w:r>
      <w:r w:rsidRPr="00AC7F44">
        <w:rPr>
          <w:rFonts w:ascii="Times New Roman" w:hAnsi="Times New Roman" w:cs="Times New Roman"/>
          <w:noProof/>
        </w:rPr>
        <w:t xml:space="preserve"> </w:t>
      </w:r>
      <w:r w:rsidRPr="00AC7F44">
        <w:rPr>
          <w:rFonts w:ascii="Times New Roman" w:hAnsi="Times New Roman" w:cs="Times New Roman"/>
          <w:b/>
          <w:bCs/>
          <w:noProof/>
        </w:rPr>
        <w:t>31</w:t>
      </w:r>
      <w:r w:rsidRPr="00AC7F44">
        <w:rPr>
          <w:rFonts w:ascii="Times New Roman" w:hAnsi="Times New Roman" w:cs="Times New Roman"/>
          <w:noProof/>
        </w:rPr>
        <w:t>:479–492.</w:t>
      </w:r>
    </w:p>
    <w:p w14:paraId="57665DB3"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Nambiar AMK, Li Y, Zydney AL. 2018. Countercurrent staged diafiltration for formulation of high value proteins. </w:t>
      </w:r>
      <w:r w:rsidRPr="00AC7F44">
        <w:rPr>
          <w:rFonts w:ascii="Times New Roman" w:hAnsi="Times New Roman" w:cs="Times New Roman"/>
          <w:i/>
          <w:iCs/>
          <w:noProof/>
        </w:rPr>
        <w:t>Biotechnol. Bioeng.</w:t>
      </w:r>
      <w:r w:rsidRPr="00AC7F44">
        <w:rPr>
          <w:rFonts w:ascii="Times New Roman" w:hAnsi="Times New Roman" w:cs="Times New Roman"/>
          <w:noProof/>
        </w:rPr>
        <w:t xml:space="preserve"> </w:t>
      </w:r>
      <w:r w:rsidRPr="00AC7F44">
        <w:rPr>
          <w:rFonts w:ascii="Times New Roman" w:hAnsi="Times New Roman" w:cs="Times New Roman"/>
          <w:b/>
          <w:bCs/>
          <w:noProof/>
        </w:rPr>
        <w:t>115</w:t>
      </w:r>
      <w:r w:rsidRPr="00AC7F44">
        <w:rPr>
          <w:rFonts w:ascii="Times New Roman" w:hAnsi="Times New Roman" w:cs="Times New Roman"/>
          <w:noProof/>
        </w:rPr>
        <w:t>:139–144.</w:t>
      </w:r>
    </w:p>
    <w:p w14:paraId="0D258B26"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Rucker-Pezzini J, Arnold L, Hill-Byrne K, Sharp T, Avazhanskiy M, Forespring C. 2018. Single Pass Diafiltration Integrated into a Fully Continuous mAb Purification Process. </w:t>
      </w:r>
      <w:r w:rsidRPr="00AC7F44">
        <w:rPr>
          <w:rFonts w:ascii="Times New Roman" w:hAnsi="Times New Roman" w:cs="Times New Roman"/>
          <w:i/>
          <w:iCs/>
          <w:noProof/>
        </w:rPr>
        <w:t>Biotechnol. Bioeng.</w:t>
      </w:r>
    </w:p>
    <w:p w14:paraId="7457F297" w14:textId="77777777" w:rsidR="00275CCA" w:rsidRPr="00AC7F44" w:rsidRDefault="00275CCA" w:rsidP="004B47B5">
      <w:pPr>
        <w:widowControl w:val="0"/>
        <w:autoSpaceDE w:val="0"/>
        <w:autoSpaceDN w:val="0"/>
        <w:adjustRightInd w:val="0"/>
        <w:spacing w:line="480" w:lineRule="auto"/>
        <w:ind w:left="480" w:hanging="480"/>
        <w:rPr>
          <w:rFonts w:ascii="Times New Roman" w:hAnsi="Times New Roman" w:cs="Times New Roman"/>
          <w:noProof/>
        </w:rPr>
      </w:pPr>
      <w:r w:rsidRPr="00AC7F44">
        <w:rPr>
          <w:rFonts w:ascii="Times New Roman" w:hAnsi="Times New Roman" w:cs="Times New Roman"/>
          <w:noProof/>
        </w:rPr>
        <w:t xml:space="preserve">Yehl CJ, Jabra MG, Zydney AL. 2019. Hollow fiber countercurrent dialysis for continuous buffer exchange of high-value biotherapeutics.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:1–5.</w:t>
      </w:r>
    </w:p>
    <w:p w14:paraId="3F6181A0" w14:textId="6D027720" w:rsidR="00855C50" w:rsidRDefault="00275CCA" w:rsidP="004B47B5">
      <w:pPr>
        <w:spacing w:line="480" w:lineRule="auto"/>
        <w:textAlignment w:val="center"/>
        <w:rPr>
          <w:rFonts w:ascii="Calibri" w:eastAsia="Times New Roman" w:hAnsi="Calibri" w:cs="Calibri"/>
          <w:color w:val="000000"/>
          <w:sz w:val="22"/>
          <w:szCs w:val="22"/>
        </w:rPr>
      </w:pPr>
      <w:r>
        <w:rPr>
          <w:rFonts w:ascii="Times New Roman" w:hAnsi="Times New Roman" w:cs="Times New Roman"/>
        </w:rPr>
        <w:fldChar w:fldCharType="end"/>
      </w:r>
    </w:p>
    <w:p w14:paraId="276835DB" w14:textId="77777777" w:rsidR="004B47B5" w:rsidRPr="004B47B5" w:rsidRDefault="00855C50" w:rsidP="004B47B5">
      <w:pPr>
        <w:pStyle w:val="EndNoteBibliography"/>
        <w:spacing w:after="0"/>
        <w:rPr>
          <w:noProof/>
        </w:rPr>
      </w:pPr>
      <w:r>
        <w:fldChar w:fldCharType="begin"/>
      </w:r>
      <w:r>
        <w:instrText xml:space="preserve"> ADDIN EN.REFLIST </w:instrText>
      </w:r>
      <w:r>
        <w:fldChar w:fldCharType="separate"/>
      </w:r>
      <w:r w:rsidR="004B47B5" w:rsidRPr="004B47B5">
        <w:rPr>
          <w:noProof/>
        </w:rPr>
        <w:t>Abbate, T., Sbarciog, M., Dewasme, L., and Vande Wouwer, A. (2020). Experimental Validation of a Cascade Control Strategy for Continuously Perfused Animal Cell Cultures. Processes</w:t>
      </w:r>
      <w:r w:rsidR="004B47B5" w:rsidRPr="004B47B5">
        <w:rPr>
          <w:i/>
          <w:noProof/>
        </w:rPr>
        <w:t xml:space="preserve"> 8</w:t>
      </w:r>
      <w:r w:rsidR="004B47B5" w:rsidRPr="004B47B5">
        <w:rPr>
          <w:noProof/>
        </w:rPr>
        <w:t>, 413.</w:t>
      </w:r>
    </w:p>
    <w:p w14:paraId="219F42B6" w14:textId="77777777" w:rsidR="004B47B5" w:rsidRPr="004B47B5" w:rsidRDefault="004B47B5" w:rsidP="004B47B5">
      <w:pPr>
        <w:pStyle w:val="EndNoteBibliography"/>
        <w:spacing w:after="0"/>
        <w:rPr>
          <w:noProof/>
        </w:rPr>
      </w:pPr>
      <w:r w:rsidRPr="004B47B5">
        <w:rPr>
          <w:noProof/>
        </w:rPr>
        <w:lastRenderedPageBreak/>
        <w:t>Angarita, M., Müller-Späth, T., Baur, D., Lievrouw, R., Lissens, G., and Morbidelli, M. (2015). Twin-column CaptureSMB: a novel cyclic process for protein A affinity chromatography. Journal of Chromatography A</w:t>
      </w:r>
      <w:r w:rsidRPr="004B47B5">
        <w:rPr>
          <w:i/>
          <w:noProof/>
        </w:rPr>
        <w:t xml:space="preserve"> 1389</w:t>
      </w:r>
      <w:r w:rsidRPr="004B47B5">
        <w:rPr>
          <w:noProof/>
        </w:rPr>
        <w:t>, 85-95.</w:t>
      </w:r>
    </w:p>
    <w:p w14:paraId="5552CD01" w14:textId="77777777" w:rsidR="004B47B5" w:rsidRPr="004B47B5" w:rsidRDefault="004B47B5" w:rsidP="004B47B5">
      <w:pPr>
        <w:pStyle w:val="EndNoteBibliography"/>
        <w:spacing w:after="0"/>
        <w:rPr>
          <w:noProof/>
        </w:rPr>
      </w:pPr>
      <w:r w:rsidRPr="004B47B5">
        <w:rPr>
          <w:noProof/>
        </w:rPr>
        <w:t>Brestrich, N., Briskot, T., Osberghaus, A., and Hubbuch, J. (2014). A tool for selective inline quantification of co-eluting proteins in chromatography using spectral analysis and partial least squares regression. Biotechnol Bioeng</w:t>
      </w:r>
      <w:r w:rsidRPr="004B47B5">
        <w:rPr>
          <w:i/>
          <w:noProof/>
        </w:rPr>
        <w:t xml:space="preserve"> 111</w:t>
      </w:r>
      <w:r w:rsidRPr="004B47B5">
        <w:rPr>
          <w:noProof/>
        </w:rPr>
        <w:t>, 1365-1373.</w:t>
      </w:r>
    </w:p>
    <w:p w14:paraId="5615128F" w14:textId="77777777" w:rsidR="004B47B5" w:rsidRPr="004B47B5" w:rsidRDefault="004B47B5" w:rsidP="004B47B5">
      <w:pPr>
        <w:pStyle w:val="EndNoteBibliography"/>
        <w:spacing w:after="0"/>
        <w:rPr>
          <w:noProof/>
        </w:rPr>
      </w:pPr>
      <w:r w:rsidRPr="004B47B5">
        <w:rPr>
          <w:noProof/>
        </w:rPr>
        <w:t>Brestrich, N., Hahn, T., and Hubbuch, J. (2016). Application of spectral deconvolution and inverse mechanistic modelling as a tool for root cause investigation in protein chromatography. Journal of Chromatography A</w:t>
      </w:r>
      <w:r w:rsidRPr="004B47B5">
        <w:rPr>
          <w:i/>
          <w:noProof/>
        </w:rPr>
        <w:t xml:space="preserve"> 1437</w:t>
      </w:r>
      <w:r w:rsidRPr="004B47B5">
        <w:rPr>
          <w:noProof/>
        </w:rPr>
        <w:t>, 158-167.</w:t>
      </w:r>
    </w:p>
    <w:p w14:paraId="19BEE8BD" w14:textId="77777777" w:rsidR="004B47B5" w:rsidRPr="004B47B5" w:rsidRDefault="004B47B5" w:rsidP="004B47B5">
      <w:pPr>
        <w:pStyle w:val="EndNoteBibliography"/>
        <w:spacing w:after="0"/>
        <w:rPr>
          <w:noProof/>
        </w:rPr>
      </w:pPr>
      <w:r w:rsidRPr="004B47B5">
        <w:rPr>
          <w:noProof/>
        </w:rPr>
        <w:t>Brestrich, N., Sanden, A., Kraft, A., McCann, K., Bertolini, J., and Hubbuch, J. (2015). Advances in inline quantification of co-eluting proteins in chromatography: Process-data-based model calibration and application towards real-life separation issues. Biotechnol Bioeng</w:t>
      </w:r>
      <w:r w:rsidRPr="004B47B5">
        <w:rPr>
          <w:i/>
          <w:noProof/>
        </w:rPr>
        <w:t xml:space="preserve"> 112</w:t>
      </w:r>
      <w:r w:rsidRPr="004B47B5">
        <w:rPr>
          <w:noProof/>
        </w:rPr>
        <w:t>, 1406-1416.</w:t>
      </w:r>
    </w:p>
    <w:p w14:paraId="2AAB19D2" w14:textId="77777777" w:rsidR="004B47B5" w:rsidRPr="004B47B5" w:rsidRDefault="004B47B5" w:rsidP="004B47B5">
      <w:pPr>
        <w:pStyle w:val="EndNoteBibliography"/>
        <w:spacing w:after="0"/>
        <w:rPr>
          <w:noProof/>
        </w:rPr>
      </w:pPr>
      <w:r w:rsidRPr="004B47B5">
        <w:rPr>
          <w:noProof/>
        </w:rPr>
        <w:t>Clincke, M.F., Molleryd, C., Samani, P.K., Lindskog, E., Faldt, E., Walsh, K., and Chotteau, V. (2013a). Very high density of Chinese hamster ovary cells in perfusion by alternating tangential flow or tangential flow filtration in WAVE Bioreactor-part II: Applications for antibody production and cryopreservation. Biotechnol Prog</w:t>
      </w:r>
      <w:r w:rsidRPr="004B47B5">
        <w:rPr>
          <w:i/>
          <w:noProof/>
        </w:rPr>
        <w:t xml:space="preserve"> 29</w:t>
      </w:r>
      <w:r w:rsidRPr="004B47B5">
        <w:rPr>
          <w:noProof/>
        </w:rPr>
        <w:t>, 768-777.</w:t>
      </w:r>
    </w:p>
    <w:p w14:paraId="350B93B7" w14:textId="77777777" w:rsidR="004B47B5" w:rsidRPr="004B47B5" w:rsidRDefault="004B47B5" w:rsidP="004B47B5">
      <w:pPr>
        <w:pStyle w:val="EndNoteBibliography"/>
        <w:spacing w:after="0"/>
        <w:rPr>
          <w:noProof/>
        </w:rPr>
      </w:pPr>
      <w:r w:rsidRPr="004B47B5">
        <w:rPr>
          <w:noProof/>
        </w:rPr>
        <w:t>Clincke, M.F., Molleryd, C., Zhang, Y., Lindskog, E., Walsh, K., and Chotteau, V. (2013b). Very high density of CHO cells in perfusion by ATF or TFF in WAVE bioreactor. Part I. Effect of the cell density on the process. Biotechnol Prog</w:t>
      </w:r>
      <w:r w:rsidRPr="004B47B5">
        <w:rPr>
          <w:i/>
          <w:noProof/>
        </w:rPr>
        <w:t xml:space="preserve"> 29</w:t>
      </w:r>
      <w:r w:rsidRPr="004B47B5">
        <w:rPr>
          <w:noProof/>
        </w:rPr>
        <w:t>, 754-767.</w:t>
      </w:r>
    </w:p>
    <w:p w14:paraId="0E67A183" w14:textId="77777777" w:rsidR="004B47B5" w:rsidRPr="004B47B5" w:rsidRDefault="004B47B5" w:rsidP="004B47B5">
      <w:pPr>
        <w:pStyle w:val="EndNoteBibliography"/>
        <w:spacing w:after="0"/>
        <w:rPr>
          <w:noProof/>
        </w:rPr>
      </w:pPr>
      <w:r w:rsidRPr="004B47B5">
        <w:rPr>
          <w:noProof/>
        </w:rPr>
        <w:t>Coffman, J. (2020). Common Framework Spreadsheet.</w:t>
      </w:r>
    </w:p>
    <w:p w14:paraId="4FBF2AE7" w14:textId="77777777" w:rsidR="004B47B5" w:rsidRPr="004B47B5" w:rsidRDefault="004B47B5" w:rsidP="004B47B5">
      <w:pPr>
        <w:pStyle w:val="EndNoteBibliography"/>
        <w:spacing w:after="0"/>
        <w:rPr>
          <w:noProof/>
        </w:rPr>
      </w:pPr>
      <w:r w:rsidRPr="004B47B5">
        <w:rPr>
          <w:noProof/>
        </w:rPr>
        <w:t>Diekmann, S., Dürr, C., Herrmann, A., Lindner, I., and Jozic, D. (2011). Single use bioreactors for the clinical production of monoclonal antibodies – a study to analyze the performance of a CHO cell line and the quality of the produced monoclonal antibody. Paper presented at: BMC Proceedings (BioMed Central).</w:t>
      </w:r>
    </w:p>
    <w:p w14:paraId="5AB59BA9" w14:textId="77777777" w:rsidR="004B47B5" w:rsidRPr="004B47B5" w:rsidRDefault="004B47B5" w:rsidP="004B47B5">
      <w:pPr>
        <w:pStyle w:val="EndNoteBibliography"/>
        <w:spacing w:after="0"/>
        <w:rPr>
          <w:noProof/>
        </w:rPr>
      </w:pPr>
      <w:r w:rsidRPr="004B47B5">
        <w:rPr>
          <w:noProof/>
        </w:rPr>
        <w:t>Dreher, T., Husemann, U., Adams, T., de Wilde, D., and Greller, G. (2014). Design space definition for a stirred single-use bioreactor family from 50 to 2000 L scale. Engineering in Life Sciences</w:t>
      </w:r>
      <w:r w:rsidRPr="004B47B5">
        <w:rPr>
          <w:i/>
          <w:noProof/>
        </w:rPr>
        <w:t xml:space="preserve"> 14</w:t>
      </w:r>
      <w:r w:rsidRPr="004B47B5">
        <w:rPr>
          <w:noProof/>
        </w:rPr>
        <w:t>, 304-310.</w:t>
      </w:r>
    </w:p>
    <w:p w14:paraId="14C46EAB" w14:textId="77777777" w:rsidR="004B47B5" w:rsidRPr="004B47B5" w:rsidRDefault="004B47B5" w:rsidP="004B47B5">
      <w:pPr>
        <w:pStyle w:val="EndNoteBibliography"/>
        <w:spacing w:after="0"/>
        <w:rPr>
          <w:noProof/>
        </w:rPr>
      </w:pPr>
      <w:r w:rsidRPr="004B47B5">
        <w:rPr>
          <w:noProof/>
        </w:rPr>
        <w:t>Jagschies, G. (2020). Hierarchy of High Impact Improvements in Bio Manufacturing. Paper presented at: Workshop on Innovations in Pharmaceutical Manufacturing (Washington, DC: National Academies of Science).</w:t>
      </w:r>
    </w:p>
    <w:p w14:paraId="4E5A2936" w14:textId="77777777" w:rsidR="004B47B5" w:rsidRPr="004B47B5" w:rsidRDefault="004B47B5" w:rsidP="004B47B5">
      <w:pPr>
        <w:pStyle w:val="EndNoteBibliography"/>
        <w:spacing w:after="0"/>
        <w:rPr>
          <w:noProof/>
        </w:rPr>
      </w:pPr>
      <w:r w:rsidRPr="004B47B5">
        <w:rPr>
          <w:noProof/>
        </w:rPr>
        <w:t>Jorjani, P., and Ozturk, S.S. (1999). Effects of Cell Density and Temperature on Oxygen Consumption Rate for Different Mammalian Cell Lines. Biotechnology and Bioengineering</w:t>
      </w:r>
      <w:r w:rsidRPr="004B47B5">
        <w:rPr>
          <w:i/>
          <w:noProof/>
        </w:rPr>
        <w:t xml:space="preserve"> 64</w:t>
      </w:r>
      <w:r w:rsidRPr="004B47B5">
        <w:rPr>
          <w:noProof/>
        </w:rPr>
        <w:t>, 349-356.</w:t>
      </w:r>
    </w:p>
    <w:p w14:paraId="4715C1B7" w14:textId="77777777" w:rsidR="004B47B5" w:rsidRPr="004B47B5" w:rsidRDefault="004B47B5" w:rsidP="004B47B5">
      <w:pPr>
        <w:pStyle w:val="EndNoteBibliography"/>
        <w:spacing w:after="0"/>
        <w:rPr>
          <w:noProof/>
        </w:rPr>
      </w:pPr>
      <w:r w:rsidRPr="004B47B5">
        <w:rPr>
          <w:noProof/>
        </w:rPr>
        <w:lastRenderedPageBreak/>
        <w:t>Kelley, B. (2009). Industrialization of mAb production technology: the bioprocessing industry at a crossroads. MAbs</w:t>
      </w:r>
      <w:r w:rsidRPr="004B47B5">
        <w:rPr>
          <w:i/>
          <w:noProof/>
        </w:rPr>
        <w:t xml:space="preserve"> 1</w:t>
      </w:r>
      <w:r w:rsidRPr="004B47B5">
        <w:rPr>
          <w:noProof/>
        </w:rPr>
        <w:t>, 443-452.</w:t>
      </w:r>
    </w:p>
    <w:p w14:paraId="51CFB10A" w14:textId="77777777" w:rsidR="004B47B5" w:rsidRPr="004B47B5" w:rsidRDefault="004B47B5" w:rsidP="004B47B5">
      <w:pPr>
        <w:pStyle w:val="EndNoteBibliography"/>
        <w:spacing w:after="0"/>
        <w:rPr>
          <w:noProof/>
        </w:rPr>
      </w:pPr>
      <w:r w:rsidRPr="004B47B5">
        <w:rPr>
          <w:noProof/>
        </w:rPr>
        <w:t>Kemp, R.B., and Guan, Y. (1997). Heat flux and the calorimetric-respirometric ratio as measures of catabolic flux in mammalian cells. Thermochimica acta</w:t>
      </w:r>
      <w:r w:rsidRPr="004B47B5">
        <w:rPr>
          <w:i/>
          <w:noProof/>
        </w:rPr>
        <w:t xml:space="preserve"> 300</w:t>
      </w:r>
      <w:r w:rsidRPr="004B47B5">
        <w:rPr>
          <w:noProof/>
        </w:rPr>
        <w:t>, 199-211.</w:t>
      </w:r>
    </w:p>
    <w:p w14:paraId="6389A3B3" w14:textId="77777777" w:rsidR="004B47B5" w:rsidRPr="004B47B5" w:rsidRDefault="004B47B5" w:rsidP="004B47B5">
      <w:pPr>
        <w:pStyle w:val="EndNoteBibliography"/>
        <w:spacing w:after="0"/>
        <w:rPr>
          <w:noProof/>
        </w:rPr>
      </w:pPr>
      <w:r w:rsidRPr="004B47B5">
        <w:rPr>
          <w:noProof/>
        </w:rPr>
        <w:t>Le Merdy, S., Cherradi, Y., and Kalashnikov, P. (2017). Exploration of synthetic depth filtration applied to mammalian cell harvest (Merck Millipore).</w:t>
      </w:r>
    </w:p>
    <w:p w14:paraId="2F240F4A" w14:textId="77777777" w:rsidR="004B47B5" w:rsidRPr="004B47B5" w:rsidRDefault="004B47B5" w:rsidP="004B47B5">
      <w:pPr>
        <w:pStyle w:val="EndNoteBibliography"/>
        <w:spacing w:after="0"/>
        <w:rPr>
          <w:noProof/>
        </w:rPr>
      </w:pPr>
      <w:r w:rsidRPr="004B47B5">
        <w:rPr>
          <w:noProof/>
        </w:rPr>
        <w:t>Moutafchieva, D., Popova, D., Dimitrova, M., and Tchaoushev, S. (2013). EXPERIMENTAL DETERMINATION OF THE VOLUMETRIC MASS TRANSFER COEFFICIENT. Journal of Chemical Technology and Metallurgy</w:t>
      </w:r>
      <w:r w:rsidRPr="004B47B5">
        <w:rPr>
          <w:i/>
          <w:noProof/>
        </w:rPr>
        <w:t xml:space="preserve"> 48</w:t>
      </w:r>
      <w:r w:rsidRPr="004B47B5">
        <w:rPr>
          <w:noProof/>
        </w:rPr>
        <w:t>, 351-356.</w:t>
      </w:r>
    </w:p>
    <w:p w14:paraId="50204CF2" w14:textId="77777777" w:rsidR="004B47B5" w:rsidRPr="004B47B5" w:rsidRDefault="004B47B5" w:rsidP="004B47B5">
      <w:pPr>
        <w:pStyle w:val="EndNoteBibliography"/>
        <w:spacing w:after="0"/>
        <w:rPr>
          <w:noProof/>
        </w:rPr>
      </w:pPr>
      <w:r w:rsidRPr="004B47B5">
        <w:rPr>
          <w:noProof/>
        </w:rPr>
        <w:t>Pegel, A., Reiser, S., Steurenthaler, M., and Klein, S. (2011). Evaluating disposable depth filtration platforms for mAb harvest clarification. BioProcess Int,</w:t>
      </w:r>
      <w:r w:rsidRPr="004B47B5">
        <w:rPr>
          <w:i/>
          <w:noProof/>
        </w:rPr>
        <w:t xml:space="preserve"> 9</w:t>
      </w:r>
      <w:r w:rsidRPr="004B47B5">
        <w:rPr>
          <w:noProof/>
        </w:rPr>
        <w:t>, 52-56.</w:t>
      </w:r>
    </w:p>
    <w:p w14:paraId="5E8801DC" w14:textId="77777777" w:rsidR="004B47B5" w:rsidRPr="004B47B5" w:rsidRDefault="004B47B5" w:rsidP="004B47B5">
      <w:pPr>
        <w:pStyle w:val="EndNoteBibliography"/>
        <w:spacing w:after="0"/>
        <w:rPr>
          <w:noProof/>
        </w:rPr>
      </w:pPr>
      <w:r w:rsidRPr="004B47B5">
        <w:rPr>
          <w:noProof/>
        </w:rPr>
        <w:t>Proulx, P., Groleau, D., and St-Pierre Lemieux, G. (2019). Introduction on Foam and its Impact in Bioreactors. Canadian Journal of Biotechnology</w:t>
      </w:r>
      <w:r w:rsidRPr="004B47B5">
        <w:rPr>
          <w:i/>
          <w:noProof/>
        </w:rPr>
        <w:t xml:space="preserve"> 3</w:t>
      </w:r>
      <w:r w:rsidRPr="004B47B5">
        <w:rPr>
          <w:noProof/>
        </w:rPr>
        <w:t>, 143-157.</w:t>
      </w:r>
    </w:p>
    <w:p w14:paraId="58127F9F" w14:textId="77777777" w:rsidR="004B47B5" w:rsidRPr="004B47B5" w:rsidRDefault="004B47B5" w:rsidP="004B47B5">
      <w:pPr>
        <w:pStyle w:val="EndNoteBibliography"/>
        <w:spacing w:after="0"/>
        <w:rPr>
          <w:noProof/>
        </w:rPr>
      </w:pPr>
      <w:r w:rsidRPr="004B47B5">
        <w:rPr>
          <w:noProof/>
        </w:rPr>
        <w:t>Radoniqi, F., Zhang, H., Bardliving, C.L., Shamlou, P., and Coffman, J. (2018). Computational fluid dynamic modeling of alternating tangential flow filtration for perfusion cell culture. Biotechnol Bioeng</w:t>
      </w:r>
      <w:r w:rsidRPr="004B47B5">
        <w:rPr>
          <w:i/>
          <w:noProof/>
        </w:rPr>
        <w:t xml:space="preserve"> 115</w:t>
      </w:r>
      <w:r w:rsidRPr="004B47B5">
        <w:rPr>
          <w:noProof/>
        </w:rPr>
        <w:t>, 2751-2759.</w:t>
      </w:r>
    </w:p>
    <w:p w14:paraId="5F0741F2" w14:textId="77777777" w:rsidR="004B47B5" w:rsidRPr="004B47B5" w:rsidRDefault="004B47B5" w:rsidP="004B47B5">
      <w:pPr>
        <w:pStyle w:val="EndNoteBibliography"/>
        <w:spacing w:after="0"/>
        <w:rPr>
          <w:noProof/>
        </w:rPr>
      </w:pPr>
      <w:r w:rsidRPr="004B47B5">
        <w:rPr>
          <w:noProof/>
        </w:rPr>
        <w:t>Wang, S., Godfrey, S., Ravikrishnan, J., Lin, H., Vogel, J., and Coffman, J. (2017). Shear contributions to cell culture performance and product recovery in ATF and TFF perfusion systems. J Biotechnol</w:t>
      </w:r>
      <w:r w:rsidRPr="004B47B5">
        <w:rPr>
          <w:i/>
          <w:noProof/>
        </w:rPr>
        <w:t xml:space="preserve"> 246</w:t>
      </w:r>
      <w:r w:rsidRPr="004B47B5">
        <w:rPr>
          <w:noProof/>
        </w:rPr>
        <w:t>, 52-60.</w:t>
      </w:r>
    </w:p>
    <w:p w14:paraId="40512981" w14:textId="77777777" w:rsidR="004B47B5" w:rsidRPr="004B47B5" w:rsidRDefault="004B47B5" w:rsidP="004B47B5">
      <w:pPr>
        <w:pStyle w:val="EndNoteBibliography"/>
        <w:spacing w:after="0"/>
        <w:rPr>
          <w:noProof/>
        </w:rPr>
      </w:pPr>
      <w:r w:rsidRPr="004B47B5">
        <w:rPr>
          <w:noProof/>
        </w:rPr>
        <w:t>Wolf, M.K.F., Bielser, J.M., and Morbidelli, M. (2020). Perfuson Cell Culture Process for Biopharmaceuticals (Cambridge: Cambridge University Press).</w:t>
      </w:r>
    </w:p>
    <w:p w14:paraId="6C72727C" w14:textId="77777777" w:rsidR="004B47B5" w:rsidRPr="004B47B5" w:rsidRDefault="004B47B5" w:rsidP="004B47B5">
      <w:pPr>
        <w:pStyle w:val="EndNoteBibliography"/>
        <w:rPr>
          <w:noProof/>
        </w:rPr>
      </w:pPr>
      <w:r w:rsidRPr="004B47B5">
        <w:rPr>
          <w:noProof/>
        </w:rPr>
        <w:t>Zamani, L., Lundqvist, M., Zhang, Y., Aberg, M., Edfors, F., Bidkhori, G., Lindahl, A., Mie, A., Mardinoglu, A., Field, R.</w:t>
      </w:r>
      <w:r w:rsidRPr="004B47B5">
        <w:rPr>
          <w:i/>
          <w:noProof/>
        </w:rPr>
        <w:t>, et al.</w:t>
      </w:r>
      <w:r w:rsidRPr="004B47B5">
        <w:rPr>
          <w:noProof/>
        </w:rPr>
        <w:t xml:space="preserve"> (2018). High Cell Density Perfusion Culture has a Maintained Exoproteome and Metabolome. Biotechnol J</w:t>
      </w:r>
      <w:r w:rsidRPr="004B47B5">
        <w:rPr>
          <w:i/>
          <w:noProof/>
        </w:rPr>
        <w:t xml:space="preserve"> 13</w:t>
      </w:r>
      <w:r w:rsidRPr="004B47B5">
        <w:rPr>
          <w:noProof/>
        </w:rPr>
        <w:t>, e1800036.</w:t>
      </w:r>
    </w:p>
    <w:p w14:paraId="68E168B9" w14:textId="3FC46564" w:rsidR="00252F14" w:rsidRDefault="00855C50" w:rsidP="004B47B5">
      <w:pPr>
        <w:spacing w:line="480" w:lineRule="auto"/>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fldChar w:fldCharType="end"/>
      </w:r>
    </w:p>
    <w:sectPr w:rsidR="00252F14" w:rsidSect="00CA4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1D3A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yNDMwNDAztTC1NLBU0lEKTi0uzszPAykwrAUAVdH5yCwAAAA="/>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4A26"/>
    <w:rsid w:val="000058AF"/>
    <w:rsid w:val="000072BA"/>
    <w:rsid w:val="000072E6"/>
    <w:rsid w:val="00010E24"/>
    <w:rsid w:val="00012CB3"/>
    <w:rsid w:val="00012D10"/>
    <w:rsid w:val="00012EB1"/>
    <w:rsid w:val="00017C70"/>
    <w:rsid w:val="00024969"/>
    <w:rsid w:val="00026752"/>
    <w:rsid w:val="000277EA"/>
    <w:rsid w:val="00034EA7"/>
    <w:rsid w:val="00044BDE"/>
    <w:rsid w:val="00045625"/>
    <w:rsid w:val="00045812"/>
    <w:rsid w:val="000528EE"/>
    <w:rsid w:val="0006145F"/>
    <w:rsid w:val="0006624C"/>
    <w:rsid w:val="00067703"/>
    <w:rsid w:val="0006775C"/>
    <w:rsid w:val="00071E4F"/>
    <w:rsid w:val="0007765C"/>
    <w:rsid w:val="00080CA4"/>
    <w:rsid w:val="000810BE"/>
    <w:rsid w:val="00082771"/>
    <w:rsid w:val="00082CA6"/>
    <w:rsid w:val="000837A9"/>
    <w:rsid w:val="00083D20"/>
    <w:rsid w:val="00086A43"/>
    <w:rsid w:val="00091F71"/>
    <w:rsid w:val="00093F53"/>
    <w:rsid w:val="000940BF"/>
    <w:rsid w:val="0009437C"/>
    <w:rsid w:val="00094D84"/>
    <w:rsid w:val="00096911"/>
    <w:rsid w:val="00097E72"/>
    <w:rsid w:val="000A0048"/>
    <w:rsid w:val="000A04C7"/>
    <w:rsid w:val="000A0C75"/>
    <w:rsid w:val="000A1D8F"/>
    <w:rsid w:val="000B13B4"/>
    <w:rsid w:val="000B20E2"/>
    <w:rsid w:val="000B39E1"/>
    <w:rsid w:val="000B42EF"/>
    <w:rsid w:val="000B64EE"/>
    <w:rsid w:val="000B6852"/>
    <w:rsid w:val="000C012E"/>
    <w:rsid w:val="000C198C"/>
    <w:rsid w:val="000C5F98"/>
    <w:rsid w:val="000C6159"/>
    <w:rsid w:val="000C765C"/>
    <w:rsid w:val="000F00AC"/>
    <w:rsid w:val="000F7EB4"/>
    <w:rsid w:val="00103FD6"/>
    <w:rsid w:val="001109E8"/>
    <w:rsid w:val="00125DA4"/>
    <w:rsid w:val="001262C7"/>
    <w:rsid w:val="00131F05"/>
    <w:rsid w:val="00136682"/>
    <w:rsid w:val="00140D3F"/>
    <w:rsid w:val="00143246"/>
    <w:rsid w:val="0014324F"/>
    <w:rsid w:val="001433AB"/>
    <w:rsid w:val="00143BC8"/>
    <w:rsid w:val="00144ADD"/>
    <w:rsid w:val="00153BBA"/>
    <w:rsid w:val="00155902"/>
    <w:rsid w:val="001573D6"/>
    <w:rsid w:val="00160233"/>
    <w:rsid w:val="00160544"/>
    <w:rsid w:val="00160AB4"/>
    <w:rsid w:val="00165EFF"/>
    <w:rsid w:val="0016638C"/>
    <w:rsid w:val="00166BF8"/>
    <w:rsid w:val="00173F83"/>
    <w:rsid w:val="00174A70"/>
    <w:rsid w:val="00177100"/>
    <w:rsid w:val="001814F8"/>
    <w:rsid w:val="001829DC"/>
    <w:rsid w:val="00185949"/>
    <w:rsid w:val="00192DE3"/>
    <w:rsid w:val="001A336C"/>
    <w:rsid w:val="001A5131"/>
    <w:rsid w:val="001A63A2"/>
    <w:rsid w:val="001B0EF3"/>
    <w:rsid w:val="001B3B3F"/>
    <w:rsid w:val="001C0B46"/>
    <w:rsid w:val="001C3995"/>
    <w:rsid w:val="001D052B"/>
    <w:rsid w:val="001D19FE"/>
    <w:rsid w:val="001D25F4"/>
    <w:rsid w:val="001D2E6C"/>
    <w:rsid w:val="001D2ED0"/>
    <w:rsid w:val="001D3F6F"/>
    <w:rsid w:val="001D5041"/>
    <w:rsid w:val="001D70E3"/>
    <w:rsid w:val="001D7DE1"/>
    <w:rsid w:val="001E3FBC"/>
    <w:rsid w:val="001E464B"/>
    <w:rsid w:val="001E6470"/>
    <w:rsid w:val="001E6AA2"/>
    <w:rsid w:val="001F141B"/>
    <w:rsid w:val="001F2C63"/>
    <w:rsid w:val="001F3F49"/>
    <w:rsid w:val="001F5183"/>
    <w:rsid w:val="001F6798"/>
    <w:rsid w:val="00200030"/>
    <w:rsid w:val="00204A09"/>
    <w:rsid w:val="00204FE4"/>
    <w:rsid w:val="00212C4B"/>
    <w:rsid w:val="00215132"/>
    <w:rsid w:val="002162E9"/>
    <w:rsid w:val="00221854"/>
    <w:rsid w:val="00227AE6"/>
    <w:rsid w:val="00232214"/>
    <w:rsid w:val="00246B66"/>
    <w:rsid w:val="00252F14"/>
    <w:rsid w:val="00253828"/>
    <w:rsid w:val="00254D37"/>
    <w:rsid w:val="002552B1"/>
    <w:rsid w:val="0025648A"/>
    <w:rsid w:val="00265402"/>
    <w:rsid w:val="00265513"/>
    <w:rsid w:val="002735EF"/>
    <w:rsid w:val="00275CCA"/>
    <w:rsid w:val="002923A0"/>
    <w:rsid w:val="00292501"/>
    <w:rsid w:val="00294F3E"/>
    <w:rsid w:val="0029705E"/>
    <w:rsid w:val="00297CD6"/>
    <w:rsid w:val="002A3957"/>
    <w:rsid w:val="002A510F"/>
    <w:rsid w:val="002A6B55"/>
    <w:rsid w:val="002A7A96"/>
    <w:rsid w:val="002A7F19"/>
    <w:rsid w:val="002B0DBC"/>
    <w:rsid w:val="002B2841"/>
    <w:rsid w:val="002B347D"/>
    <w:rsid w:val="002B4D99"/>
    <w:rsid w:val="002B57F5"/>
    <w:rsid w:val="002B7ADD"/>
    <w:rsid w:val="002C0821"/>
    <w:rsid w:val="002C096A"/>
    <w:rsid w:val="002C23DB"/>
    <w:rsid w:val="002C4D50"/>
    <w:rsid w:val="002C52D1"/>
    <w:rsid w:val="002D0690"/>
    <w:rsid w:val="002E410C"/>
    <w:rsid w:val="002E6CDF"/>
    <w:rsid w:val="002E76B3"/>
    <w:rsid w:val="002E78A9"/>
    <w:rsid w:val="002E7E0E"/>
    <w:rsid w:val="002F258D"/>
    <w:rsid w:val="002F4DCA"/>
    <w:rsid w:val="002F6A44"/>
    <w:rsid w:val="002F7DCA"/>
    <w:rsid w:val="00306914"/>
    <w:rsid w:val="003107D4"/>
    <w:rsid w:val="00310B6A"/>
    <w:rsid w:val="003135A1"/>
    <w:rsid w:val="00320ACC"/>
    <w:rsid w:val="003223E2"/>
    <w:rsid w:val="003228AC"/>
    <w:rsid w:val="00322929"/>
    <w:rsid w:val="00322AB2"/>
    <w:rsid w:val="00322DB1"/>
    <w:rsid w:val="00326735"/>
    <w:rsid w:val="00334150"/>
    <w:rsid w:val="00350D44"/>
    <w:rsid w:val="003610EF"/>
    <w:rsid w:val="003623CC"/>
    <w:rsid w:val="00362580"/>
    <w:rsid w:val="0036342E"/>
    <w:rsid w:val="003634AB"/>
    <w:rsid w:val="00365C4E"/>
    <w:rsid w:val="00372DCE"/>
    <w:rsid w:val="00374990"/>
    <w:rsid w:val="00376D9B"/>
    <w:rsid w:val="0037720D"/>
    <w:rsid w:val="0038467E"/>
    <w:rsid w:val="00390EE1"/>
    <w:rsid w:val="00395EE9"/>
    <w:rsid w:val="00396DE1"/>
    <w:rsid w:val="003A0970"/>
    <w:rsid w:val="003A1A27"/>
    <w:rsid w:val="003A1F35"/>
    <w:rsid w:val="003A6A46"/>
    <w:rsid w:val="003B7DF7"/>
    <w:rsid w:val="003C1E87"/>
    <w:rsid w:val="003C2C0D"/>
    <w:rsid w:val="003C47CE"/>
    <w:rsid w:val="003C4CE7"/>
    <w:rsid w:val="003C4E72"/>
    <w:rsid w:val="003C4F3C"/>
    <w:rsid w:val="003C6982"/>
    <w:rsid w:val="003C69D4"/>
    <w:rsid w:val="003D1C80"/>
    <w:rsid w:val="003D3E58"/>
    <w:rsid w:val="003D4E4D"/>
    <w:rsid w:val="003D7AE6"/>
    <w:rsid w:val="003E2182"/>
    <w:rsid w:val="003E3DB9"/>
    <w:rsid w:val="003F2235"/>
    <w:rsid w:val="003F4574"/>
    <w:rsid w:val="004039A4"/>
    <w:rsid w:val="004050BB"/>
    <w:rsid w:val="0040593D"/>
    <w:rsid w:val="0041023B"/>
    <w:rsid w:val="004155A0"/>
    <w:rsid w:val="00416725"/>
    <w:rsid w:val="004170B2"/>
    <w:rsid w:val="0041752C"/>
    <w:rsid w:val="004315B2"/>
    <w:rsid w:val="004321C8"/>
    <w:rsid w:val="00434601"/>
    <w:rsid w:val="00434D7F"/>
    <w:rsid w:val="0043703E"/>
    <w:rsid w:val="0044159F"/>
    <w:rsid w:val="00443082"/>
    <w:rsid w:val="004459F7"/>
    <w:rsid w:val="0046157F"/>
    <w:rsid w:val="00463963"/>
    <w:rsid w:val="00470597"/>
    <w:rsid w:val="004723EF"/>
    <w:rsid w:val="00472D1F"/>
    <w:rsid w:val="00474359"/>
    <w:rsid w:val="00476A7F"/>
    <w:rsid w:val="004771A7"/>
    <w:rsid w:val="00487716"/>
    <w:rsid w:val="004918F7"/>
    <w:rsid w:val="004929D8"/>
    <w:rsid w:val="00496C5B"/>
    <w:rsid w:val="00496D7A"/>
    <w:rsid w:val="004A31D3"/>
    <w:rsid w:val="004B0B34"/>
    <w:rsid w:val="004B1722"/>
    <w:rsid w:val="004B47B5"/>
    <w:rsid w:val="004B599F"/>
    <w:rsid w:val="004C6925"/>
    <w:rsid w:val="004C73EE"/>
    <w:rsid w:val="004D3490"/>
    <w:rsid w:val="004E0F55"/>
    <w:rsid w:val="004E16AD"/>
    <w:rsid w:val="004E2CC9"/>
    <w:rsid w:val="004F03CB"/>
    <w:rsid w:val="004F37CD"/>
    <w:rsid w:val="00504D4D"/>
    <w:rsid w:val="005055ED"/>
    <w:rsid w:val="00506C45"/>
    <w:rsid w:val="00515D62"/>
    <w:rsid w:val="00516749"/>
    <w:rsid w:val="00527D91"/>
    <w:rsid w:val="0053035C"/>
    <w:rsid w:val="005316F7"/>
    <w:rsid w:val="00533948"/>
    <w:rsid w:val="005371C9"/>
    <w:rsid w:val="0054142A"/>
    <w:rsid w:val="00546F8F"/>
    <w:rsid w:val="00547481"/>
    <w:rsid w:val="00547B45"/>
    <w:rsid w:val="00550092"/>
    <w:rsid w:val="005517AF"/>
    <w:rsid w:val="0055300A"/>
    <w:rsid w:val="00553997"/>
    <w:rsid w:val="00554E63"/>
    <w:rsid w:val="005550ED"/>
    <w:rsid w:val="00555DA4"/>
    <w:rsid w:val="00562088"/>
    <w:rsid w:val="00564439"/>
    <w:rsid w:val="00565227"/>
    <w:rsid w:val="00571626"/>
    <w:rsid w:val="005746D0"/>
    <w:rsid w:val="005755F4"/>
    <w:rsid w:val="005868AA"/>
    <w:rsid w:val="0059006C"/>
    <w:rsid w:val="00590127"/>
    <w:rsid w:val="00591A02"/>
    <w:rsid w:val="00592716"/>
    <w:rsid w:val="0059432F"/>
    <w:rsid w:val="00595E2E"/>
    <w:rsid w:val="0059639F"/>
    <w:rsid w:val="005A1CD5"/>
    <w:rsid w:val="005A25F2"/>
    <w:rsid w:val="005A4C79"/>
    <w:rsid w:val="005A4E01"/>
    <w:rsid w:val="005A6E2E"/>
    <w:rsid w:val="005B790A"/>
    <w:rsid w:val="005C568C"/>
    <w:rsid w:val="005C5B42"/>
    <w:rsid w:val="005D0885"/>
    <w:rsid w:val="005D0A40"/>
    <w:rsid w:val="005D1514"/>
    <w:rsid w:val="005E2C16"/>
    <w:rsid w:val="005E52EF"/>
    <w:rsid w:val="0060435F"/>
    <w:rsid w:val="006118AC"/>
    <w:rsid w:val="00615C13"/>
    <w:rsid w:val="0062574B"/>
    <w:rsid w:val="0062760A"/>
    <w:rsid w:val="0063232D"/>
    <w:rsid w:val="00632F47"/>
    <w:rsid w:val="0063490A"/>
    <w:rsid w:val="00634B17"/>
    <w:rsid w:val="00636DAE"/>
    <w:rsid w:val="006370B3"/>
    <w:rsid w:val="0063758B"/>
    <w:rsid w:val="00643F3B"/>
    <w:rsid w:val="006460F7"/>
    <w:rsid w:val="00650571"/>
    <w:rsid w:val="006630B3"/>
    <w:rsid w:val="006661B4"/>
    <w:rsid w:val="00671BE5"/>
    <w:rsid w:val="0067226E"/>
    <w:rsid w:val="0067559B"/>
    <w:rsid w:val="00677502"/>
    <w:rsid w:val="006812C9"/>
    <w:rsid w:val="0069064B"/>
    <w:rsid w:val="00691C2F"/>
    <w:rsid w:val="00696DDE"/>
    <w:rsid w:val="006A1372"/>
    <w:rsid w:val="006A53EE"/>
    <w:rsid w:val="006A6811"/>
    <w:rsid w:val="006B1147"/>
    <w:rsid w:val="006B2852"/>
    <w:rsid w:val="006C1551"/>
    <w:rsid w:val="006C2621"/>
    <w:rsid w:val="006D4CF2"/>
    <w:rsid w:val="006E4B0F"/>
    <w:rsid w:val="006F1B28"/>
    <w:rsid w:val="006F1D25"/>
    <w:rsid w:val="006F2F42"/>
    <w:rsid w:val="006F4184"/>
    <w:rsid w:val="00703C7B"/>
    <w:rsid w:val="00704F98"/>
    <w:rsid w:val="007058E1"/>
    <w:rsid w:val="007070C6"/>
    <w:rsid w:val="0071662A"/>
    <w:rsid w:val="007320DB"/>
    <w:rsid w:val="00732447"/>
    <w:rsid w:val="00732DB8"/>
    <w:rsid w:val="007338BC"/>
    <w:rsid w:val="00736313"/>
    <w:rsid w:val="00740F05"/>
    <w:rsid w:val="00745CB2"/>
    <w:rsid w:val="0075041C"/>
    <w:rsid w:val="00752910"/>
    <w:rsid w:val="00756EC1"/>
    <w:rsid w:val="00763ADB"/>
    <w:rsid w:val="007642A8"/>
    <w:rsid w:val="00766758"/>
    <w:rsid w:val="00770565"/>
    <w:rsid w:val="00771346"/>
    <w:rsid w:val="0077596E"/>
    <w:rsid w:val="0078561C"/>
    <w:rsid w:val="00787D4F"/>
    <w:rsid w:val="007964A0"/>
    <w:rsid w:val="007A1419"/>
    <w:rsid w:val="007B1224"/>
    <w:rsid w:val="007B5C00"/>
    <w:rsid w:val="007B5FAE"/>
    <w:rsid w:val="007C4E36"/>
    <w:rsid w:val="007C632B"/>
    <w:rsid w:val="007D2786"/>
    <w:rsid w:val="007E0C39"/>
    <w:rsid w:val="007E1D1C"/>
    <w:rsid w:val="007E5062"/>
    <w:rsid w:val="007E5CE5"/>
    <w:rsid w:val="007E7586"/>
    <w:rsid w:val="007F08AD"/>
    <w:rsid w:val="007F4A83"/>
    <w:rsid w:val="007F5CAB"/>
    <w:rsid w:val="008002C6"/>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6BE4"/>
    <w:rsid w:val="0084725F"/>
    <w:rsid w:val="00853A20"/>
    <w:rsid w:val="00855C50"/>
    <w:rsid w:val="00857858"/>
    <w:rsid w:val="00863F40"/>
    <w:rsid w:val="0086403C"/>
    <w:rsid w:val="00866442"/>
    <w:rsid w:val="00873F56"/>
    <w:rsid w:val="00874006"/>
    <w:rsid w:val="008742F8"/>
    <w:rsid w:val="0087443E"/>
    <w:rsid w:val="00880178"/>
    <w:rsid w:val="00886161"/>
    <w:rsid w:val="00887138"/>
    <w:rsid w:val="00893594"/>
    <w:rsid w:val="00895477"/>
    <w:rsid w:val="0089575B"/>
    <w:rsid w:val="008A7CFF"/>
    <w:rsid w:val="008A7F5C"/>
    <w:rsid w:val="008B22EA"/>
    <w:rsid w:val="008B368D"/>
    <w:rsid w:val="008B49F3"/>
    <w:rsid w:val="008C246C"/>
    <w:rsid w:val="008C6F26"/>
    <w:rsid w:val="008D5C2C"/>
    <w:rsid w:val="008D6114"/>
    <w:rsid w:val="008E1012"/>
    <w:rsid w:val="008F1D66"/>
    <w:rsid w:val="00903475"/>
    <w:rsid w:val="00906BBE"/>
    <w:rsid w:val="00907D9D"/>
    <w:rsid w:val="009104AF"/>
    <w:rsid w:val="00920795"/>
    <w:rsid w:val="00923D7D"/>
    <w:rsid w:val="009241A6"/>
    <w:rsid w:val="00924EE6"/>
    <w:rsid w:val="0092630C"/>
    <w:rsid w:val="0092789C"/>
    <w:rsid w:val="00935FEA"/>
    <w:rsid w:val="00940FAE"/>
    <w:rsid w:val="00954D5F"/>
    <w:rsid w:val="009553A1"/>
    <w:rsid w:val="00955B4B"/>
    <w:rsid w:val="0096127E"/>
    <w:rsid w:val="00971259"/>
    <w:rsid w:val="00974EE3"/>
    <w:rsid w:val="00975089"/>
    <w:rsid w:val="0097587D"/>
    <w:rsid w:val="009805E1"/>
    <w:rsid w:val="0098366C"/>
    <w:rsid w:val="00985396"/>
    <w:rsid w:val="00991D3F"/>
    <w:rsid w:val="00992DA1"/>
    <w:rsid w:val="00993891"/>
    <w:rsid w:val="00993C44"/>
    <w:rsid w:val="009953F4"/>
    <w:rsid w:val="00995D71"/>
    <w:rsid w:val="009966B7"/>
    <w:rsid w:val="00997E56"/>
    <w:rsid w:val="009A15D0"/>
    <w:rsid w:val="009A3563"/>
    <w:rsid w:val="009A6049"/>
    <w:rsid w:val="009A71CB"/>
    <w:rsid w:val="009A75AB"/>
    <w:rsid w:val="009B1A50"/>
    <w:rsid w:val="009B3131"/>
    <w:rsid w:val="009B48BE"/>
    <w:rsid w:val="009C09BB"/>
    <w:rsid w:val="009C67CA"/>
    <w:rsid w:val="009C6A46"/>
    <w:rsid w:val="009D0086"/>
    <w:rsid w:val="009D41DC"/>
    <w:rsid w:val="009E08FD"/>
    <w:rsid w:val="009E2C78"/>
    <w:rsid w:val="009E47B3"/>
    <w:rsid w:val="009E675D"/>
    <w:rsid w:val="009E67AA"/>
    <w:rsid w:val="009F07E1"/>
    <w:rsid w:val="009F1353"/>
    <w:rsid w:val="009F1E2D"/>
    <w:rsid w:val="009F589D"/>
    <w:rsid w:val="009F63B0"/>
    <w:rsid w:val="00A01097"/>
    <w:rsid w:val="00A029EE"/>
    <w:rsid w:val="00A02F54"/>
    <w:rsid w:val="00A13C16"/>
    <w:rsid w:val="00A17648"/>
    <w:rsid w:val="00A20405"/>
    <w:rsid w:val="00A22994"/>
    <w:rsid w:val="00A26E73"/>
    <w:rsid w:val="00A34317"/>
    <w:rsid w:val="00A415FA"/>
    <w:rsid w:val="00A429DF"/>
    <w:rsid w:val="00A44FC6"/>
    <w:rsid w:val="00A45B56"/>
    <w:rsid w:val="00A50C1A"/>
    <w:rsid w:val="00A54DD3"/>
    <w:rsid w:val="00A56A7F"/>
    <w:rsid w:val="00A576DF"/>
    <w:rsid w:val="00A57C06"/>
    <w:rsid w:val="00A60E84"/>
    <w:rsid w:val="00A64398"/>
    <w:rsid w:val="00A64A3E"/>
    <w:rsid w:val="00A676F3"/>
    <w:rsid w:val="00A71AA8"/>
    <w:rsid w:val="00A81E59"/>
    <w:rsid w:val="00A82C5F"/>
    <w:rsid w:val="00A86482"/>
    <w:rsid w:val="00A91F3F"/>
    <w:rsid w:val="00A97AF1"/>
    <w:rsid w:val="00AA0FAB"/>
    <w:rsid w:val="00AA2F81"/>
    <w:rsid w:val="00AA47EC"/>
    <w:rsid w:val="00AA499C"/>
    <w:rsid w:val="00AA5616"/>
    <w:rsid w:val="00AB170B"/>
    <w:rsid w:val="00AB4E3F"/>
    <w:rsid w:val="00AD0B01"/>
    <w:rsid w:val="00AD1F8A"/>
    <w:rsid w:val="00AE2B46"/>
    <w:rsid w:val="00AE5911"/>
    <w:rsid w:val="00AE65F1"/>
    <w:rsid w:val="00AE797C"/>
    <w:rsid w:val="00AE7DC1"/>
    <w:rsid w:val="00AF1631"/>
    <w:rsid w:val="00AF2B48"/>
    <w:rsid w:val="00AF5897"/>
    <w:rsid w:val="00AF5CF5"/>
    <w:rsid w:val="00AF667D"/>
    <w:rsid w:val="00AF7F9E"/>
    <w:rsid w:val="00B007DB"/>
    <w:rsid w:val="00B055BD"/>
    <w:rsid w:val="00B07506"/>
    <w:rsid w:val="00B1294E"/>
    <w:rsid w:val="00B12C70"/>
    <w:rsid w:val="00B143B5"/>
    <w:rsid w:val="00B15421"/>
    <w:rsid w:val="00B17D70"/>
    <w:rsid w:val="00B23039"/>
    <w:rsid w:val="00B304B0"/>
    <w:rsid w:val="00B31939"/>
    <w:rsid w:val="00B4001F"/>
    <w:rsid w:val="00B44B16"/>
    <w:rsid w:val="00B4568C"/>
    <w:rsid w:val="00B461BB"/>
    <w:rsid w:val="00B51208"/>
    <w:rsid w:val="00B54898"/>
    <w:rsid w:val="00B55A5F"/>
    <w:rsid w:val="00B57DDB"/>
    <w:rsid w:val="00B62C34"/>
    <w:rsid w:val="00B678A7"/>
    <w:rsid w:val="00B72992"/>
    <w:rsid w:val="00B749A7"/>
    <w:rsid w:val="00B82CAD"/>
    <w:rsid w:val="00B91E6E"/>
    <w:rsid w:val="00B95F61"/>
    <w:rsid w:val="00B9674E"/>
    <w:rsid w:val="00B9677D"/>
    <w:rsid w:val="00B96B20"/>
    <w:rsid w:val="00BA14A4"/>
    <w:rsid w:val="00BA388E"/>
    <w:rsid w:val="00BB4338"/>
    <w:rsid w:val="00BB779E"/>
    <w:rsid w:val="00BC137B"/>
    <w:rsid w:val="00BC290E"/>
    <w:rsid w:val="00BC29C2"/>
    <w:rsid w:val="00BC3F65"/>
    <w:rsid w:val="00BC637B"/>
    <w:rsid w:val="00BC6E78"/>
    <w:rsid w:val="00BD0CE0"/>
    <w:rsid w:val="00BD5939"/>
    <w:rsid w:val="00BD6820"/>
    <w:rsid w:val="00BE122C"/>
    <w:rsid w:val="00BE6237"/>
    <w:rsid w:val="00BE7086"/>
    <w:rsid w:val="00BE7784"/>
    <w:rsid w:val="00BE7ED8"/>
    <w:rsid w:val="00BF6BC7"/>
    <w:rsid w:val="00C036B8"/>
    <w:rsid w:val="00C0799E"/>
    <w:rsid w:val="00C10F70"/>
    <w:rsid w:val="00C13471"/>
    <w:rsid w:val="00C151B5"/>
    <w:rsid w:val="00C206AF"/>
    <w:rsid w:val="00C220D4"/>
    <w:rsid w:val="00C26A83"/>
    <w:rsid w:val="00C26EC3"/>
    <w:rsid w:val="00C27DD7"/>
    <w:rsid w:val="00C30F19"/>
    <w:rsid w:val="00C3356E"/>
    <w:rsid w:val="00C337FE"/>
    <w:rsid w:val="00C33DE1"/>
    <w:rsid w:val="00C34E54"/>
    <w:rsid w:val="00C479D2"/>
    <w:rsid w:val="00C47CE8"/>
    <w:rsid w:val="00C5287B"/>
    <w:rsid w:val="00C52D6B"/>
    <w:rsid w:val="00C61D38"/>
    <w:rsid w:val="00C630F0"/>
    <w:rsid w:val="00C64508"/>
    <w:rsid w:val="00C64A83"/>
    <w:rsid w:val="00C72820"/>
    <w:rsid w:val="00C743CE"/>
    <w:rsid w:val="00C76A53"/>
    <w:rsid w:val="00C80C4A"/>
    <w:rsid w:val="00C81FBD"/>
    <w:rsid w:val="00C83C4D"/>
    <w:rsid w:val="00C856E7"/>
    <w:rsid w:val="00C92F82"/>
    <w:rsid w:val="00C9340F"/>
    <w:rsid w:val="00C94563"/>
    <w:rsid w:val="00CA218D"/>
    <w:rsid w:val="00CA45D6"/>
    <w:rsid w:val="00CB0CF7"/>
    <w:rsid w:val="00CB15D3"/>
    <w:rsid w:val="00CB4697"/>
    <w:rsid w:val="00CB5279"/>
    <w:rsid w:val="00CC0671"/>
    <w:rsid w:val="00CC22F2"/>
    <w:rsid w:val="00CC31B7"/>
    <w:rsid w:val="00CC4FBF"/>
    <w:rsid w:val="00CC6305"/>
    <w:rsid w:val="00CC6752"/>
    <w:rsid w:val="00CC6FE3"/>
    <w:rsid w:val="00CD1BE7"/>
    <w:rsid w:val="00CD1C78"/>
    <w:rsid w:val="00CE0DF8"/>
    <w:rsid w:val="00CF3C52"/>
    <w:rsid w:val="00CF545C"/>
    <w:rsid w:val="00CF6DC7"/>
    <w:rsid w:val="00D03E28"/>
    <w:rsid w:val="00D07805"/>
    <w:rsid w:val="00D10C4C"/>
    <w:rsid w:val="00D12170"/>
    <w:rsid w:val="00D126DD"/>
    <w:rsid w:val="00D1798E"/>
    <w:rsid w:val="00D30B4D"/>
    <w:rsid w:val="00D31732"/>
    <w:rsid w:val="00D31B5E"/>
    <w:rsid w:val="00D423F4"/>
    <w:rsid w:val="00D45736"/>
    <w:rsid w:val="00D46E46"/>
    <w:rsid w:val="00D47091"/>
    <w:rsid w:val="00D51089"/>
    <w:rsid w:val="00D52551"/>
    <w:rsid w:val="00D56D0F"/>
    <w:rsid w:val="00D63AF3"/>
    <w:rsid w:val="00D660BD"/>
    <w:rsid w:val="00D66306"/>
    <w:rsid w:val="00D72EBB"/>
    <w:rsid w:val="00D73F3C"/>
    <w:rsid w:val="00D81BC5"/>
    <w:rsid w:val="00D849D4"/>
    <w:rsid w:val="00D8548C"/>
    <w:rsid w:val="00D858A9"/>
    <w:rsid w:val="00D92D37"/>
    <w:rsid w:val="00D94071"/>
    <w:rsid w:val="00D94A75"/>
    <w:rsid w:val="00DA2B59"/>
    <w:rsid w:val="00DA36C9"/>
    <w:rsid w:val="00DA458D"/>
    <w:rsid w:val="00DA68C5"/>
    <w:rsid w:val="00DA7DD2"/>
    <w:rsid w:val="00DB25B3"/>
    <w:rsid w:val="00DB40D0"/>
    <w:rsid w:val="00DB5E13"/>
    <w:rsid w:val="00DB703D"/>
    <w:rsid w:val="00DC4A97"/>
    <w:rsid w:val="00DC5570"/>
    <w:rsid w:val="00DC731E"/>
    <w:rsid w:val="00DD12EF"/>
    <w:rsid w:val="00DD59ED"/>
    <w:rsid w:val="00DE59C4"/>
    <w:rsid w:val="00DF0F68"/>
    <w:rsid w:val="00DF124F"/>
    <w:rsid w:val="00E016BD"/>
    <w:rsid w:val="00E01F11"/>
    <w:rsid w:val="00E0533A"/>
    <w:rsid w:val="00E05F5E"/>
    <w:rsid w:val="00E07A21"/>
    <w:rsid w:val="00E10A04"/>
    <w:rsid w:val="00E11C85"/>
    <w:rsid w:val="00E17191"/>
    <w:rsid w:val="00E17AAF"/>
    <w:rsid w:val="00E23664"/>
    <w:rsid w:val="00E27A7C"/>
    <w:rsid w:val="00E30825"/>
    <w:rsid w:val="00E3498E"/>
    <w:rsid w:val="00E34C06"/>
    <w:rsid w:val="00E34E77"/>
    <w:rsid w:val="00E37B54"/>
    <w:rsid w:val="00E401C5"/>
    <w:rsid w:val="00E43986"/>
    <w:rsid w:val="00E43DBF"/>
    <w:rsid w:val="00E45AE0"/>
    <w:rsid w:val="00E47449"/>
    <w:rsid w:val="00E50AB9"/>
    <w:rsid w:val="00E51285"/>
    <w:rsid w:val="00E5303E"/>
    <w:rsid w:val="00E56A39"/>
    <w:rsid w:val="00E57122"/>
    <w:rsid w:val="00E62CEE"/>
    <w:rsid w:val="00E66C81"/>
    <w:rsid w:val="00E66DFF"/>
    <w:rsid w:val="00E718F2"/>
    <w:rsid w:val="00E731A4"/>
    <w:rsid w:val="00E743FF"/>
    <w:rsid w:val="00E74D61"/>
    <w:rsid w:val="00E75F13"/>
    <w:rsid w:val="00E80E98"/>
    <w:rsid w:val="00E837C9"/>
    <w:rsid w:val="00E916B8"/>
    <w:rsid w:val="00E91969"/>
    <w:rsid w:val="00E949DC"/>
    <w:rsid w:val="00E95C37"/>
    <w:rsid w:val="00EA26D5"/>
    <w:rsid w:val="00EA41DC"/>
    <w:rsid w:val="00EA5B91"/>
    <w:rsid w:val="00EB4A0D"/>
    <w:rsid w:val="00EC0EBB"/>
    <w:rsid w:val="00EC30F7"/>
    <w:rsid w:val="00EC36AB"/>
    <w:rsid w:val="00ED0530"/>
    <w:rsid w:val="00ED3BFD"/>
    <w:rsid w:val="00ED74F9"/>
    <w:rsid w:val="00EE203E"/>
    <w:rsid w:val="00EF2BC5"/>
    <w:rsid w:val="00EF36FD"/>
    <w:rsid w:val="00EF549E"/>
    <w:rsid w:val="00EF78FD"/>
    <w:rsid w:val="00F034BF"/>
    <w:rsid w:val="00F03B70"/>
    <w:rsid w:val="00F1376B"/>
    <w:rsid w:val="00F1540A"/>
    <w:rsid w:val="00F16520"/>
    <w:rsid w:val="00F17385"/>
    <w:rsid w:val="00F21627"/>
    <w:rsid w:val="00F24989"/>
    <w:rsid w:val="00F32133"/>
    <w:rsid w:val="00F34CAC"/>
    <w:rsid w:val="00F4420A"/>
    <w:rsid w:val="00F45F00"/>
    <w:rsid w:val="00F51C3A"/>
    <w:rsid w:val="00F536E5"/>
    <w:rsid w:val="00F60A6E"/>
    <w:rsid w:val="00F61775"/>
    <w:rsid w:val="00F642BD"/>
    <w:rsid w:val="00F64399"/>
    <w:rsid w:val="00F668A8"/>
    <w:rsid w:val="00F77AFB"/>
    <w:rsid w:val="00F77B87"/>
    <w:rsid w:val="00F82348"/>
    <w:rsid w:val="00F83B38"/>
    <w:rsid w:val="00F849E9"/>
    <w:rsid w:val="00F86CCA"/>
    <w:rsid w:val="00F92EB5"/>
    <w:rsid w:val="00F95B0E"/>
    <w:rsid w:val="00F9745C"/>
    <w:rsid w:val="00F97B88"/>
    <w:rsid w:val="00FA37F5"/>
    <w:rsid w:val="00FA380B"/>
    <w:rsid w:val="00FA3A5D"/>
    <w:rsid w:val="00FA4CBF"/>
    <w:rsid w:val="00FA7AC6"/>
    <w:rsid w:val="00FB09D9"/>
    <w:rsid w:val="00FB37C4"/>
    <w:rsid w:val="00FB7E3A"/>
    <w:rsid w:val="00FB7E8C"/>
    <w:rsid w:val="00FC19E5"/>
    <w:rsid w:val="00FC648D"/>
    <w:rsid w:val="00FC6945"/>
    <w:rsid w:val="00FD33CF"/>
    <w:rsid w:val="00FD379D"/>
    <w:rsid w:val="00FD4D66"/>
    <w:rsid w:val="00FD6676"/>
    <w:rsid w:val="00FD6FFD"/>
    <w:rsid w:val="00FD7ED5"/>
    <w:rsid w:val="00FE1BF1"/>
    <w:rsid w:val="00FE2341"/>
    <w:rsid w:val="00FE34C7"/>
    <w:rsid w:val="00FF2949"/>
    <w:rsid w:val="00FF45E0"/>
    <w:rsid w:val="0656EAB2"/>
    <w:rsid w:val="1112A9CD"/>
    <w:rsid w:val="16B1401E"/>
    <w:rsid w:val="1AD3A749"/>
    <w:rsid w:val="1B476BAB"/>
    <w:rsid w:val="249B7370"/>
    <w:rsid w:val="251E84D6"/>
    <w:rsid w:val="35E21494"/>
    <w:rsid w:val="3A96757D"/>
    <w:rsid w:val="4637320E"/>
    <w:rsid w:val="4C852D9A"/>
    <w:rsid w:val="58FFA6F4"/>
    <w:rsid w:val="5D61067A"/>
    <w:rsid w:val="661F475E"/>
    <w:rsid w:val="67C4E83A"/>
    <w:rsid w:val="6CD06139"/>
    <w:rsid w:val="747B87A7"/>
    <w:rsid w:val="7700BC93"/>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B8"/>
    <w:pPr>
      <w:spacing w:before="240" w:after="240"/>
    </w:pPr>
  </w:style>
  <w:style w:type="paragraph" w:styleId="Heading1">
    <w:name w:val="heading 1"/>
    <w:basedOn w:val="Normal"/>
    <w:next w:val="Normal"/>
    <w:link w:val="Heading1Char"/>
    <w:uiPriority w:val="9"/>
    <w:qFormat/>
    <w:rsid w:val="009A15D0"/>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2C0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9A15D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customStyle="1" w:styleId="UnresolvedMention1">
    <w:name w:val="Unresolved Mention1"/>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basedOn w:val="Normal"/>
    <w:next w:val="Normal"/>
    <w:link w:val="TitleChar"/>
    <w:uiPriority w:val="10"/>
    <w:qFormat/>
    <w:rsid w:val="00C945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6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D1F8A"/>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3C2C0D"/>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rsid w:val="001A5131"/>
    <w:rPr>
      <w:sz w:val="20"/>
      <w:szCs w:val="20"/>
    </w:rPr>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CommentSubject">
    <w:name w:val="annotation subject"/>
    <w:basedOn w:val="CommentText"/>
    <w:next w:val="CommentText"/>
    <w:link w:val="CommentSubjectChar"/>
    <w:uiPriority w:val="99"/>
    <w:semiHidden/>
    <w:unhideWhenUsed/>
    <w:rsid w:val="00CA218D"/>
    <w:rPr>
      <w:b/>
      <w:bCs/>
    </w:rPr>
  </w:style>
  <w:style w:type="character" w:customStyle="1" w:styleId="CommentSubjectChar">
    <w:name w:val="Comment Subject Char"/>
    <w:basedOn w:val="CommentTextChar"/>
    <w:link w:val="CommentSubject"/>
    <w:uiPriority w:val="99"/>
    <w:semiHidden/>
    <w:rsid w:val="00CA218D"/>
    <w:rPr>
      <w:b/>
      <w:bCs/>
      <w:sz w:val="20"/>
      <w:szCs w:val="20"/>
    </w:rPr>
  </w:style>
  <w:style w:type="paragraph" w:styleId="NoSpacing">
    <w:name w:val="No Spacing"/>
    <w:uiPriority w:val="1"/>
    <w:qFormat/>
    <w:rsid w:val="008002C6"/>
  </w:style>
  <w:style w:type="character" w:styleId="UnresolvedMention">
    <w:name w:val="Unresolved Mention"/>
    <w:basedOn w:val="DefaultParagraphFont"/>
    <w:uiPriority w:val="99"/>
    <w:semiHidden/>
    <w:unhideWhenUsed/>
    <w:rsid w:val="000B3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84114145">
      <w:bodyDiv w:val="1"/>
      <w:marLeft w:val="0"/>
      <w:marRight w:val="0"/>
      <w:marTop w:val="0"/>
      <w:marBottom w:val="0"/>
      <w:divBdr>
        <w:top w:val="none" w:sz="0" w:space="0" w:color="auto"/>
        <w:left w:val="none" w:sz="0" w:space="0" w:color="auto"/>
        <w:bottom w:val="none" w:sz="0" w:space="0" w:color="auto"/>
        <w:right w:val="none" w:sz="0" w:space="0" w:color="auto"/>
      </w:divBdr>
      <w:divsChild>
        <w:div w:id="334500400">
          <w:marLeft w:val="0"/>
          <w:marRight w:val="0"/>
          <w:marTop w:val="0"/>
          <w:marBottom w:val="0"/>
          <w:divBdr>
            <w:top w:val="none" w:sz="0" w:space="0" w:color="auto"/>
            <w:left w:val="none" w:sz="0" w:space="0" w:color="auto"/>
            <w:bottom w:val="none" w:sz="0" w:space="0" w:color="auto"/>
            <w:right w:val="none" w:sz="0" w:space="0" w:color="auto"/>
          </w:divBdr>
          <w:divsChild>
            <w:div w:id="1082288903">
              <w:marLeft w:val="0"/>
              <w:marRight w:val="0"/>
              <w:marTop w:val="0"/>
              <w:marBottom w:val="0"/>
              <w:divBdr>
                <w:top w:val="none" w:sz="0" w:space="0" w:color="auto"/>
                <w:left w:val="none" w:sz="0" w:space="0" w:color="auto"/>
                <w:bottom w:val="none" w:sz="0" w:space="0" w:color="auto"/>
                <w:right w:val="none" w:sz="0" w:space="0" w:color="auto"/>
              </w:divBdr>
              <w:divsChild>
                <w:div w:id="2135250675">
                  <w:marLeft w:val="0"/>
                  <w:marRight w:val="0"/>
                  <w:marTop w:val="0"/>
                  <w:marBottom w:val="0"/>
                  <w:divBdr>
                    <w:top w:val="none" w:sz="0" w:space="0" w:color="auto"/>
                    <w:left w:val="none" w:sz="0" w:space="0" w:color="auto"/>
                    <w:bottom w:val="none" w:sz="0" w:space="0" w:color="auto"/>
                    <w:right w:val="none" w:sz="0" w:space="0" w:color="auto"/>
                  </w:divBdr>
                  <w:divsChild>
                    <w:div w:id="14544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70683-82CA-4FB6-8BC0-CFA97BB22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20</Pages>
  <Words>9489</Words>
  <Characters>54092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66</cp:revision>
  <dcterms:created xsi:type="dcterms:W3CDTF">2020-08-23T18:52:00Z</dcterms:created>
  <dcterms:modified xsi:type="dcterms:W3CDTF">2020-10-01T12:13:00Z</dcterms:modified>
</cp:coreProperties>
</file>