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0769BB" w14:textId="5C37ADE3" w:rsidR="00EB31F9" w:rsidRDefault="00EB31F9" w:rsidP="00EB31F9">
      <w:pPr>
        <w:pStyle w:val="Heading1"/>
      </w:pPr>
      <w:r>
        <w:t>Parking Lot</w:t>
      </w:r>
    </w:p>
    <w:p w14:paraId="19886E57" w14:textId="77777777" w:rsidR="00875CDE" w:rsidRDefault="00875CDE" w:rsidP="00875CDE">
      <w:pPr>
        <w:spacing w:line="480" w:lineRule="auto"/>
      </w:pPr>
    </w:p>
    <w:p w14:paraId="2E41F946" w14:textId="77777777" w:rsidR="00875CDE" w:rsidRDefault="00875CDE" w:rsidP="00875CDE">
      <w:pPr>
        <w:spacing w:line="480" w:lineRule="auto"/>
      </w:pPr>
      <w:r>
        <w:t>UFDF</w:t>
      </w:r>
    </w:p>
    <w:p w14:paraId="3315532B" w14:textId="77777777" w:rsidR="00875CDE" w:rsidRDefault="00875CDE" w:rsidP="00875CDE">
      <w:pPr>
        <w:spacing w:line="480" w:lineRule="auto"/>
      </w:pPr>
    </w:p>
    <w:p w14:paraId="072F49BE" w14:textId="3404B15F" w:rsidR="00875CDE" w:rsidRDefault="00875CDE" w:rsidP="00875CDE">
      <w:pPr>
        <w:spacing w:line="480" w:lineRule="auto"/>
      </w:pPr>
      <w:r>
        <w:t xml:space="preserve">Alternatively, the product can be diafiltered against water (or 1mM buffered solution), since most proteins at &gt;50g/L concentration will have sufficient buffering capability to maintain a set pH.  A high concentrated spike solution can then be added and the material titrated, if needed. The DF against water would nearly eliminate this solution volume. </w:t>
      </w:r>
    </w:p>
    <w:p w14:paraId="5F16C277" w14:textId="77777777" w:rsidR="00875CDE" w:rsidRPr="00875CDE" w:rsidRDefault="00875CDE" w:rsidP="00875CDE"/>
    <w:p w14:paraId="71709A2A" w14:textId="60FF5CA8" w:rsidR="00BE7E9D" w:rsidRDefault="00BE7E9D" w:rsidP="00BE7E9D">
      <w:pPr>
        <w:pStyle w:val="Heading2"/>
      </w:pPr>
      <w:r>
        <w:t>Design for Single Column Retrofit for Integrated Processing</w:t>
      </w:r>
    </w:p>
    <w:p w14:paraId="3F928F0B" w14:textId="1092E679" w:rsidR="008B0DA8" w:rsidRDefault="008B0DA8" w:rsidP="00BE7E9D">
      <w:pPr>
        <w:pStyle w:val="Heading2"/>
      </w:pPr>
      <w:r>
        <w:t>Abstract</w:t>
      </w:r>
    </w:p>
    <w:p w14:paraId="6EA07C9B" w14:textId="1DD93F8C" w:rsidR="008B0DA8" w:rsidRDefault="008B0DA8" w:rsidP="008B0DA8">
      <w:r>
        <w:t>The design principles are applied to retrofit a facility to ICB without major modifications except to the cell culture harvest. The batch size of most retrofits will be limited by solution (and to a lesser extent, media) preparation and storage.</w:t>
      </w:r>
    </w:p>
    <w:p w14:paraId="2F1538B0" w14:textId="5958E465" w:rsidR="002F4171" w:rsidRDefault="002F4171" w:rsidP="00BE7E9D">
      <w:pPr>
        <w:pStyle w:val="Heading2"/>
      </w:pPr>
      <w:r>
        <w:t>Materials and methods</w:t>
      </w:r>
    </w:p>
    <w:p w14:paraId="423ECDE8" w14:textId="7E6E279A" w:rsidR="002F4171" w:rsidRDefault="002F4171" w:rsidP="002F4171">
      <w:r>
        <w:t>The maximum number per day for the one column Protein A was 8.6.</w:t>
      </w:r>
    </w:p>
    <w:p w14:paraId="31313F6F" w14:textId="3ED054FB" w:rsidR="002F4171" w:rsidRDefault="002F4171" w:rsidP="00BE7E9D">
      <w:pPr>
        <w:pStyle w:val="Heading2"/>
      </w:pPr>
      <w:r>
        <w:t xml:space="preserve">Results nad discussion </w:t>
      </w:r>
    </w:p>
    <w:p w14:paraId="07D71E5E" w14:textId="77777777" w:rsidR="00BE7E9D" w:rsidRDefault="00BE7E9D" w:rsidP="00BE7E9D">
      <w:pPr>
        <w:spacing w:line="240" w:lineRule="auto"/>
      </w:pPr>
      <w:r>
        <w:t xml:space="preserve">Most companies do not have facilities that support the most modern integrated or continuous downstream processes. Their current manufacturing plant does not, however, preclude them from immediately taking advantage of a stepping-stone approach to ICB using a perfusion cell culture with existing single-column chromatography skids. </w:t>
      </w:r>
    </w:p>
    <w:p w14:paraId="62B4BF35" w14:textId="77777777" w:rsidR="00BE7E9D" w:rsidRDefault="00BE7E9D" w:rsidP="00BE7E9D">
      <w:pPr>
        <w:spacing w:line="240" w:lineRule="auto"/>
      </w:pPr>
      <w:r>
        <w:t xml:space="preserve">The process description for two perfusion bioreactors integrated with a standard single column Protein A capture step [ref: ]  are shown in Column 3 and Column 4 of Table XX. The first </w:t>
      </w:r>
      <w:r>
        <w:lastRenderedPageBreak/>
        <w:t xml:space="preserve">stepping-stone example is based on the low productivity cell culture in a 500L bioreactor, which might resemble an early Phase 1 ICB process. Since the perfusate is continuous, and the load to the single-column capture step is not, a surge tank must be located between the bioreactor and the capture step </w:t>
      </w:r>
      <w:r>
        <w:fldChar w:fldCharType="begin">
          <w:fldData xml:space="preserve">PEVuZE5vdGU+PENpdGU+PEF1dGhvcj5LYW1nYTwvQXV0aG9yPjxZZWFyPjIwMTg8L1llYXI+PElE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</w:fldData>
        </w:fldChar>
      </w:r>
      <w:r>
        <w:instrText xml:space="preserve"> ADDIN EN.CITE </w:instrText>
      </w:r>
      <w:r>
        <w:fldChar w:fldCharType="begin">
          <w:fldData xml:space="preserve">PEVuZE5vdGU+PENpdGU+PEF1dGhvcj5LYW1nYTwvQXV0aG9yPjxZZWFyPjIwMTg8L1llYXI+PElE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</w:fldData>
        </w:fldChar>
      </w:r>
      <w:r>
        <w:instrText xml:space="preserve"> ADDIN EN.CITE.DATA </w:instrText>
      </w:r>
      <w:r>
        <w:fldChar w:fldCharType="end"/>
      </w:r>
      <w:r>
        <w:fldChar w:fldCharType="separate"/>
      </w:r>
      <w:r>
        <w:rPr>
          <w:noProof/>
        </w:rPr>
        <w:t>(Kamga, Cattaneo et al. 2018)</w:t>
      </w:r>
      <w:r>
        <w:fldChar w:fldCharType="end"/>
      </w:r>
      <w:r>
        <w:t xml:space="preserve">. The vessel used for the fed-batch harvest is more than large enough to be a surge tank: a single column Protein A step will take between two and seven hours per cycle depending upon the bioreactor productivity, as shown in Table XX. This example requires a modest 3L Protein A column, and is capable of making a 6kg batch. This process would likely be pooled after the Protein A step or after the virus inactivation step. The entire batch would fit easily into a 500L tank or single use mixer. The process as outlined in Table XX is sized to process end-to-end. Pooling after the Protein A step and processing as a single batch over the polishing steps would be well within the capability of most skids that support 2000L fed batch bioreactors.  </w:t>
      </w:r>
    </w:p>
    <w:p w14:paraId="4B1843E6" w14:textId="77777777" w:rsidR="00BE7E9D" w:rsidRDefault="00BE7E9D" w:rsidP="00BE7E9D">
      <w:pPr>
        <w:spacing w:line="240" w:lineRule="auto"/>
      </w:pPr>
      <w:r>
        <w:t xml:space="preserve">The other stepping-stone example is based on a 2000L high productivity process, which would be appropriate for commercial production. It uses a still modest 20L column with a 20cm diameter—a column that typically would be used for early stage clinical trial material. Indeed, this size is likely the size used during a fed-batch capture in this suite, which would likely be able to process up to 20kg per day from a 10g/L titer.  In this case, however, the column processes about 10kg of material per day over 20 days, and results in a 120kg batch. The column is cycled 170 times for a single batch, which is well within reasonable expectations for a commercial process. A day’s worth of Protein A peak pool could be stored in a 500L tank. The entire batch would have a volume of just over 8000L after the virus inactivation, a volume that probably exceeds most plants built for 2000L fed-batch processes. Integrating the process from the bioreactor to the final UFDF would mitigate the challenge of in process pool volumes. Such process integration is not a small automation challenge. As can be seen in this example, the impact of integrating the downstream is much greater than the impact of making the downstream continuous. No new unit operations (except the ATF or TFF for the bioreactor) are needed.  The buffer make-up and storage are probably limiting. If 5x buffer concentrates are used everywhere except the final DF buffer, where a 1x solution is used, the batch requires about 50,000L, and a total of over 130,000 L of water for the downstream. This is about 2500L per day of buffer solutions, most of which would be less than 250L per day. Making these buffers would be a significant, though not insurmountable, logistical challenge. Thus, it is possible that existing facilities can be converted to a first-step ICB with very little new equipment, an investment in automation, and increased labor for media and buffer preparation. It’s possible, however, to justify these investments by the six-fold increase in productivity shown in this example. </w:t>
      </w:r>
    </w:p>
    <w:p w14:paraId="5E03955C" w14:textId="77777777" w:rsidR="00BE7E9D" w:rsidRDefault="00BE7E9D" w:rsidP="00F6731B">
      <w:pPr>
        <w:spacing w:line="240" w:lineRule="auto"/>
      </w:pPr>
    </w:p>
    <w:p w14:paraId="083196BE" w14:textId="77777777" w:rsidR="00BE7E9D" w:rsidRDefault="00BE7E9D" w:rsidP="00F6731B">
      <w:pPr>
        <w:spacing w:line="240" w:lineRule="auto"/>
      </w:pPr>
    </w:p>
    <w:p w14:paraId="4A695BBE" w14:textId="4A85C05D" w:rsidR="00EB31F9" w:rsidRDefault="00EB31F9" w:rsidP="00F6731B">
      <w:pPr>
        <w:spacing w:line="240" w:lineRule="auto"/>
      </w:pPr>
      <w:r>
        <w:t>Retrofit of a 12,000L plant capable of 500kg batches</w:t>
      </w:r>
    </w:p>
    <w:p w14:paraId="376C1421" w14:textId="77777777" w:rsidR="00EB31F9" w:rsidRDefault="00EB31F9" w:rsidP="00F6731B">
      <w:pPr>
        <w:spacing w:line="240" w:lineRule="auto"/>
      </w:pPr>
    </w:p>
    <w:p w14:paraId="7092B441" w14:textId="35A94710" w:rsidR="00F6731B" w:rsidRDefault="00F6731B" w:rsidP="00F6731B">
      <w:pPr>
        <w:spacing w:line="240" w:lineRule="auto"/>
      </w:pPr>
      <w:r>
        <w:lastRenderedPageBreak/>
        <w:t xml:space="preserve">A four-pack of 2000L SUB can produce 500kg every 20 days with a cell line capable of 40pg/cell/day operated at average cell density of 120 M cells/day [Coffman 2021]. Such a cell specific productivity is high, but not rare [ref]. This average cell density is regularly achievable with dynamic, non-steady state perfusion [Pfizer, BI, others]. </w:t>
      </w:r>
    </w:p>
    <w:p w14:paraId="471A062B" w14:textId="77777777" w:rsidR="00F6731B" w:rsidRPr="0033381A" w:rsidRDefault="00F6731B" w:rsidP="00F6731B">
      <w:pPr>
        <w:spacing w:line="240" w:lineRule="auto"/>
      </w:pPr>
      <w:r>
        <w:t xml:space="preserve">The framework is also compatible with perfusion processes that use a constant cell density, so-called steady state conditions, that typically average between 50-75M cells/mL </w:t>
      </w:r>
      <w:r w:rsidRPr="6E434CCD">
        <w:rPr>
          <w:b/>
          <w:bCs/>
          <w:u w:val="double"/>
        </w:rPr>
        <w:t xml:space="preserve">[ref]. </w:t>
      </w:r>
      <w:r>
        <w:t xml:space="preserve">This process would in 20 days result in a 220-330kg lot. Average cell lines with 20pg/cell/day would produce between 110kg and 250kg lots with these two modes of perfusion. These lot sizes rival or exceed that of fed-batch processes at the 12,000L scale. </w:t>
      </w:r>
    </w:p>
    <w:p w14:paraId="62AB36D5" w14:textId="768530AA" w:rsidR="000A0C75" w:rsidRDefault="00F6731B" w:rsidP="00F6731B">
      <w:r>
        <w:t>These bioreactors can also be used for legacy fed-batch processes. A titer of 10g/L would result in about a 13kg batch, or about 1 ton per year from four 2000L SUB. A transition to ICB framework will not preclude the use of the plant for legacy products.</w:t>
      </w:r>
    </w:p>
    <w:p w14:paraId="6EA8E949" w14:textId="610A755A" w:rsidR="0062033B" w:rsidRDefault="0062033B" w:rsidP="00F6731B"/>
    <w:p w14:paraId="6944E3D2" w14:textId="12E4DF3C" w:rsidR="0062033B" w:rsidRDefault="0062033B" w:rsidP="00F6731B"/>
    <w:p w14:paraId="7154C282" w14:textId="5BB6DA87" w:rsidR="0062033B" w:rsidRDefault="0062033B" w:rsidP="00F6731B"/>
    <w:p w14:paraId="10EA5D10" w14:textId="5956206D" w:rsidR="0062033B" w:rsidRDefault="0062033B" w:rsidP="00F6731B">
      <w:r>
        <w:t>An 8-ton plant built on ICB is unprecedented. It rivals the largest fed-batch suites. Yet all the equipment necessary can be built from existing components. As an example of the power of ICB, the highest flow rate in this 8-ton plant is an astonishingly small 9 L/min. The detail around the engineering calculations is described in an accompanying article (Coffman, 2021). The volume of bioreactor(s) that the common framework can support is limited by media and solution storage, and the maximum flow rate of the capture step. In these examples, the maximum flow rate was set to 9L/min arbitrarily to yield a 500kg batch. Downstream skids with maximum flow rates of 50 L/min are common in large stainless-steel plants. If such equipment were used, the downstream could support a total bioreactor volume of 48,000L at 1.5vvm, and yield a lot of over 2.5 tons in twenty days. It is difficult to conceive of a product that would require so much material. Therapies for the COVID-19 pandemic may require massive amount of material [ref].</w:t>
      </w:r>
    </w:p>
    <w:p w14:paraId="5826E889" w14:textId="67B3C208" w:rsidR="0062033B" w:rsidRDefault="0062033B" w:rsidP="00F6731B"/>
    <w:p w14:paraId="7627AD2E" w14:textId="6B2BBCB6" w:rsidR="0062033B" w:rsidRDefault="0062033B" w:rsidP="00F6731B"/>
    <w:p w14:paraId="2594AD4C" w14:textId="77777777" w:rsidR="0062033B" w:rsidRDefault="0062033B" w:rsidP="0062033B">
      <w:pPr>
        <w:spacing w:line="240" w:lineRule="auto"/>
        <w:rPr>
          <w:rFonts w:ascii="Calibri" w:eastAsia="Calibri" w:hAnsi="Calibri" w:cs="Calibri"/>
          <w:szCs w:val="24"/>
        </w:rPr>
      </w:pPr>
      <w:r w:rsidRPr="6E434CCD">
        <w:rPr>
          <w:rFonts w:ascii="Calibri" w:eastAsia="Calibri" w:hAnsi="Calibri" w:cs="Calibri"/>
          <w:szCs w:val="24"/>
        </w:rPr>
        <w:t xml:space="preserve">In a coincidence of design, the total volume harvested per day is 12,000L, which is the same volume as harvested from the classic 12,000L stainless steel bioreactors. As a comparison, this ICB design makes on average 38kg/day, equivalent to a 12,000L bioreactor with a modest 3g/L titer. The harvest from this continuous process occurs, however, every day for twenty days. To achieve the same productivity, the 12,000L fed-batch design would have to operate six bioreactors with a titer of 7.4g/L after 14 days. This titer is common, though not universal in the </w:t>
      </w:r>
      <w:r w:rsidRPr="6E434CCD">
        <w:rPr>
          <w:rFonts w:ascii="Calibri" w:eastAsia="Calibri" w:hAnsi="Calibri" w:cs="Calibri"/>
          <w:szCs w:val="24"/>
        </w:rPr>
        <w:lastRenderedPageBreak/>
        <w:t xml:space="preserve">commercial space.  The difference between the two processes can be illustrated by examining the connection between the upstream and the downstream. For the 12,000L plant, the product typically flows through a 2” stainless steel pipe that requires heavy machinery to install and maintain. In the ICB plant, the product flows through a 3/8” silicone tube, which can be installed by a small GMP-compliant child. Nearly everything scales with the size of this tubing: the capital cost, the complexity, the labor required, the floor space required, and the time to build a new facility. </w:t>
      </w:r>
    </w:p>
    <w:p w14:paraId="07F38DD4" w14:textId="4946655F" w:rsidR="0062033B" w:rsidRDefault="0062033B" w:rsidP="00F6731B"/>
    <w:p w14:paraId="2E743EAE" w14:textId="77777777" w:rsidR="009720EF" w:rsidRPr="001C78C2" w:rsidRDefault="009720EF" w:rsidP="009720EF">
      <w:pPr>
        <w:spacing w:line="240" w:lineRule="auto"/>
        <w:rPr>
          <w:i/>
          <w:iCs/>
        </w:rPr>
      </w:pPr>
      <w:r w:rsidRPr="001C78C2">
        <w:rPr>
          <w:i/>
          <w:iCs/>
        </w:rPr>
        <w:t xml:space="preserve">The Protein A step requires a titer measurement periodically to calculate the load volume and flow rate. For dynamic perfusion, this titer may need to be measured every six to twelve hours. For constant-cell density processes, this titer may be required every few days. Process Analytical Technologies (PAT) exist to measure titer more frequently. These technologies are not part of the common framework. Manual sampling with at-line testing and less than one hour turn around is sufficient. Faster testing may drive higher resin utilization and efficiencies. </w:t>
      </w:r>
    </w:p>
    <w:p w14:paraId="14D4590C" w14:textId="77777777" w:rsidR="00E53043" w:rsidRPr="001C78C2" w:rsidRDefault="00E53043" w:rsidP="00E53043">
      <w:pPr>
        <w:spacing w:line="240" w:lineRule="auto"/>
        <w:rPr>
          <w:i/>
          <w:iCs/>
        </w:rPr>
      </w:pPr>
      <w:r w:rsidRPr="001C78C2">
        <w:rPr>
          <w:i/>
          <w:iCs/>
        </w:rPr>
        <w:t>The same solution should be used across multiple steps. In this example, the only repeated solution is the sanitization solution. Other solutions that can be reused are the equilibration for the Protein A, the anion exchange, the VRF, and the UFDF. Also, the high salt regeneration solution can be reused across the ion exchange steps. This strategy does not reduce the total volume of solutions. It does, however, allow simpler logistical solution preparation and storage.</w:t>
      </w:r>
    </w:p>
    <w:p w14:paraId="2CABC87A" w14:textId="5536B76D" w:rsidR="00EB31F9" w:rsidRDefault="00EB31F9" w:rsidP="00F6731B"/>
    <w:sectPr w:rsidR="00EB31F9" w:rsidSect="00A22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1B"/>
    <w:rsid w:val="00022716"/>
    <w:rsid w:val="000316C3"/>
    <w:rsid w:val="000435C5"/>
    <w:rsid w:val="00097FF4"/>
    <w:rsid w:val="000A0C75"/>
    <w:rsid w:val="000B46E2"/>
    <w:rsid w:val="000B79EB"/>
    <w:rsid w:val="001140D0"/>
    <w:rsid w:val="00120473"/>
    <w:rsid w:val="00154DDE"/>
    <w:rsid w:val="001961E3"/>
    <w:rsid w:val="0027382A"/>
    <w:rsid w:val="002D087F"/>
    <w:rsid w:val="002F4171"/>
    <w:rsid w:val="00342FCB"/>
    <w:rsid w:val="003E6DF6"/>
    <w:rsid w:val="004B40D6"/>
    <w:rsid w:val="004F37CD"/>
    <w:rsid w:val="00584BFC"/>
    <w:rsid w:val="005F4D05"/>
    <w:rsid w:val="0062033B"/>
    <w:rsid w:val="0068549B"/>
    <w:rsid w:val="0069664E"/>
    <w:rsid w:val="006E788B"/>
    <w:rsid w:val="00776287"/>
    <w:rsid w:val="007B70D8"/>
    <w:rsid w:val="00807D79"/>
    <w:rsid w:val="008108E5"/>
    <w:rsid w:val="00856B69"/>
    <w:rsid w:val="00863010"/>
    <w:rsid w:val="00875CDE"/>
    <w:rsid w:val="008A4F9B"/>
    <w:rsid w:val="008B0DA8"/>
    <w:rsid w:val="0091636B"/>
    <w:rsid w:val="009605A7"/>
    <w:rsid w:val="009720EF"/>
    <w:rsid w:val="00987DFC"/>
    <w:rsid w:val="00990377"/>
    <w:rsid w:val="00A11BD2"/>
    <w:rsid w:val="00A21676"/>
    <w:rsid w:val="00A22994"/>
    <w:rsid w:val="00A31FC8"/>
    <w:rsid w:val="00A83F4A"/>
    <w:rsid w:val="00BB68D7"/>
    <w:rsid w:val="00BE7E9D"/>
    <w:rsid w:val="00BF1004"/>
    <w:rsid w:val="00C13F69"/>
    <w:rsid w:val="00C72378"/>
    <w:rsid w:val="00D44747"/>
    <w:rsid w:val="00D75ECA"/>
    <w:rsid w:val="00DD3A84"/>
    <w:rsid w:val="00DF1072"/>
    <w:rsid w:val="00E53043"/>
    <w:rsid w:val="00E74402"/>
    <w:rsid w:val="00EB31F9"/>
    <w:rsid w:val="00EC388F"/>
    <w:rsid w:val="00F369ED"/>
    <w:rsid w:val="00F604BA"/>
    <w:rsid w:val="00F665FB"/>
    <w:rsid w:val="00F6731B"/>
    <w:rsid w:val="00FB37C4"/>
    <w:rsid w:val="00FE4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ECFE75"/>
  <w15:chartTrackingRefBased/>
  <w15:docId w15:val="{8EEE1E02-3386-AE4A-AA77-DC815498D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1B"/>
    <w:pPr>
      <w:spacing w:after="160" w:line="288" w:lineRule="auto"/>
    </w:pPr>
    <w:rPr>
      <w:rFonts w:eastAsiaTheme="minorEastAsia"/>
      <w:color w:val="000000" w:themeColor="text1"/>
      <w:szCs w:val="20"/>
    </w:rPr>
  </w:style>
  <w:style w:type="paragraph" w:styleId="Heading1">
    <w:name w:val="heading 1"/>
    <w:basedOn w:val="Normal"/>
    <w:next w:val="Normal"/>
    <w:link w:val="Heading1Char"/>
    <w:uiPriority w:val="9"/>
    <w:qFormat/>
    <w:rsid w:val="00EB31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D087F"/>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087F"/>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2D087F"/>
  </w:style>
  <w:style w:type="paragraph" w:customStyle="1" w:styleId="paragraph">
    <w:name w:val="paragraph"/>
    <w:basedOn w:val="Normal"/>
    <w:rsid w:val="002D087F"/>
    <w:pPr>
      <w:spacing w:before="100" w:beforeAutospacing="1" w:after="100" w:afterAutospacing="1" w:line="240" w:lineRule="auto"/>
    </w:pPr>
    <w:rPr>
      <w:rFonts w:ascii="Times New Roman" w:eastAsia="Times New Roman" w:hAnsi="Times New Roman" w:cs="Times New Roman"/>
      <w:color w:val="auto"/>
      <w:szCs w:val="24"/>
    </w:rPr>
  </w:style>
  <w:style w:type="paragraph" w:customStyle="1" w:styleId="tabletitle">
    <w:name w:val="tabletitle"/>
    <w:basedOn w:val="Normal"/>
    <w:rsid w:val="002D087F"/>
    <w:pPr>
      <w:spacing w:before="100" w:beforeAutospacing="1" w:after="100" w:afterAutospacing="1" w:line="240" w:lineRule="auto"/>
    </w:pPr>
    <w:rPr>
      <w:rFonts w:ascii="Times New Roman" w:eastAsia="Times New Roman" w:hAnsi="Times New Roman" w:cs="Times New Roman"/>
      <w:color w:val="auto"/>
      <w:szCs w:val="24"/>
    </w:rPr>
  </w:style>
  <w:style w:type="paragraph" w:styleId="BalloonText">
    <w:name w:val="Balloon Text"/>
    <w:basedOn w:val="Normal"/>
    <w:link w:val="BalloonTextChar"/>
    <w:uiPriority w:val="99"/>
    <w:semiHidden/>
    <w:unhideWhenUsed/>
    <w:rsid w:val="00DF107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F1072"/>
    <w:rPr>
      <w:rFonts w:ascii="Times New Roman" w:eastAsiaTheme="minorEastAsia" w:hAnsi="Times New Roman" w:cs="Times New Roman"/>
      <w:color w:val="000000" w:themeColor="text1"/>
      <w:sz w:val="18"/>
      <w:szCs w:val="18"/>
    </w:rPr>
  </w:style>
  <w:style w:type="character" w:customStyle="1" w:styleId="Heading1Char">
    <w:name w:val="Heading 1 Char"/>
    <w:basedOn w:val="DefaultParagraphFont"/>
    <w:link w:val="Heading1"/>
    <w:uiPriority w:val="9"/>
    <w:rsid w:val="00EB31F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59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8</cp:revision>
  <dcterms:created xsi:type="dcterms:W3CDTF">2020-09-06T11:30:00Z</dcterms:created>
  <dcterms:modified xsi:type="dcterms:W3CDTF">2020-09-30T18:20:00Z</dcterms:modified>
</cp:coreProperties>
</file>