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55E184" w14:textId="77777777" w:rsidR="00215E03" w:rsidRDefault="00215E03" w:rsidP="00215E03">
      <w:pPr>
        <w:textAlignment w:val="center"/>
        <w:rPr>
          <w:rFonts w:ascii="Calibri" w:eastAsia="Times New Roman" w:hAnsi="Calibri" w:cs="Calibri"/>
          <w:color w:val="000000"/>
          <w:sz w:val="22"/>
          <w:szCs w:val="22"/>
        </w:rPr>
      </w:pPr>
    </w:p>
    <w:p w14:paraId="00B94B04" w14:textId="14817CC4" w:rsidR="00215E03" w:rsidRPr="00B671A9" w:rsidRDefault="00215E03" w:rsidP="00215E03">
      <w:pPr>
        <w:textAlignment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 xml:space="preserve">Stepping stone approach </w:t>
      </w:r>
      <w:r w:rsidRPr="00B671A9">
        <w:rPr>
          <w:rFonts w:ascii="Calibri" w:eastAsia="Times New Roman" w:hAnsi="Calibri" w:cs="Calibri"/>
          <w:b/>
          <w:bCs/>
          <w:color w:val="000000"/>
          <w:sz w:val="22"/>
          <w:szCs w:val="22"/>
        </w:rPr>
        <w:t>Supplemental material</w:t>
      </w:r>
    </w:p>
    <w:p w14:paraId="5F7F858F" w14:textId="77777777" w:rsidR="00215E03" w:rsidRDefault="00215E03" w:rsidP="00215E03">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In the examples below, a 60g/L capacity is assumed. This capacity is at the upper end of that achievable by modern Protein A resins. The </w:t>
      </w:r>
      <w:proofErr w:type="gramStart"/>
      <w:r>
        <w:rPr>
          <w:rFonts w:ascii="Calibri" w:eastAsia="Times New Roman" w:hAnsi="Calibri" w:cs="Calibri"/>
          <w:color w:val="000000"/>
          <w:sz w:val="22"/>
          <w:szCs w:val="22"/>
        </w:rPr>
        <w:t>amount</w:t>
      </w:r>
      <w:proofErr w:type="gramEnd"/>
      <w:r>
        <w:rPr>
          <w:rFonts w:ascii="Calibri" w:eastAsia="Times New Roman" w:hAnsi="Calibri" w:cs="Calibri"/>
          <w:color w:val="000000"/>
          <w:sz w:val="22"/>
          <w:szCs w:val="22"/>
        </w:rPr>
        <w:t xml:space="preserve"> of buffers used during the cycle in this example is 22CV, which is a relatively conservative number that includes multiple equilibrations and wash steps. The system is expected to run for 24 hours per day. The residence time is 4 minutes and a velocity of 300cm/hr. Other assumptions and operating conditions are located in the supplement. </w:t>
      </w:r>
    </w:p>
    <w:p w14:paraId="3A33A621" w14:textId="77777777" w:rsidR="00215E03" w:rsidRDefault="00215E03" w:rsidP="00215E03">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Two scenarios are shown: one for a low productivity cell line in a 500L bioreactor with 0.5kg/day average production and one with a high productivity cell line in a 2000L bioreactor, resulting in 10kg/day on average. The column size would be 3L and 20L, respectively. The column size does not scale with the mass produced in this example because the lower productivity process has a dilute feed stream and longer load time.  These column sizes are likely smaller than the columns typically used for fed-batch plants, but the turn-down ratio of the skids is likely to be sufficient. If it is not, a larger column can be used with fewer cycles per day and per batch. Larger columns have minimal impact on a commercial COGS if they are used the full number of cycles. During clinical production, the use of larger columns could underutilize the allowable column cycling. The number of cycles run in clinical production using perfusion will be greater than the number of cycles run on a column from a fed batch clinical campaign. The turn down of the skid to lower flow rates may also preclude the use of buffer concentrates, since the concentrate pump is running 3x to 5x lower than the dilution pump. Buffer production and storage may limit the total amount of material generated when existing plants are converted to this hybrid process.  This process will, however, always result in higher overall production than a fed-batch process, since the buffer production and storage can be used every day, not simply at the end of a bioreactor run. </w:t>
      </w:r>
    </w:p>
    <w:p w14:paraId="6A79037F" w14:textId="77777777" w:rsidR="00215E03" w:rsidRDefault="00215E03" w:rsidP="00215E03">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Running a single-column Protein A step may require evaluation of extended hold times, depending on the frequency of further downstream operations.  A 500L single use mixer could contain the 230L product pool plus the acid for viral inactivation and neutralizing base for the 0.5kg/day process. The largest single-use mixer available is 5000L [ref], which would not contain the 4500L of product pool and addition of acid and base. Larger mass throughput will require more frequent pooling and subsequent processing, which would run simultaneously with the capture step. Simultaneous operation of multiple unit operations downstream is not possible in all facilities. The number of skids or the number of buffer transfer lines may be limited. If the number of transfer lines is limited, then buffers could be arranged on the manufacturing floor in single use containers. If so, floor space will likely be limiting. Smaller skids and processes that use less buffer will enable higher mass throughput in most existing facilities. </w:t>
      </w:r>
    </w:p>
    <w:p w14:paraId="3F88123A" w14:textId="77777777" w:rsidR="00215E03" w:rsidRDefault="00215E03" w:rsidP="00215E03">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Analysis of process productivity often focuses on the productivity per unit volume of Protein A resin, since this is often the highest raw material cost per kg of material produced. The contribution of the cost of Protein A resin to COGs does not depend upon this productivity metric: it depends upon the load capacity and the total lifetime of the column. The productivity of the Protein A step is therefore not a key measure </w:t>
      </w:r>
      <w:proofErr w:type="gramStart"/>
      <w:r>
        <w:rPr>
          <w:rFonts w:ascii="Calibri" w:eastAsia="Times New Roman" w:hAnsi="Calibri" w:cs="Calibri"/>
          <w:color w:val="000000"/>
          <w:sz w:val="22"/>
          <w:szCs w:val="22"/>
        </w:rPr>
        <w:t>of  process</w:t>
      </w:r>
      <w:proofErr w:type="gramEnd"/>
      <w:r>
        <w:rPr>
          <w:rFonts w:ascii="Calibri" w:eastAsia="Times New Roman" w:hAnsi="Calibri" w:cs="Calibri"/>
          <w:color w:val="000000"/>
          <w:sz w:val="22"/>
          <w:szCs w:val="22"/>
        </w:rPr>
        <w:t xml:space="preserve"> productivity. More important to the downstream is the Product Mass Index (PMI) [ref] for buffers (L buffer/kg material </w:t>
      </w:r>
      <w:proofErr w:type="gramStart"/>
      <w:r>
        <w:rPr>
          <w:rFonts w:ascii="Calibri" w:eastAsia="Times New Roman" w:hAnsi="Calibri" w:cs="Calibri"/>
          <w:color w:val="000000"/>
          <w:sz w:val="22"/>
          <w:szCs w:val="22"/>
        </w:rPr>
        <w:t>produced)  and</w:t>
      </w:r>
      <w:proofErr w:type="gramEnd"/>
      <w:r>
        <w:rPr>
          <w:rFonts w:ascii="Calibri" w:eastAsia="Times New Roman" w:hAnsi="Calibri" w:cs="Calibri"/>
          <w:color w:val="000000"/>
          <w:sz w:val="22"/>
          <w:szCs w:val="22"/>
        </w:rPr>
        <w:t xml:space="preserve"> the total mass productivity (kg/day). The volume and number of the buffers are often rate limiting to the productivity of the downstream. </w:t>
      </w:r>
    </w:p>
    <w:p w14:paraId="623014E8" w14:textId="77777777" w:rsidR="00215E03" w:rsidRPr="00704F98" w:rsidRDefault="00215E03" w:rsidP="00215E03">
      <w:p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The process described scales with the capacity and size of the Protein A column.  Since the volume of buffers used depends upon the mass of product processed and the capacity of each column, one can calculate the buffer usage per column volume (CV) of Protein A column. The volume of buffers used is about 60 buffer volumes per Protein A column volume in this example. For every liter of </w:t>
      </w:r>
      <w:proofErr w:type="gramStart"/>
      <w:r>
        <w:rPr>
          <w:rFonts w:ascii="Calibri" w:eastAsia="Times New Roman" w:hAnsi="Calibri" w:cs="Calibri"/>
          <w:color w:val="000000"/>
          <w:sz w:val="22"/>
          <w:szCs w:val="22"/>
        </w:rPr>
        <w:t>Protein</w:t>
      </w:r>
      <w:proofErr w:type="gramEnd"/>
      <w:r>
        <w:rPr>
          <w:rFonts w:ascii="Calibri" w:eastAsia="Times New Roman" w:hAnsi="Calibri" w:cs="Calibri"/>
          <w:color w:val="000000"/>
          <w:sz w:val="22"/>
          <w:szCs w:val="22"/>
        </w:rPr>
        <w:t xml:space="preserve"> A resin used, the entire downstream process uses about 60L of buffer. </w:t>
      </w:r>
    </w:p>
    <w:p w14:paraId="699F0050" w14:textId="77777777" w:rsidR="00215E03" w:rsidRPr="00C94563" w:rsidRDefault="00215E03" w:rsidP="00215E03">
      <w:pPr>
        <w:numPr>
          <w:ilvl w:val="2"/>
          <w:numId w:val="1"/>
        </w:numPr>
        <w:textAlignment w:val="center"/>
        <w:rPr>
          <w:rFonts w:ascii="Calibri" w:eastAsia="Times New Roman" w:hAnsi="Calibri" w:cs="Calibri"/>
          <w:sz w:val="22"/>
          <w:szCs w:val="22"/>
        </w:rPr>
      </w:pPr>
      <w:r w:rsidRPr="00880178">
        <w:rPr>
          <w:rFonts w:ascii="Calibri" w:eastAsia="Times New Roman" w:hAnsi="Calibri" w:cs="Calibri"/>
          <w:color w:val="000000"/>
          <w:sz w:val="22"/>
          <w:szCs w:val="22"/>
        </w:rPr>
        <w:lastRenderedPageBreak/>
        <w:t>Describe how two one</w:t>
      </w:r>
      <w:r>
        <w:rPr>
          <w:rFonts w:ascii="Calibri" w:eastAsia="Times New Roman" w:hAnsi="Calibri" w:cs="Calibri"/>
          <w:color w:val="000000"/>
          <w:sz w:val="22"/>
          <w:szCs w:val="22"/>
        </w:rPr>
        <w:t>-</w:t>
      </w:r>
      <w:r w:rsidRPr="00880178">
        <w:rPr>
          <w:rFonts w:ascii="Calibri" w:eastAsia="Times New Roman" w:hAnsi="Calibri" w:cs="Calibri"/>
          <w:color w:val="000000"/>
          <w:sz w:val="22"/>
          <w:szCs w:val="22"/>
        </w:rPr>
        <w:t xml:space="preserve">column systems can be joined to create a two column MCC for half the cost of a single MCC </w:t>
      </w:r>
    </w:p>
    <w:p w14:paraId="13DBFCD1" w14:textId="77777777" w:rsidR="00215E03" w:rsidRPr="003F4574" w:rsidRDefault="00215E03" w:rsidP="00215E03">
      <w:pPr>
        <w:numPr>
          <w:ilvl w:val="2"/>
          <w:numId w:val="1"/>
        </w:numPr>
        <w:textAlignment w:val="center"/>
        <w:rPr>
          <w:rFonts w:ascii="Calibri" w:eastAsia="Times New Roman" w:hAnsi="Calibri" w:cs="Calibri"/>
          <w:sz w:val="22"/>
          <w:szCs w:val="22"/>
        </w:rPr>
      </w:pPr>
      <w:r>
        <w:rPr>
          <w:rFonts w:ascii="Calibri" w:eastAsia="Times New Roman" w:hAnsi="Calibri" w:cs="Calibri"/>
          <w:color w:val="000000"/>
          <w:sz w:val="22"/>
          <w:szCs w:val="22"/>
        </w:rPr>
        <w:t>Value of MCC vs. single column chromatography</w:t>
      </w:r>
    </w:p>
    <w:p w14:paraId="797EAC26" w14:textId="77777777" w:rsidR="00215E03" w:rsidRDefault="00215E03" w:rsidP="00215E03"/>
    <w:p w14:paraId="44867336" w14:textId="77777777" w:rsidR="000A0C75" w:rsidRPr="00215E03" w:rsidRDefault="000A0C75" w:rsidP="00215E03"/>
    <w:sectPr w:rsidR="000A0C75" w:rsidRPr="00215E03" w:rsidSect="004050B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03"/>
    <w:rsid w:val="00022716"/>
    <w:rsid w:val="000316C3"/>
    <w:rsid w:val="000435C5"/>
    <w:rsid w:val="00097FF4"/>
    <w:rsid w:val="000A0C75"/>
    <w:rsid w:val="000B46E2"/>
    <w:rsid w:val="000B79EB"/>
    <w:rsid w:val="001140D0"/>
    <w:rsid w:val="00215E03"/>
    <w:rsid w:val="0027382A"/>
    <w:rsid w:val="002D087F"/>
    <w:rsid w:val="00342FCB"/>
    <w:rsid w:val="003E6DF6"/>
    <w:rsid w:val="004B40D6"/>
    <w:rsid w:val="004F37CD"/>
    <w:rsid w:val="005F4D05"/>
    <w:rsid w:val="0068549B"/>
    <w:rsid w:val="0069664E"/>
    <w:rsid w:val="006E788B"/>
    <w:rsid w:val="00776287"/>
    <w:rsid w:val="007B70D8"/>
    <w:rsid w:val="00807D79"/>
    <w:rsid w:val="008108E5"/>
    <w:rsid w:val="00856B69"/>
    <w:rsid w:val="00863010"/>
    <w:rsid w:val="008A4F9B"/>
    <w:rsid w:val="0091636B"/>
    <w:rsid w:val="009605A7"/>
    <w:rsid w:val="00987DFC"/>
    <w:rsid w:val="00990377"/>
    <w:rsid w:val="00A22994"/>
    <w:rsid w:val="00A31FC8"/>
    <w:rsid w:val="00A83F4A"/>
    <w:rsid w:val="00BB68D7"/>
    <w:rsid w:val="00C13F69"/>
    <w:rsid w:val="00C72378"/>
    <w:rsid w:val="00D44747"/>
    <w:rsid w:val="00D75ECA"/>
    <w:rsid w:val="00DD3A84"/>
    <w:rsid w:val="00E74402"/>
    <w:rsid w:val="00EC388F"/>
    <w:rsid w:val="00F369ED"/>
    <w:rsid w:val="00F604BA"/>
    <w:rsid w:val="00FB37C4"/>
    <w:rsid w:val="00FE4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22503C"/>
  <w15:chartTrackingRefBased/>
  <w15:docId w15:val="{B52034E2-4655-5B41-9D20-5938E20A4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E03"/>
  </w:style>
  <w:style w:type="paragraph" w:styleId="Heading2">
    <w:name w:val="heading 2"/>
    <w:basedOn w:val="Normal"/>
    <w:link w:val="Heading2Char"/>
    <w:uiPriority w:val="9"/>
    <w:qFormat/>
    <w:rsid w:val="002D087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087F"/>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2D087F"/>
  </w:style>
  <w:style w:type="paragraph" w:customStyle="1" w:styleId="paragraph">
    <w:name w:val="paragraph"/>
    <w:basedOn w:val="Normal"/>
    <w:rsid w:val="002D087F"/>
    <w:pPr>
      <w:spacing w:before="100" w:beforeAutospacing="1" w:after="100" w:afterAutospacing="1"/>
    </w:pPr>
    <w:rPr>
      <w:rFonts w:ascii="Times New Roman" w:eastAsia="Times New Roman" w:hAnsi="Times New Roman" w:cs="Times New Roman"/>
    </w:rPr>
  </w:style>
  <w:style w:type="paragraph" w:customStyle="1" w:styleId="tabletitle">
    <w:name w:val="tabletitle"/>
    <w:basedOn w:val="Normal"/>
    <w:rsid w:val="002D087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59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1</cp:revision>
  <dcterms:created xsi:type="dcterms:W3CDTF">2020-08-16T23:13:00Z</dcterms:created>
  <dcterms:modified xsi:type="dcterms:W3CDTF">2020-08-16T23:13:00Z</dcterms:modified>
</cp:coreProperties>
</file>