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s="Arial"/>
          <w:b/>
        </w:rPr>
        <w:t>בשמחה • ובטוב לבב • מרוב כל</w:t>
      </w:r>
    </w:p>
    <w:p>
      <w:pPr>
        <w:jc w:val="center"/>
      </w:pPr>
      <w:r>
        <w:rPr>
          <w:i/>
        </w:rPr>
        <w:t>A Working Study in the Rambam’s Use of Devarim 28:47</w:t>
      </w:r>
    </w:p>
    <w:p>
      <w:r>
        <w:t>Central question: When the Torah says, “תחת אשר לא עבדת את ה׳ אלקיך בשמחה ובטוב לבב מרוב כל,” are בשמחה, ובטוב לבב, and מרוב כל merely one description, or can they illuminate three dimensions of avodas Hashem?</w:t>
      </w:r>
    </w:p>
    <w:p>
      <w:pPr>
        <w:pStyle w:val="Heading1"/>
      </w:pPr>
      <w:r>
        <w:t>1. The Pasuk</w:t>
      </w:r>
    </w:p>
    <w:p>
      <w:pPr>
        <w:jc w:val="right"/>
      </w:pPr>
      <w:r>
        <w:rPr>
          <w:b/>
        </w:rPr>
        <w:t>תַּחַת אֲשֶׁר לֹא עָבַדְתָּ אֶת ה׳ אֱלֹקיךָ בְּשִׂמְחָה וּבְטוּב לֵבָב מֵרֹב כֹּל.</w:t>
      </w:r>
    </w:p>
    <w:p>
      <w:r>
        <w:t>Devarim 28:47</w:t>
      </w:r>
    </w:p>
    <w:p>
      <w:pPr>
        <w:pStyle w:val="Heading1"/>
      </w:pPr>
      <w:r>
        <w:t>2. בשמחה — Joy in the Avodah</w:t>
      </w:r>
    </w:p>
    <w:p>
      <w:r>
        <w:t>In Hilchos Shofar, Sukkah v’Lulav 8:15, the Rambam calls the joy a person experiences in doing a mitzvah and in loving Hashem “עבודה גדולה.” He then cites our pasuk: “תחת אשר לא עבדת... בשמחה ובטוב לבב.” Here the Rambam explicitly makes simcha in mitzvah-performance part of avodas Hashem.</w:t>
      </w:r>
    </w:p>
    <w:p>
      <w:r>
        <w:t>Important caution: in this halachah the Rambam quotes בשמחה ובטוב לבב together. He does not explicitly tell us that טוב לבב is a second, independent requirement.</w:t>
      </w:r>
    </w:p>
    <w:p>
      <w:pPr>
        <w:pStyle w:val="Heading1"/>
      </w:pPr>
      <w:r>
        <w:t>3. ובטוב לבב — What Is a “Good Heart”?</w:t>
      </w:r>
    </w:p>
    <w:p>
      <w:r>
        <w:t>The Rambam’s commentary to Avos 2:9 gives us an important clue. Explaining רבי אלעזר’s “לב טוב,” the Rambam does not define it simply as feeling happy. He describes לב טוב in terms of good actions and the balanced virtues of character — מעלות המידות — broad enough to include other positive traits.</w:t>
      </w:r>
    </w:p>
    <w:p>
      <w:r>
        <w:t>In the Rambam’s introduction to Avos (Shemoneh Perakim), טוב לב is also treated as a middah: a person whose intention is to benefit others with his body, counsel, and money within the proper mean. This again makes “goodness of heart” sound like an inner moral disposition, not merely an emotion of happiness.</w:t>
      </w:r>
    </w:p>
    <w:p>
      <w:r>
        <w:t>Possible chiddush: בשמחה may describe the joy felt in the avodah, while ובטוב לבב may point to the kind of heart from which the avodah emerges — a heart whose desires, middos, and orientation have themselves been made good.</w:t>
      </w:r>
    </w:p>
    <w:p>
      <w:pPr>
        <w:pStyle w:val="Heading1"/>
      </w:pPr>
      <w:r>
        <w:t>4. מרוב כל — Serving Hashem in Abundance</w:t>
      </w:r>
    </w:p>
    <w:p>
      <w:r>
        <w:t>In Hilchos Talmud Torah 3:13, the Rambam brings the Mishnah: “כל המקיים את התורה מעוני סופו לקיימה מעושר.” He says that this idea is explicit in the Torah and cites our pasuk, including “מרוב כל.” This is especially striking: the same verse that speaks about joy and goodness of heart is used by the Rambam in the context of Torah amid wealth.</w:t>
      </w:r>
    </w:p>
    <w:p>
      <w:r>
        <w:t>This suggests that abundance is not merely the reward at the end of the struggle. It can itself become a setting — and perhaps a nisayon — in which Torah must continue.</w:t>
      </w:r>
    </w:p>
    <w:p>
      <w:pPr>
        <w:pStyle w:val="Heading1"/>
      </w:pPr>
      <w:r>
        <w:t>5. A Three-Part Framework</w:t>
      </w:r>
    </w:p>
    <w:tbl>
      <w:tblPr>
        <w:tblStyle w:val="TableGrid"/>
        <w:tblW w:type="auto" w:w="0"/>
        <w:tblLook w:firstColumn="1" w:firstRow="1" w:lastColumn="0" w:lastRow="0" w:noHBand="0" w:noVBand="1" w:val="04A0"/>
      </w:tblPr>
      <w:tblGrid>
        <w:gridCol w:w="3264"/>
        <w:gridCol w:w="3264"/>
        <w:gridCol w:w="3264"/>
      </w:tblGrid>
      <w:tr>
        <w:tc>
          <w:tcPr>
            <w:tcW w:type="dxa" w:w="3264"/>
          </w:tcPr>
          <w:p>
            <w:r>
              <w:t>Phrase</w:t>
            </w:r>
          </w:p>
        </w:tc>
        <w:tc>
          <w:tcPr>
            <w:tcW w:type="dxa" w:w="3264"/>
          </w:tcPr>
          <w:p>
            <w:r>
              <w:t>Possible Dimension</w:t>
            </w:r>
          </w:p>
        </w:tc>
        <w:tc>
          <w:tcPr>
            <w:tcW w:type="dxa" w:w="3264"/>
          </w:tcPr>
          <w:p>
            <w:r>
              <w:t>Rambam Connection</w:t>
            </w:r>
          </w:p>
        </w:tc>
      </w:tr>
      <w:tr>
        <w:tc>
          <w:tcPr>
            <w:tcW w:type="dxa" w:w="3264"/>
          </w:tcPr>
          <w:p>
            <w:r>
              <w:t>בשמחה</w:t>
            </w:r>
          </w:p>
        </w:tc>
        <w:tc>
          <w:tcPr>
            <w:tcW w:type="dxa" w:w="3264"/>
          </w:tcPr>
          <w:p>
            <w:r>
              <w:t>The experience of avodah</w:t>
            </w:r>
          </w:p>
        </w:tc>
        <w:tc>
          <w:tcPr>
            <w:tcW w:type="dxa" w:w="3264"/>
          </w:tcPr>
          <w:p>
            <w:r>
              <w:t>Joy in doing mitzvos and loving Hashem — Lulav 8:15</w:t>
            </w:r>
          </w:p>
        </w:tc>
      </w:tr>
      <w:tr>
        <w:tc>
          <w:tcPr>
            <w:tcW w:type="dxa" w:w="3264"/>
          </w:tcPr>
          <w:p>
            <w:r>
              <w:t>ובטוב לבב</w:t>
            </w:r>
          </w:p>
        </w:tc>
        <w:tc>
          <w:tcPr>
            <w:tcW w:type="dxa" w:w="3264"/>
          </w:tcPr>
          <w:p>
            <w:r>
              <w:t>The inner person doing the avodah</w:t>
            </w:r>
          </w:p>
        </w:tc>
        <w:tc>
          <w:tcPr>
            <w:tcW w:type="dxa" w:w="3264"/>
          </w:tcPr>
          <w:p>
            <w:r>
              <w:t>לב טוב as a broad structure of good middos — Peirush HaMishnah, Avos 2:9</w:t>
            </w:r>
          </w:p>
        </w:tc>
      </w:tr>
      <w:tr>
        <w:tc>
          <w:tcPr>
            <w:tcW w:type="dxa" w:w="3264"/>
          </w:tcPr>
          <w:p>
            <w:r>
              <w:t>מרוב כל</w:t>
            </w:r>
          </w:p>
        </w:tc>
        <w:tc>
          <w:tcPr>
            <w:tcW w:type="dxa" w:w="3264"/>
          </w:tcPr>
          <w:p>
            <w:r>
              <w:t>The circumstances surrounding the avodah</w:t>
            </w:r>
          </w:p>
        </w:tc>
        <w:tc>
          <w:tcPr>
            <w:tcW w:type="dxa" w:w="3264"/>
          </w:tcPr>
          <w:p>
            <w:r>
              <w:t>Maintaining Torah in wealth/abundance — Talmud Torah 3:13</w:t>
            </w:r>
          </w:p>
        </w:tc>
      </w:tr>
    </w:tbl>
    <w:p>
      <w:pPr>
        <w:pStyle w:val="Heading1"/>
      </w:pPr>
      <w:r>
        <w:t>6. Connection to the Chayei Adam</w:t>
      </w:r>
    </w:p>
    <w:p>
      <w:r>
        <w:t>The Chayei Adam’s treatment of the Mishnah about Torah in poverty and wealth opens a further possibility. A person who attaches himself to Torah under difficult conditions receives siyata d’Shmaya to remain attached to Torah when circumstances change. Wealth, comfort, and abundance do not eliminate the need for Divine assistance; they create a different spiritual environment in which that assistance is still necessary.</w:t>
      </w:r>
    </w:p>
    <w:p>
      <w:pPr>
        <w:pStyle w:val="Heading1"/>
      </w:pPr>
      <w:r>
        <w:t>7. Connection to the Shaagas Aryeh / Turei Even Tradition</w:t>
      </w:r>
    </w:p>
    <w:p>
      <w:r>
        <w:t>The tradition we discussed concerning the Shaagas Aryeh and his later works can serve as an illustration of the same theme: Torah produced amid hardship may carry a particular intensity, while Torah amid greater stability presents a different challenge. The exact printed chain of attribution for the Rav Chaim Brisker / Rav Baruch Ber version should remain marked for source verification before this is presented as a firmly sourced quotation.</w:t>
      </w:r>
    </w:p>
    <w:p>
      <w:pPr>
        <w:pStyle w:val="Heading1"/>
      </w:pPr>
      <w:r>
        <w:t>8. The Developing Chiddush</w:t>
      </w:r>
    </w:p>
    <w:p>
      <w:r>
        <w:rPr>
          <w:b/>
        </w:rPr>
        <w:t xml:space="preserve">בשמחה — </w:t>
      </w:r>
      <w:r>
        <w:t>Is there joy in my avodah?</w:t>
        <w:br/>
      </w:r>
      <w:r>
        <w:rPr>
          <w:b/>
        </w:rPr>
        <w:t xml:space="preserve">ובטוב לבב — </w:t>
      </w:r>
      <w:r>
        <w:t>What kind of heart is doing the avodah?</w:t>
        <w:br/>
      </w:r>
      <w:r>
        <w:rPr>
          <w:b/>
        </w:rPr>
        <w:t xml:space="preserve">מרוב כל — </w:t>
      </w:r>
      <w:r>
        <w:t>What happens to that avodah when Hashem gives me abundance?</w:t>
      </w:r>
    </w:p>
    <w:p>
      <w:r>
        <w:t>Taken together, the pasuk can be read as describing not only whether a person serves Hashem, but the wholeness of that service: the joy of the act, the goodness of the inner person, and the ability to remain devoted even בתוך רוב כל.</w:t>
      </w:r>
    </w:p>
    <w:p>
      <w:pPr>
        <w:pStyle w:val="Heading1"/>
      </w:pPr>
      <w:r>
        <w:t>9. Where to Push the Study Next</w:t>
      </w:r>
    </w:p>
    <w:p>
      <w:pPr>
        <w:pStyle w:val="ListBullet"/>
      </w:pPr>
      <w:r>
        <w:t>Search the Rambam systematically for טוב לב / טוב לבב / לב טוב and distinguish ethical-middah usages from ordinary biblical idiom.</w:t>
      </w:r>
    </w:p>
    <w:p>
      <w:pPr>
        <w:pStyle w:val="ListBullet"/>
      </w:pPr>
      <w:r>
        <w:t>Compare the Rambam’s wording in Hilchos Shevisas Yom Tov 6:20, where simcha is directed toward avodas Hashem.</w:t>
      </w:r>
    </w:p>
    <w:p>
      <w:pPr>
        <w:pStyle w:val="ListBullet"/>
      </w:pPr>
      <w:r>
        <w:t>Study the mefarshim on Rambam, Lulav 8:15: do any explain why the pasuk says both בשמחה and בטוב לבב?</w:t>
      </w:r>
    </w:p>
    <w:p>
      <w:pPr>
        <w:pStyle w:val="ListBullet"/>
      </w:pPr>
      <w:r>
        <w:t>Study mefarshim on Devarim 28:47 for an explicit distinction between בשמחה, בטוב לבב, and מרוב כל.</w:t>
      </w:r>
    </w:p>
    <w:p>
      <w:pPr>
        <w:pStyle w:val="ListBullet"/>
      </w:pPr>
      <w:r>
        <w:t>Verify the earliest printed source for the Shaagas Aryeh / Turei Even tradition before using it as a formal proof.</w:t>
      </w:r>
    </w:p>
    <w:p>
      <w:pPr>
        <w:pStyle w:val="Heading1"/>
      </w:pPr>
      <w:r>
        <w:t>Source Notes</w:t>
      </w:r>
    </w:p>
    <w:p>
      <w:r>
        <w:t>• Devarim 28:47.</w:t>
      </w:r>
    </w:p>
    <w:p>
      <w:r>
        <w:t>• Rambam, Mishneh Torah, Hilchos Shofar, Sukkah v’Lulav 8:15.</w:t>
      </w:r>
    </w:p>
    <w:p>
      <w:r>
        <w:t>• Rambam, Mishneh Torah, Hilchos Talmud Torah 3:13.</w:t>
      </w:r>
    </w:p>
    <w:p>
      <w:r>
        <w:t>• Rambam, Peirush HaMishnah, Avos 2:9.</w:t>
      </w:r>
    </w:p>
    <w:p>
      <w:r>
        <w:t>• Rambam, Introduction to Avos / Shemoneh Perakim — discussion of טוב לב among the middos.</w:t>
      </w:r>
    </w:p>
    <w:p>
      <w:r>
        <w:t>• Chayei Adam, Hilchos Talmud Torah, Klal 10 — exact se’if and wording to be checked against the preferred edition.</w:t>
      </w:r>
    </w:p>
    <w:p>
      <w:r>
        <w:t>Working note: the three-part division is a proposed framework, not an explicit three-part formulation stated by the Rambam.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