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Running the E1D Argos Extracts Against CCSU's Live Banner Data</w:t>
      </w:r>
    </w:p>
    <w:p>
      <w:pPr>
        <w:spacing w:after="240"/>
      </w:pPr>
      <w:r>
        <w:rPr>
          <w:b/>
          <w:bCs/>
          <w:color w:val="444444"/>
          <w:sz w:val="26"/>
          <w:szCs w:val="26"/>
        </w:rPr>
        <w:t xml:space="preserve">Setup, Code Customization, and a QC / Testing Plan for First Access</w:t>
      </w:r>
    </w:p>
    <w:p>
      <w:pPr>
        <w:spacing w:after="320"/>
      </w:pPr>
      <w:r>
        <w:rPr>
          <w:color w:val="555555"/>
          <w:sz w:val="22"/>
          <w:szCs w:val="22"/>
        </w:rPr>
        <w:t xml:space="preserve">This document explains how to run the Argos-based E1D DataBlocks and Extracts (03_e1d_enrollment_ARGOS.sql and 04_e1d_instructional_activity_ARGOS.sql) against Central Connecticut State University's real Banner data, once Argos and Banner access are granted. Because this was written before that access exists, everything here was validated only against generic Banner table/column conventions and a local fake dataset — not against CCSU's actual configuration. Section 5 is a checklist of the specific things to verify with real data and real CCSU staff before this can be trusted for an actual IPEDS submission.</w:t>
      </w:r>
    </w:p>
    <w:p>
      <w:pPr>
        <w:pBdr>
          <w:bottom w:val="single" w:color="1F4E78" w:sz="6"/>
        </w:pBdr>
        <w:spacing w:after="320"/>
      </w:pPr>
    </w:p>
    <w:p>
      <w:pPr>
        <w:pStyle w:val="Heading1"/>
        <w:spacing w:after="160" w:before="320"/>
      </w:pPr>
      <w:r>
        <w:t xml:space="preserve">1. Current Status and What This Document Assumes</w:t>
      </w:r>
    </w:p>
    <w:p>
      <w:pPr>
        <w:spacing w:after="160"/>
      </w:pPr>
      <w:r>
        <w:t xml:space="preserve">As of writing, there is no access yet to CCSU's Argos environment or its Banner database. The SQL in 03_e1d_enrollment_ARGOS.sql and 04_e1d_instructional_activity_ARGOS.sql was built against standard/common Banner table and column names, and every value that depends on CCSU's specific configuration is marked “&gt;&gt;&gt; CUSTOMIZE” in the code rather than filled in. This document walks through:</w:t>
      </w:r>
    </w:p>
    <w:p>
      <w:pPr>
        <w:pStyle w:val="ListParagraph"/>
        <w:numPr>
          <w:ilvl w:val="0"/>
          <w:numId w:val="2"/>
        </w:numPr>
        <w:spacing w:after="80"/>
      </w:pPr>
      <w:r>
        <w:t xml:space="preserve">What to gather before touching real data, once access is granted.</w:t>
      </w:r>
    </w:p>
    <w:p>
      <w:pPr>
        <w:pStyle w:val="ListParagraph"/>
        <w:numPr>
          <w:ilvl w:val="0"/>
          <w:numId w:val="2"/>
        </w:numPr>
        <w:spacing w:after="80"/>
      </w:pPr>
      <w:r>
        <w:t xml:space="preserve">How to find CCSU's actual Banner validation-table codes and fill in every CUSTOMIZE placeholder.</w:t>
      </w:r>
    </w:p>
    <w:p>
      <w:pPr>
        <w:pStyle w:val="ListParagraph"/>
        <w:numPr>
          <w:ilvl w:val="0"/>
          <w:numId w:val="2"/>
        </w:numPr>
        <w:spacing w:after="80"/>
      </w:pPr>
      <w:r>
        <w:t xml:space="preserve">How to build the Argos DataBlocks and Extracts that produce the two E1D CSV files.</w:t>
      </w:r>
    </w:p>
    <w:p>
      <w:pPr>
        <w:pStyle w:val="ListParagraph"/>
        <w:numPr>
          <w:ilvl w:val="0"/>
          <w:numId w:val="2"/>
        </w:numPr>
        <w:spacing w:after="80"/>
      </w:pPr>
      <w:r>
        <w:t xml:space="preserve">A structured list of checks and tests to run — the actual quality-control pass that can only happen once there is real Argos/Banner access.</w:t>
      </w:r>
    </w:p>
    <w:p>
      <w:pPr>
        <w:shd w:fill="FFF3E0" w:val="clear"/>
        <w:spacing w:after="200" w:before="80"/>
      </w:pPr>
      <w:r>
        <w:rPr>
          <w:b/>
          <w:bCs/>
          <w:color w:val="9C4500"/>
          <w:sz w:val="21"/>
          <w:szCs w:val="21"/>
        </w:rPr>
        <w:t xml:space="preserve">⚠ Nothing described here should be treated as validated for a real IPEDS submission until the checks in Section 5 have been completed with an IR office staff member or supervisor's sign-off.</w:t>
      </w:r>
    </w:p>
    <w:p>
      <w:pPr>
        <w:pStyle w:val="Heading1"/>
        <w:spacing w:after="160" w:before="320"/>
      </w:pPr>
      <w:r>
        <w:t xml:space="preserve">2. Before You Start: Access and Information Needed</w:t>
      </w:r>
    </w:p>
    <w:p>
      <w:pPr>
        <w:spacing w:after="160"/>
      </w:pPr>
      <w:r>
        <w:t xml:space="preserve">Once onboarded, the following will be needed before this workflow can run against real data:</w:t>
      </w:r>
    </w:p>
    <w:p>
      <w:pPr>
        <w:pStyle w:val="ListParagraph"/>
        <w:numPr>
          <w:ilvl w:val="0"/>
          <w:numId w:val="3"/>
        </w:numPr>
        <w:spacing w:after="80"/>
      </w:pPr>
      <w:r>
        <w:t xml:space="preserve">Argos client access, connected to CCSU's production (or a designated reporting/reporting-replica) Banner data source.</w:t>
      </w:r>
    </w:p>
    <w:p>
      <w:pPr>
        <w:pStyle w:val="ListParagraph"/>
        <w:numPr>
          <w:ilvl w:val="0"/>
          <w:numId w:val="3"/>
        </w:numPr>
        <w:spacing w:after="80"/>
      </w:pPr>
      <w:r>
        <w:t xml:space="preserve">Read access to the Banner tables the extracts use: STVTERM, SFRSTCR, SCBCRSE, SSBSECT, SGBSTDN, SPRIDEN, SPBPERS, GORPRAC, and the validation tables STVSTYP, STVLEVL, STVETHN, STVRACE, STVCITZ, STVRSTS, GTVINSM, STVASTY.</w:t>
      </w:r>
    </w:p>
    <w:p>
      <w:pPr>
        <w:pStyle w:val="ListParagraph"/>
        <w:numPr>
          <w:ilvl w:val="0"/>
          <w:numId w:val="3"/>
        </w:numPr>
        <w:spacing w:after="80"/>
      </w:pPr>
      <w:r>
        <w:t xml:space="preserve">CCSU's official IPEDS Unitid.</w:t>
      </w:r>
    </w:p>
    <w:p>
      <w:pPr>
        <w:pStyle w:val="ListParagraph"/>
        <w:numPr>
          <w:ilvl w:val="0"/>
          <w:numId w:val="3"/>
        </w:numPr>
        <w:spacing w:after="80"/>
      </w:pPr>
      <w:r>
        <w:t xml:space="preserve">The exact 12-month reporting period IPEDS expects for the current cycle (July 1–June 30) and which Banner term codes fall inside it.</w:t>
      </w:r>
    </w:p>
    <w:p>
      <w:pPr>
        <w:pStyle w:val="ListParagraph"/>
        <w:numPr>
          <w:ilvl w:val="0"/>
          <w:numId w:val="3"/>
        </w:numPr>
        <w:spacing w:after="80"/>
      </w:pPr>
      <w:r>
        <w:t xml:space="preserve">CCSU's official definitions for full-time/part-time status, first-time/transfer/degree-seeking classification, and (if applicable) doctoral/professional-practice programs — these are business-rule decisions the Institutional Research (IR) office owns, not something to infer from the code alone.</w:t>
      </w:r>
    </w:p>
    <w:p>
      <w:pPr>
        <w:pStyle w:val="ListParagraph"/>
        <w:numPr>
          <w:ilvl w:val="0"/>
          <w:numId w:val="3"/>
        </w:numPr>
        <w:spacing w:after="80"/>
      </w:pPr>
      <w:r>
        <w:t xml:space="preserve">A copy of CCSU's most recently submitted E1D data (or the IPEDS Data Feedback Report figures), to use as a sanity check against this year's draft output.</w:t>
      </w:r>
    </w:p>
    <w:p>
      <w:pPr>
        <w:spacing w:after="200" w:before="80"/>
      </w:pPr>
      <w:r>
        <w:rPr>
          <w:i/>
          <w:iCs/>
          <w:sz w:val="21"/>
          <w:szCs w:val="21"/>
        </w:rPr>
        <w:t xml:space="preserve">Note: Whether CCSU currently has any doctoral or professional-practice-level programs (which would populate the DocFTE figure in the instructional-activity file) was not confirmed while writing this. Confirm this with the IR office before assuming DocFTE should be zero or non-zero.</w:t>
      </w:r>
    </w:p>
    <w:p>
      <w:pPr>
        <w:pStyle w:val="Heading1"/>
        <w:spacing w:after="160" w:before="320"/>
      </w:pPr>
      <w:r>
        <w:t xml:space="preserve">3. Step 1 — Discover CCSU's Real Banner Codes</w:t>
      </w:r>
    </w:p>
    <w:p>
      <w:pPr>
        <w:spacing w:after="160"/>
      </w:pPr>
      <w:r>
        <w:t xml:space="preserve">Run 00_code_discovery.sql first, either as a one-off Argos DataBlock or via SQL*Plus/SQLcl if direct database access is available. It queries CCSU's own validation tables so the actual code values can be seen, rather than guessed:</w:t>
      </w:r>
    </w:p>
    <w:p>
      <w:pPr>
        <w:pStyle w:val="ListParagraph"/>
        <w:numPr>
          <w:ilvl w:val="0"/>
          <w:numId w:val="3"/>
        </w:numPr>
        <w:spacing w:after="80"/>
      </w:pPr>
      <w:r>
        <w:t xml:space="preserve">STVSTYP — student type codes (drives IsFirstTime / IsTransfer / IsDegreeCertSeeking / IsHighSchool / IsDual)</w:t>
      </w:r>
    </w:p>
    <w:p>
      <w:pPr>
        <w:pStyle w:val="ListParagraph"/>
        <w:numPr>
          <w:ilvl w:val="0"/>
          <w:numId w:val="3"/>
        </w:numPr>
        <w:spacing w:after="80"/>
      </w:pPr>
      <w:r>
        <w:t xml:space="preserve">STVLEVL — level codes (drives StudentLevel and the doctoral/professional split)</w:t>
      </w:r>
    </w:p>
    <w:p>
      <w:pPr>
        <w:pStyle w:val="ListParagraph"/>
        <w:numPr>
          <w:ilvl w:val="0"/>
          <w:numId w:val="3"/>
        </w:numPr>
        <w:spacing w:after="80"/>
      </w:pPr>
      <w:r>
        <w:t xml:space="preserve">STVETHN — ethnicity codes (Hispanic/Latino indicator)</w:t>
      </w:r>
    </w:p>
    <w:p>
      <w:pPr>
        <w:pStyle w:val="ListParagraph"/>
        <w:numPr>
          <w:ilvl w:val="0"/>
          <w:numId w:val="3"/>
        </w:numPr>
        <w:spacing w:after="80"/>
      </w:pPr>
      <w:r>
        <w:t xml:space="preserve">STVRACE — race codes</w:t>
      </w:r>
    </w:p>
    <w:p>
      <w:pPr>
        <w:pStyle w:val="ListParagraph"/>
        <w:numPr>
          <w:ilvl w:val="0"/>
          <w:numId w:val="3"/>
        </w:numPr>
        <w:spacing w:after="80"/>
      </w:pPr>
      <w:r>
        <w:t xml:space="preserve">STVCITZ — citizenship type codes (nonresident alien determination)</w:t>
      </w:r>
    </w:p>
    <w:p>
      <w:pPr>
        <w:pStyle w:val="ListParagraph"/>
        <w:numPr>
          <w:ilvl w:val="0"/>
          <w:numId w:val="3"/>
        </w:numPr>
        <w:spacing w:after="80"/>
      </w:pPr>
      <w:r>
        <w:t xml:space="preserve">STVRSTS — registration status codes (which ones mean “still enrolled”)</w:t>
      </w:r>
    </w:p>
    <w:p>
      <w:pPr>
        <w:pStyle w:val="ListParagraph"/>
        <w:numPr>
          <w:ilvl w:val="0"/>
          <w:numId w:val="3"/>
        </w:numPr>
        <w:spacing w:after="80"/>
      </w:pPr>
      <w:r>
        <w:t xml:space="preserve">GTVINSM — instructional method codes (distance education flag)</w:t>
      </w:r>
    </w:p>
    <w:p>
      <w:pPr>
        <w:pStyle w:val="ListParagraph"/>
        <w:numPr>
          <w:ilvl w:val="0"/>
          <w:numId w:val="3"/>
        </w:numPr>
        <w:spacing w:after="80"/>
      </w:pPr>
      <w:r>
        <w:t xml:space="preserve">STVASTY — admission type codes</w:t>
      </w:r>
    </w:p>
    <w:p>
      <w:pPr>
        <w:spacing w:after="160"/>
      </w:pPr>
      <w:r>
        <w:t xml:space="preserve">Record the actual codes returned for each of these before moving to Step 2. It's worth also asking the registrar's office or a senior Banner user directly — some of these tables carry legacy codes that are no longer actively used, and staff who work with the live system daily will know which codes are current.</w:t>
      </w:r>
    </w:p>
    <w:p>
      <w:pPr>
        <w:pStyle w:val="Heading1"/>
        <w:spacing w:after="160" w:before="320"/>
      </w:pPr>
      <w:r>
        <w:t xml:space="preserve">4. Step 2 — Fill In the CUSTOMIZE Placeholders</w:t>
      </w:r>
    </w:p>
    <w:p>
      <w:pPr>
        <w:spacing w:after="160"/>
      </w:pPr>
      <w:r>
        <w:t xml:space="preserve">Every “&gt;&gt;&gt; CUSTOMIZE” comment in the two Argos SQL files needs to be replaced with a real CCSU code before the output can be trusted. The table below maps each placeholder to what it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1F4E78" w:val="clear"/>
          </w:tcPr>
          <w:p>
            <w:r>
              <w:rPr>
                <w:b/>
                <w:bCs/>
                <w:color w:val="FFFFFF"/>
                <w:sz w:val="20"/>
                <w:szCs w:val="20"/>
              </w:rPr>
              <w:t xml:space="preserve">Placeholder (generic default)</w:t>
            </w:r>
          </w:p>
        </w:tc>
        <w:tc>
          <w:tcPr>
            <w:tcW w:type="dxa" w:w="3200"/>
            <w:shd w:fill="1F4E78" w:val="clear"/>
          </w:tcPr>
          <w:p>
            <w:r>
              <w:rPr>
                <w:b/>
                <w:bCs/>
                <w:color w:val="FFFFFF"/>
                <w:sz w:val="20"/>
                <w:szCs w:val="20"/>
              </w:rPr>
              <w:t xml:space="preserve">Controls</w:t>
            </w:r>
          </w:p>
        </w:tc>
        <w:tc>
          <w:tcPr>
            <w:tcW w:type="dxa" w:w="2760"/>
            <w:shd w:fill="1F4E78" w:val="clear"/>
          </w:tcPr>
          <w:p>
            <w:r>
              <w:rPr>
                <w:b/>
                <w:bCs/>
                <w:color w:val="FFFFFF"/>
                <w:sz w:val="20"/>
                <w:szCs w:val="20"/>
              </w:rPr>
              <w:t xml:space="preserve">Where used</w:t>
            </w:r>
          </w:p>
        </w:tc>
      </w:tr>
      <w:tr>
        <w:tc>
          <w:tcPr>
            <w:tcW w:type="dxa" w:w="3400"/>
          </w:tcPr>
          <w:p>
            <w:r>
              <w:rPr>
                <w:sz w:val="20"/>
                <w:szCs w:val="20"/>
              </w:rPr>
              <w:t xml:space="preserve">sfrstcr_rsts_code IN ('RE')</w:t>
            </w:r>
          </w:p>
        </w:tc>
        <w:tc>
          <w:tcPr>
            <w:tcW w:type="dxa" w:w="3200"/>
          </w:tcPr>
          <w:p>
            <w:r>
              <w:rPr>
                <w:sz w:val="20"/>
                <w:szCs w:val="20"/>
              </w:rPr>
              <w:t xml:space="preserve">Which registration statuses count as “still enrolled” vs. dropped/cancelled/withdrawn</w:t>
            </w:r>
          </w:p>
        </w:tc>
        <w:tc>
          <w:tcPr>
            <w:tcW w:type="dxa" w:w="2760"/>
          </w:tcPr>
          <w:p>
            <w:r>
              <w:rPr>
                <w:sz w:val="20"/>
                <w:szCs w:val="20"/>
              </w:rPr>
              <w:t xml:space="preserve">Both extracts, every SFRSTCR filter</w:t>
            </w:r>
          </w:p>
        </w:tc>
      </w:tr>
      <w:tr>
        <w:tc>
          <w:tcPr>
            <w:tcW w:type="dxa" w:w="3400"/>
          </w:tcPr>
          <w:p>
            <w:r>
              <w:rPr>
                <w:sz w:val="20"/>
                <w:szCs w:val="20"/>
              </w:rPr>
              <w:t xml:space="preserve">ssbsect_insm_code = 'DE'</w:t>
            </w:r>
          </w:p>
        </w:tc>
        <w:tc>
          <w:tcPr>
            <w:tcW w:type="dxa" w:w="3200"/>
          </w:tcPr>
          <w:p>
            <w:r>
              <w:rPr>
                <w:sz w:val="20"/>
                <w:szCs w:val="20"/>
              </w:rPr>
              <w:t xml:space="preserve">Which sections count as distance education</w:t>
            </w:r>
          </w:p>
        </w:tc>
        <w:tc>
          <w:tcPr>
            <w:tcW w:type="dxa" w:w="2760"/>
          </w:tcPr>
          <w:p>
            <w:r>
              <w:rPr>
                <w:sz w:val="20"/>
                <w:szCs w:val="20"/>
              </w:rPr>
              <w:t xml:space="preserve">Enrollment extract — DistanceEdAll / DistanceEdSome</w:t>
            </w:r>
          </w:p>
        </w:tc>
      </w:tr>
      <w:tr>
        <w:tc>
          <w:tcPr>
            <w:tcW w:type="dxa" w:w="3400"/>
          </w:tcPr>
          <w:p>
            <w:r>
              <w:rPr>
                <w:sz w:val="20"/>
                <w:szCs w:val="20"/>
              </w:rPr>
              <w:t xml:space="preserve">spbpers_citz_ind = 'N'</w:t>
            </w:r>
          </w:p>
        </w:tc>
        <w:tc>
          <w:tcPr>
            <w:tcW w:type="dxa" w:w="3200"/>
          </w:tcPr>
          <w:p>
            <w:r>
              <w:rPr>
                <w:sz w:val="20"/>
                <w:szCs w:val="20"/>
              </w:rPr>
              <w:t xml:space="preserve">Nonresident alien flag</w:t>
            </w:r>
          </w:p>
        </w:tc>
        <w:tc>
          <w:tcPr>
            <w:tcW w:type="dxa" w:w="2760"/>
          </w:tcPr>
          <w:p>
            <w:r>
              <w:rPr>
                <w:sz w:val="20"/>
                <w:szCs w:val="20"/>
              </w:rPr>
              <w:t xml:space="preserve">Enrollment extract — RaceEthnicity</w:t>
            </w:r>
          </w:p>
        </w:tc>
      </w:tr>
      <w:tr>
        <w:tc>
          <w:tcPr>
            <w:tcW w:type="dxa" w:w="3400"/>
          </w:tcPr>
          <w:p>
            <w:r>
              <w:rPr>
                <w:sz w:val="20"/>
                <w:szCs w:val="20"/>
              </w:rPr>
              <w:t xml:space="preserve">spbpers_ethn_cde IN ('H','2')</w:t>
            </w:r>
          </w:p>
        </w:tc>
        <w:tc>
          <w:tcPr>
            <w:tcW w:type="dxa" w:w="3200"/>
          </w:tcPr>
          <w:p>
            <w:r>
              <w:rPr>
                <w:sz w:val="20"/>
                <w:szCs w:val="20"/>
              </w:rPr>
              <w:t xml:space="preserve">Hispanic/Latino flag</w:t>
            </w:r>
          </w:p>
        </w:tc>
        <w:tc>
          <w:tcPr>
            <w:tcW w:type="dxa" w:w="2760"/>
          </w:tcPr>
          <w:p>
            <w:r>
              <w:rPr>
                <w:sz w:val="20"/>
                <w:szCs w:val="20"/>
              </w:rPr>
              <w:t xml:space="preserve">Enrollment extract — RaceEthnicity</w:t>
            </w:r>
          </w:p>
        </w:tc>
      </w:tr>
      <w:tr>
        <w:tc>
          <w:tcPr>
            <w:tcW w:type="dxa" w:w="3400"/>
          </w:tcPr>
          <w:p>
            <w:r>
              <w:rPr>
                <w:sz w:val="20"/>
                <w:szCs w:val="20"/>
              </w:rPr>
              <w:t xml:space="preserve">Race codes 'AI'/'AS'/'BL'/'HP'/'WH'</w:t>
            </w:r>
          </w:p>
        </w:tc>
        <w:tc>
          <w:tcPr>
            <w:tcW w:type="dxa" w:w="3200"/>
          </w:tcPr>
          <w:p>
            <w:r>
              <w:rPr>
                <w:sz w:val="20"/>
                <w:szCs w:val="20"/>
              </w:rPr>
              <w:t xml:space="preserve">Single-race mapping to IPEDS categories 3–7</w:t>
            </w:r>
          </w:p>
        </w:tc>
        <w:tc>
          <w:tcPr>
            <w:tcW w:type="dxa" w:w="2760"/>
          </w:tcPr>
          <w:p>
            <w:r>
              <w:rPr>
                <w:sz w:val="20"/>
                <w:szCs w:val="20"/>
              </w:rPr>
              <w:t xml:space="preserve">Enrollment extract — RaceEthnicity</w:t>
            </w:r>
          </w:p>
        </w:tc>
      </w:tr>
      <w:tr>
        <w:tc>
          <w:tcPr>
            <w:tcW w:type="dxa" w:w="3400"/>
          </w:tcPr>
          <w:p>
            <w:r>
              <w:rPr>
                <w:sz w:val="20"/>
                <w:szCs w:val="20"/>
              </w:rPr>
              <w:t xml:space="preserve">sgbstdn_styp_code IN ('N','F')</w:t>
            </w:r>
          </w:p>
        </w:tc>
        <w:tc>
          <w:tcPr>
            <w:tcW w:type="dxa" w:w="3200"/>
          </w:tcPr>
          <w:p>
            <w:r>
              <w:rPr>
                <w:sz w:val="20"/>
                <w:szCs w:val="20"/>
              </w:rPr>
              <w:t xml:space="preserve">First-time student flag</w:t>
            </w:r>
          </w:p>
        </w:tc>
        <w:tc>
          <w:tcPr>
            <w:tcW w:type="dxa" w:w="2760"/>
          </w:tcPr>
          <w:p>
            <w:r>
              <w:rPr>
                <w:sz w:val="20"/>
                <w:szCs w:val="20"/>
              </w:rPr>
              <w:t xml:space="preserve">Enrollment extract — IsFirstTime</w:t>
            </w:r>
          </w:p>
        </w:tc>
      </w:tr>
      <w:tr>
        <w:tc>
          <w:tcPr>
            <w:tcW w:type="dxa" w:w="3400"/>
          </w:tcPr>
          <w:p>
            <w:r>
              <w:rPr>
                <w:sz w:val="20"/>
                <w:szCs w:val="20"/>
              </w:rPr>
              <w:t xml:space="preserve">sgbstdn_styp_code = 'T'</w:t>
            </w:r>
          </w:p>
        </w:tc>
        <w:tc>
          <w:tcPr>
            <w:tcW w:type="dxa" w:w="3200"/>
          </w:tcPr>
          <w:p>
            <w:r>
              <w:rPr>
                <w:sz w:val="20"/>
                <w:szCs w:val="20"/>
              </w:rPr>
              <w:t xml:space="preserve">Transfer student flag</w:t>
            </w:r>
          </w:p>
        </w:tc>
        <w:tc>
          <w:tcPr>
            <w:tcW w:type="dxa" w:w="2760"/>
          </w:tcPr>
          <w:p>
            <w:r>
              <w:rPr>
                <w:sz w:val="20"/>
                <w:szCs w:val="20"/>
              </w:rPr>
              <w:t xml:space="preserve">Enrollment extract — IsTransfer</w:t>
            </w:r>
          </w:p>
        </w:tc>
      </w:tr>
      <w:tr>
        <w:tc>
          <w:tcPr>
            <w:tcW w:type="dxa" w:w="3400"/>
          </w:tcPr>
          <w:p>
            <w:r>
              <w:rPr>
                <w:sz w:val="20"/>
                <w:szCs w:val="20"/>
              </w:rPr>
              <w:t xml:space="preserve">sgbstdn_styp_code IN ('S','N')</w:t>
            </w:r>
          </w:p>
        </w:tc>
        <w:tc>
          <w:tcPr>
            <w:tcW w:type="dxa" w:w="3200"/>
          </w:tcPr>
          <w:p>
            <w:r>
              <w:rPr>
                <w:sz w:val="20"/>
                <w:szCs w:val="20"/>
              </w:rPr>
              <w:t xml:space="preserve">Not degree/certificate-seeking exclusion</w:t>
            </w:r>
          </w:p>
        </w:tc>
        <w:tc>
          <w:tcPr>
            <w:tcW w:type="dxa" w:w="2760"/>
          </w:tcPr>
          <w:p>
            <w:r>
              <w:rPr>
                <w:sz w:val="20"/>
                <w:szCs w:val="20"/>
              </w:rPr>
              <w:t xml:space="preserve">Enrollment extract — IsDegreeCertSeeking</w:t>
            </w:r>
          </w:p>
        </w:tc>
      </w:tr>
      <w:tr>
        <w:tc>
          <w:tcPr>
            <w:tcW w:type="dxa" w:w="3400"/>
          </w:tcPr>
          <w:p>
            <w:r>
              <w:rPr>
                <w:sz w:val="20"/>
                <w:szCs w:val="20"/>
              </w:rPr>
              <w:t xml:space="preserve">sgbstdn_styp_code = 'H' / 'D'</w:t>
            </w:r>
          </w:p>
        </w:tc>
        <w:tc>
          <w:tcPr>
            <w:tcW w:type="dxa" w:w="3200"/>
          </w:tcPr>
          <w:p>
            <w:r>
              <w:rPr>
                <w:sz w:val="20"/>
                <w:szCs w:val="20"/>
              </w:rPr>
              <w:t xml:space="preserve">High school / dual enrollment flags</w:t>
            </w:r>
          </w:p>
        </w:tc>
        <w:tc>
          <w:tcPr>
            <w:tcW w:type="dxa" w:w="2760"/>
          </w:tcPr>
          <w:p>
            <w:r>
              <w:rPr>
                <w:sz w:val="20"/>
                <w:szCs w:val="20"/>
              </w:rPr>
              <w:t xml:space="preserve">Enrollment extract — IsHighSchool / IsDual</w:t>
            </w:r>
          </w:p>
        </w:tc>
      </w:tr>
      <w:tr>
        <w:tc>
          <w:tcPr>
            <w:tcW w:type="dxa" w:w="3400"/>
          </w:tcPr>
          <w:p>
            <w:r>
              <w:rPr>
                <w:sz w:val="20"/>
                <w:szCs w:val="20"/>
              </w:rPr>
              <w:t xml:space="preserve">sgbstdn_levl_code = 'UG' (else Graduate)</w:t>
            </w:r>
          </w:p>
        </w:tc>
        <w:tc>
          <w:tcPr>
            <w:tcW w:type="dxa" w:w="3200"/>
          </w:tcPr>
          <w:p>
            <w:r>
              <w:rPr>
                <w:sz w:val="20"/>
                <w:szCs w:val="20"/>
              </w:rPr>
              <w:t xml:space="preserve">Undergraduate vs. Graduate classification</w:t>
            </w:r>
          </w:p>
        </w:tc>
        <w:tc>
          <w:tcPr>
            <w:tcW w:type="dxa" w:w="2760"/>
          </w:tcPr>
          <w:p>
            <w:r>
              <w:rPr>
                <w:sz w:val="20"/>
                <w:szCs w:val="20"/>
              </w:rPr>
              <w:t xml:space="preserve">Both extracts</w:t>
            </w:r>
          </w:p>
        </w:tc>
      </w:tr>
      <w:tr>
        <w:tc>
          <w:tcPr>
            <w:tcW w:type="dxa" w:w="3400"/>
          </w:tcPr>
          <w:p>
            <w:r>
              <w:rPr>
                <w:sz w:val="20"/>
                <w:szCs w:val="20"/>
              </w:rPr>
              <w:t xml:space="preserve">sgbstdn_levl_code = 'DR'</w:t>
            </w:r>
          </w:p>
        </w:tc>
        <w:tc>
          <w:tcPr>
            <w:tcW w:type="dxa" w:w="3200"/>
          </w:tcPr>
          <w:p>
            <w:r>
              <w:rPr>
                <w:sz w:val="20"/>
                <w:szCs w:val="20"/>
              </w:rPr>
              <w:t xml:space="preserve">Doctoral/professional-practice identification</w:t>
            </w:r>
          </w:p>
        </w:tc>
        <w:tc>
          <w:tcPr>
            <w:tcW w:type="dxa" w:w="2760"/>
          </w:tcPr>
          <w:p>
            <w:r>
              <w:rPr>
                <w:sz w:val="20"/>
                <w:szCs w:val="20"/>
              </w:rPr>
              <w:t xml:space="preserve">Instructional-activity extract — DocFTE</w:t>
            </w:r>
          </w:p>
        </w:tc>
      </w:tr>
      <w:tr>
        <w:tc>
          <w:tcPr>
            <w:tcW w:type="dxa" w:w="3400"/>
          </w:tcPr>
          <w:p>
            <w:r>
              <w:rPr>
                <w:sz w:val="20"/>
                <w:szCs w:val="20"/>
              </w:rPr>
              <w:t xml:space="preserve">ft_threshold_ug / ft_threshold_gr (12 / 9)</w:t>
            </w:r>
          </w:p>
        </w:tc>
        <w:tc>
          <w:tcPr>
            <w:tcW w:type="dxa" w:w="3200"/>
          </w:tcPr>
          <w:p>
            <w:r>
              <w:rPr>
                <w:sz w:val="20"/>
                <w:szCs w:val="20"/>
              </w:rPr>
              <w:t xml:space="preserve">Credit-hour thresholds for full-time status</w:t>
            </w:r>
          </w:p>
        </w:tc>
        <w:tc>
          <w:tcPr>
            <w:tcW w:type="dxa" w:w="2760"/>
          </w:tcPr>
          <w:p>
            <w:r>
              <w:rPr>
                <w:sz w:val="20"/>
                <w:szCs w:val="20"/>
              </w:rPr>
              <w:t xml:space="preserve">Enrollment extract — IsFullTime</w:t>
            </w:r>
          </w:p>
        </w:tc>
      </w:tr>
      <w:tr>
        <w:tc>
          <w:tcPr>
            <w:tcW w:type="dxa" w:w="3400"/>
          </w:tcPr>
          <w:p>
            <w:r>
              <w:rPr>
                <w:sz w:val="20"/>
                <w:szCs w:val="20"/>
              </w:rPr>
              <w:t xml:space="preserve">doc_pt_fte_factor (0.34) and the 9-credit doctoral FT threshold</w:t>
            </w:r>
          </w:p>
        </w:tc>
        <w:tc>
          <w:tcPr>
            <w:tcW w:type="dxa" w:w="3200"/>
          </w:tcPr>
          <w:p>
            <w:r>
              <w:rPr>
                <w:sz w:val="20"/>
                <w:szCs w:val="20"/>
              </w:rPr>
              <w:t xml:space="preserve">Part-time FTE conversion factor for doctoral/professional students</w:t>
            </w:r>
          </w:p>
        </w:tc>
        <w:tc>
          <w:tcPr>
            <w:tcW w:type="dxa" w:w="2760"/>
          </w:tcPr>
          <w:p>
            <w:r>
              <w:rPr>
                <w:sz w:val="20"/>
                <w:szCs w:val="20"/>
              </w:rPr>
              <w:t xml:space="preserve">Instructional-activity extract — DocFTE</w:t>
            </w:r>
          </w:p>
        </w:tc>
      </w:tr>
    </w:tbl>
    <w:p>
      <w:pPr>
        <w:shd w:fill="FFF3E0" w:val="clear"/>
        <w:spacing w:after="200" w:before="80"/>
      </w:pPr>
      <w:r>
        <w:rPr>
          <w:b/>
          <w:bCs/>
          <w:color w:val="9C4500"/>
          <w:sz w:val="21"/>
          <w:szCs w:val="21"/>
        </w:rPr>
        <w:t xml:space="preserve">⚠ Two of the generic placeholders conflict with each other: student-type code 'N' is listed for both IsFirstTime and the IsDegreeCertSeeking exclusion list. Whatever CCSU's real first-time code turns out to be, confirm it is not the same code used for non-degree-seeking students, or the two flags will contradict each other for the same student.</w:t>
      </w:r>
    </w:p>
    <w:p>
      <w:pPr>
        <w:pStyle w:val="Heading2"/>
        <w:spacing w:after="120" w:before="240"/>
      </w:pPr>
      <w:r>
        <w:t xml:space="preserve">4.1 Building the DataBlocks in Argos</w:t>
      </w:r>
    </w:p>
    <w:p>
      <w:pPr>
        <w:pStyle w:val="ListParagraph"/>
        <w:numPr>
          <w:ilvl w:val="0"/>
          <w:numId w:val="2"/>
        </w:numPr>
        <w:spacing w:after="80"/>
      </w:pPr>
      <w:r>
        <w:t xml:space="preserve">In the Argos client, confirm the Data Source connection points at CCSU's Banner production (or reporting) database.</w:t>
      </w:r>
    </w:p>
    <w:p>
      <w:pPr>
        <w:pStyle w:val="ListParagraph"/>
        <w:numPr>
          <w:ilvl w:val="0"/>
          <w:numId w:val="2"/>
        </w:numPr>
        <w:spacing w:after="80"/>
      </w:pPr>
      <w:r>
        <w:t xml:space="preserve">Right-click the target folder → New → DataBlock, select that data source, and choose Direct SQL (not the drag-and-drop query builder — this query is too complex for it).</w:t>
      </w:r>
    </w:p>
    <w:p>
      <w:pPr>
        <w:pStyle w:val="ListParagraph"/>
        <w:numPr>
          <w:ilvl w:val="0"/>
          <w:numId w:val="2"/>
        </w:numPr>
        <w:spacing w:after="80"/>
      </w:pPr>
      <w:r>
        <w:t xml:space="preserve">Paste in the updated contents of 03_e1d_enrollment_ARGOS.sql (with all CUSTOMIZE values filled in).</w:t>
      </w:r>
    </w:p>
    <w:p>
      <w:pPr>
        <w:pStyle w:val="ListParagraph"/>
        <w:numPr>
          <w:ilvl w:val="0"/>
          <w:numId w:val="2"/>
        </w:numPr>
        <w:spacing w:after="80"/>
      </w:pPr>
      <w:r>
        <w:t xml:space="preserve">Save. Argos will detect the bind variables (:unitid, :period_start, :period_end, :ft_threshold_ug, :ft_threshold_gr) and prompt for their data types and default values — set NUMBER for the numeric ones and DATE for the two period variables, and mark them Hidden once defaults are confirmed correct.</w:t>
      </w:r>
    </w:p>
    <w:p>
      <w:pPr>
        <w:pStyle w:val="ListParagraph"/>
        <w:numPr>
          <w:ilvl w:val="0"/>
          <w:numId w:val="2"/>
        </w:numPr>
        <w:spacing w:after="80"/>
      </w:pPr>
      <w:r>
        <w:t xml:space="preserve">Repeat for 04_e1d_instructional_activity_ARGOS.sql, using the same :unitid, :period_start, and :period_end values as the enrollment DataBlock.</w:t>
      </w:r>
    </w:p>
    <w:p>
      <w:pPr>
        <w:pStyle w:val="Heading2"/>
        <w:spacing w:after="120" w:before="240"/>
      </w:pPr>
      <w:r>
        <w:t xml:space="preserve">4.2 Building the Extracts</w:t>
      </w:r>
    </w:p>
    <w:p>
      <w:pPr>
        <w:pStyle w:val="ListParagraph"/>
        <w:numPr>
          <w:ilvl w:val="0"/>
          <w:numId w:val="4"/>
        </w:numPr>
        <w:spacing w:after="80"/>
      </w:pPr>
      <w:r>
        <w:t xml:space="preserve">Right-click each DataBlock → New → Extract.</w:t>
      </w:r>
    </w:p>
    <w:p>
      <w:pPr>
        <w:pStyle w:val="ListParagraph"/>
        <w:numPr>
          <w:ilvl w:val="0"/>
          <w:numId w:val="4"/>
        </w:numPr>
        <w:spacing w:after="80"/>
      </w:pPr>
      <w:r>
        <w:t xml:space="preserve">Add all fields from the DataBlock, set the output format to CSV with headers included.</w:t>
      </w:r>
    </w:p>
    <w:p>
      <w:pPr>
        <w:pStyle w:val="ListParagraph"/>
        <w:numPr>
          <w:ilvl w:val="0"/>
          <w:numId w:val="4"/>
        </w:numPr>
        <w:spacing w:after="80"/>
      </w:pPr>
      <w:r>
        <w:t xml:space="preserve">Name the outputs clearly, e.g. e1d_enrollment.csv and e1d_instructional_activity.csv.</w:t>
      </w:r>
    </w:p>
    <w:p>
      <w:pPr>
        <w:pStyle w:val="ListParagraph"/>
        <w:numPr>
          <w:ilvl w:val="0"/>
          <w:numId w:val="4"/>
        </w:numPr>
        <w:spacing w:after="80"/>
      </w:pPr>
      <w:r>
        <w:t xml:space="preserve">Run each Extract manually the first several times rather than scheduling it, until the QC checks in Section 5 are complete.</w:t>
      </w:r>
    </w:p>
    <w:p>
      <w:pPr>
        <w:pStyle w:val="Heading1"/>
        <w:spacing w:after="160" w:before="320"/>
      </w:pPr>
      <w:r>
        <w:t xml:space="preserve">5. Quality Control: Checks to Run With Real Data</w:t>
      </w:r>
    </w:p>
    <w:p>
      <w:pPr>
        <w:spacing w:after="160"/>
      </w:pPr>
      <w:r>
        <w:t xml:space="preserve">This is the section that matters most once real access exists. Everything up to this point can be prepared in advance, but none of it can be verified as correct until it runs against CCSU's actual data — so treat this as a required checklist, not an optional review.</w:t>
      </w:r>
    </w:p>
    <w:p>
      <w:pPr>
        <w:pStyle w:val="Heading2"/>
        <w:spacing w:after="120" w:before="240"/>
      </w:pPr>
      <w:r>
        <w:t xml:space="preserve">5.1 Data completeness checks</w:t>
      </w:r>
    </w:p>
    <w:p>
      <w:pPr>
        <w:pStyle w:val="ListParagraph"/>
        <w:numPr>
          <w:ilvl w:val="0"/>
          <w:numId w:val="3"/>
        </w:numPr>
        <w:spacing w:after="80"/>
      </w:pPr>
      <w:r>
        <w:t xml:space="preserve">Compare the total row count in e1d_enrollment.csv against a known/expected 12-month unduplicated headcount from the registrar or IR office. A mismatch of more than a few students should be investigated before proceeding.</w:t>
      </w:r>
    </w:p>
    <w:p>
      <w:pPr>
        <w:pStyle w:val="ListParagraph"/>
        <w:numPr>
          <w:ilvl w:val="0"/>
          <w:numId w:val="3"/>
        </w:numPr>
        <w:spacing w:after="80"/>
      </w:pPr>
      <w:r>
        <w:t xml:space="preserve">Confirm every term you expect to fall inside the reporting window actually appears in the relevant_terms result — check this by temporarily selecting from STVTERM directly and comparing against the registrar's academic calendar, especially around how CCSU codes summer sessions (some schools split summer into multiple sub-terms, which changes the term-overlap logic).</w:t>
      </w:r>
    </w:p>
    <w:p>
      <w:pPr>
        <w:pStyle w:val="ListParagraph"/>
        <w:numPr>
          <w:ilvl w:val="0"/>
          <w:numId w:val="3"/>
        </w:numPr>
        <w:spacing w:after="80"/>
      </w:pPr>
      <w:r>
        <w:t xml:space="preserve">Spot-check that students who registered but later completely withdrew from all courses in a term are excluded (or included) consistently with how CCSU's IR office wants withdrawals handled for IPEDS — this depends entirely on which STVRSTS codes were placed in the “still enrolled” filter in Step 2.</w:t>
      </w:r>
    </w:p>
    <w:p>
      <w:pPr>
        <w:pStyle w:val="ListParagraph"/>
        <w:numPr>
          <w:ilvl w:val="0"/>
          <w:numId w:val="3"/>
        </w:numPr>
        <w:spacing w:after="80"/>
      </w:pPr>
      <w:r>
        <w:t xml:space="preserve">Check for duplicate StudentId values in the output. Banner identity merges (two PIDMs later combined into one person) can occasionally produce double-counted students if not handled — ask IR/registration staff whether CCSU has a known list of merged PIDMs to exclude or collapse.</w:t>
      </w:r>
    </w:p>
    <w:p>
      <w:pPr>
        <w:pStyle w:val="Heading2"/>
        <w:spacing w:after="120" w:before="240"/>
      </w:pPr>
      <w:r>
        <w:t xml:space="preserve">5.2 Business-logic validation</w:t>
      </w:r>
    </w:p>
    <w:p>
      <w:pPr>
        <w:pStyle w:val="ListParagraph"/>
        <w:numPr>
          <w:ilvl w:val="0"/>
          <w:numId w:val="3"/>
        </w:numPr>
        <w:spacing w:after="80"/>
      </w:pPr>
      <w:r>
        <w:t xml:space="preserve">Pick 5–10 real students you (or IR staff) already know the correct classification for — a known first-time freshman, a known transfer student, a known part-time graduate student, a known dual-enrollment high schooler — and manually trace each one through Banner's INB screens (SGASTDN, SFAREGS, SPAIDEN) to confirm the extract's computed flags match reality.</w:t>
      </w:r>
    </w:p>
    <w:p>
      <w:pPr>
        <w:pStyle w:val="ListParagraph"/>
        <w:numPr>
          <w:ilvl w:val="0"/>
          <w:numId w:val="3"/>
        </w:numPr>
        <w:spacing w:after="80"/>
      </w:pPr>
      <w:r>
        <w:t xml:space="preserve">Verify the full-time/part-time credit-hour thresholds used in the script (12 for undergraduate, 9 for graduate, by default) match CCSU's actual published definition, which may differ or may vary by program.</w:t>
      </w:r>
    </w:p>
    <w:p>
      <w:pPr>
        <w:pStyle w:val="ListParagraph"/>
        <w:numPr>
          <w:ilvl w:val="0"/>
          <w:numId w:val="3"/>
        </w:numPr>
        <w:spacing w:after="80"/>
      </w:pPr>
      <w:r>
        <w:t xml:space="preserve">Confirm which GTVINSM (instructional method) code(s) CCSU actually uses for fully online/distance sections — some institutions use more than one code (e.g., separate codes for fully online vs. hybrid), which would need to be reflected in the DistanceEdAll / DistanceEdSome logic, not just a single 'DE' code.</w:t>
      </w:r>
    </w:p>
    <w:p>
      <w:pPr>
        <w:pStyle w:val="ListParagraph"/>
        <w:numPr>
          <w:ilvl w:val="0"/>
          <w:numId w:val="3"/>
        </w:numPr>
        <w:spacing w:after="80"/>
      </w:pPr>
      <w:r>
        <w:t xml:space="preserve">Confirm with IR whether CCSU currently has any doctoral or professional-practice-level programs. If yes, verify the SGBSTDN level code used to identify them and sanity-check the resulting DocFTE figure against IR's own doctoral enrollment count. If no such programs exist, confirm DocFTE should simply report as zero rather than being silently miscalculated.</w:t>
      </w:r>
    </w:p>
    <w:p>
      <w:pPr>
        <w:pStyle w:val="ListParagraph"/>
        <w:numPr>
          <w:ilvl w:val="0"/>
          <w:numId w:val="3"/>
        </w:numPr>
        <w:spacing w:after="80"/>
      </w:pPr>
      <w:r>
        <w:t xml:space="preserve">Confirm the high-school and dual-enrollment student-type codes actually used at CCSU, and check whether CCSU's IR office defines those students as degree/certificate-seeking or not — the current placeholder logic does not automatically exclude them from IsDegreeCertSeeking, which may not match CCSU's actual policy.</w:t>
      </w:r>
    </w:p>
    <w:p>
      <w:pPr>
        <w:pStyle w:val="Heading2"/>
        <w:spacing w:after="120" w:before="240"/>
      </w:pPr>
      <w:r>
        <w:t xml:space="preserve">5.3 Historical / trend comparison</w:t>
      </w:r>
    </w:p>
    <w:p>
      <w:pPr>
        <w:pStyle w:val="ListParagraph"/>
        <w:numPr>
          <w:ilvl w:val="0"/>
          <w:numId w:val="3"/>
        </w:numPr>
        <w:spacing w:after="80"/>
      </w:pPr>
      <w:r>
        <w:t xml:space="preserve">Compare this draft output's aggregate figures (total headcount by level, full-time vs. part-time splits, race/ethnicity breakdown, credit-hour totals) against last year's actual IPEDS E1D submission or Data Feedback Report. Large unexplained swings are the same kind of thing IPEDS's own edit checks look for, and are worth resolving before submission.</w:t>
      </w:r>
    </w:p>
    <w:p>
      <w:pPr>
        <w:pStyle w:val="ListParagraph"/>
        <w:numPr>
          <w:ilvl w:val="0"/>
          <w:numId w:val="3"/>
        </w:numPr>
        <w:spacing w:after="80"/>
      </w:pPr>
      <w:r>
        <w:t xml:space="preserve">If CCSU's headcount, credit hours, or FTE move sharply from the prior year, be ready to produce a plain-language explanation — IPEDS's online system will prompt for one if the change trips its built-in range checks.</w:t>
      </w:r>
    </w:p>
    <w:p>
      <w:pPr>
        <w:pStyle w:val="Heading2"/>
        <w:spacing w:after="120" w:before="240"/>
      </w:pPr>
      <w:r>
        <w:t xml:space="preserve">5.4 Edge cases worth testing deliberately</w:t>
      </w:r>
    </w:p>
    <w:p>
      <w:pPr>
        <w:pStyle w:val="ListParagraph"/>
        <w:numPr>
          <w:ilvl w:val="0"/>
          <w:numId w:val="3"/>
        </w:numPr>
        <w:spacing w:after="80"/>
      </w:pPr>
      <w:r>
        <w:t xml:space="preserve">A student who changed level mid-year (e.g., completed an undergraduate degree and began a graduate program within the same 12-month window) — confirm which level the extract assigns them and whether that matches how CCSU wants such students reported.</w:t>
      </w:r>
    </w:p>
    <w:p>
      <w:pPr>
        <w:pStyle w:val="ListParagraph"/>
        <w:numPr>
          <w:ilvl w:val="0"/>
          <w:numId w:val="3"/>
        </w:numPr>
        <w:spacing w:after="80"/>
      </w:pPr>
      <w:r>
        <w:t xml:space="preserve">A student enrolled only in the summer term at the very edge of the reporting window — confirm the term date logic includes or excludes them the way CCSU intends.</w:t>
      </w:r>
    </w:p>
    <w:p>
      <w:pPr>
        <w:pStyle w:val="ListParagraph"/>
        <w:numPr>
          <w:ilvl w:val="0"/>
          <w:numId w:val="3"/>
        </w:numPr>
        <w:spacing w:after="80"/>
      </w:pPr>
      <w:r>
        <w:t xml:space="preserve">A student with no race/ethnicity data on file at all — confirm they correctly fall into RaceEthnicity = 9 (unknown) rather than silently being dropped or miscategorized.</w:t>
      </w:r>
    </w:p>
    <w:p>
      <w:pPr>
        <w:pStyle w:val="ListParagraph"/>
        <w:numPr>
          <w:ilvl w:val="0"/>
          <w:numId w:val="3"/>
        </w:numPr>
        <w:spacing w:after="80"/>
      </w:pPr>
      <w:r>
        <w:t xml:space="preserve">A student registered in a distance-education section for only part of their coursework — confirm DistanceEdSome (not DistanceEdAll) is the one that gets set.</w:t>
      </w:r>
    </w:p>
    <w:p>
      <w:pPr>
        <w:pStyle w:val="ListParagraph"/>
        <w:numPr>
          <w:ilvl w:val="0"/>
          <w:numId w:val="3"/>
        </w:numPr>
        <w:spacing w:after="80"/>
      </w:pPr>
      <w:r>
        <w:t xml:space="preserve">Any known study-abroad students during the reporting period — IPEDS has specific guidance on how to count them, which is worth confirming with IR separately, since the current script does not have special handling for this case.</w:t>
      </w:r>
    </w:p>
    <w:p>
      <w:pPr>
        <w:pStyle w:val="Heading2"/>
        <w:spacing w:after="120" w:before="240"/>
      </w:pPr>
      <w:r>
        <w:t xml:space="preserve">5.5 Argos-specific technical checks</w:t>
      </w:r>
    </w:p>
    <w:p>
      <w:pPr>
        <w:pStyle w:val="ListParagraph"/>
        <w:numPr>
          <w:ilvl w:val="0"/>
          <w:numId w:val="3"/>
        </w:numPr>
        <w:spacing w:after="80"/>
      </w:pPr>
      <w:r>
        <w:t xml:space="preserve">Confirm the Argos Data Source used for these DataBlocks is genuinely pointed at production Banner data (or an appropriately current reporting replica), not a training or test instance with stale data.</w:t>
      </w:r>
    </w:p>
    <w:p>
      <w:pPr>
        <w:pStyle w:val="ListParagraph"/>
        <w:numPr>
          <w:ilvl w:val="0"/>
          <w:numId w:val="3"/>
        </w:numPr>
        <w:spacing w:after="80"/>
      </w:pPr>
      <w:r>
        <w:t xml:space="preserve">Open the generated CSVs in a plain text editor (not just Excel) at least once to confirm there are no unexpected encoding issues, stray characters, or truncated fields — Excel can silently reformat things like leading zeros in student IDs.</w:t>
      </w:r>
    </w:p>
    <w:p>
      <w:pPr>
        <w:pStyle w:val="ListParagraph"/>
        <w:numPr>
          <w:ilvl w:val="0"/>
          <w:numId w:val="3"/>
        </w:numPr>
        <w:spacing w:after="80"/>
      </w:pPr>
      <w:r>
        <w:t xml:space="preserve">If scheduling the Extracts to run automatically in future years, confirm the scheduled job runs under a service account with durable read access, and that the :period_start / :period_end parameters are updated (or set to compute dynamically) each year rather than silently reusing last year's dates.</w:t>
      </w:r>
    </w:p>
    <w:p>
      <w:pPr>
        <w:pStyle w:val="ListParagraph"/>
        <w:numPr>
          <w:ilvl w:val="0"/>
          <w:numId w:val="3"/>
        </w:numPr>
        <w:spacing w:after="80"/>
      </w:pPr>
      <w:r>
        <w:t xml:space="preserve">Re-run 00_code_discovery.sql periodically (e.g., once a year before this survey cycle) — validation-table codes can be added, retired, or redefined over time, and a code that was unused last year may be in active use this year.</w:t>
      </w:r>
    </w:p>
    <w:p>
      <w:pPr>
        <w:pStyle w:val="Heading2"/>
        <w:spacing w:after="120" w:before="240"/>
      </w:pPr>
      <w:r>
        <w:t xml:space="preserve">5.6 Before final submission</w:t>
      </w:r>
    </w:p>
    <w:p>
      <w:pPr>
        <w:pStyle w:val="ListParagraph"/>
        <w:numPr>
          <w:ilvl w:val="0"/>
          <w:numId w:val="5"/>
        </w:numPr>
        <w:spacing w:after="80"/>
      </w:pPr>
      <w:r>
        <w:t xml:space="preserve">Get explicit sign-off from the IR office (or whoever owns IPEDS reporting at CCSU) on both draft CSV files before running them through the R package.</w:t>
      </w:r>
    </w:p>
    <w:p>
      <w:pPr>
        <w:pStyle w:val="ListParagraph"/>
        <w:numPr>
          <w:ilvl w:val="0"/>
          <w:numId w:val="5"/>
        </w:numPr>
        <w:spacing w:after="80"/>
      </w:pPr>
      <w:r>
        <w:t xml:space="preserve">Run the R package (see the companion document on the R workflow) to produce the final upload-ready file.</w:t>
      </w:r>
    </w:p>
    <w:p>
      <w:pPr>
        <w:pStyle w:val="ListParagraph"/>
        <w:numPr>
          <w:ilvl w:val="0"/>
          <w:numId w:val="5"/>
        </w:numPr>
        <w:spacing w:after="80"/>
      </w:pPr>
      <w:r>
        <w:t xml:space="preserve">Upload to the IPEDS Data Collection System and review every edit check or warning IPEDS raises — do not dismiss a warning without understanding why it fired.</w:t>
      </w:r>
    </w:p>
    <w:p>
      <w:pPr>
        <w:pStyle w:val="ListParagraph"/>
        <w:numPr>
          <w:ilvl w:val="0"/>
          <w:numId w:val="5"/>
        </w:numPr>
        <w:spacing w:after="80"/>
      </w:pPr>
      <w:r>
        <w:t xml:space="preserve">Keep the draft CSVs, the filled-in SQL scripts, and notes on every judgment call made (thresholds, code mappings, edge-case decisions) on file — next year's preparer (possibly yourself) will need to know what was decided and why.</w:t>
      </w:r>
    </w:p>
    <w:p>
      <w:pPr>
        <w:pStyle w:val="Heading1"/>
        <w:spacing w:after="160" w:before="320"/>
      </w:pPr>
      <w:r>
        <w:t xml:space="preserve">6. Summary</w:t>
      </w:r>
    </w:p>
    <w:p>
      <w:pPr>
        <w:spacing w:after="160"/>
      </w:pPr>
      <w:r>
        <w:t xml:space="preserve">The SQL and Argos setup described here are ready to configure as soon as Banner/Argos access exists, but they are not validated against CCSU's real data and should not be treated as production-ready until every item in Section 5 has been worked through with real students, real IR office input, and a real comparison against CCSU's prior IPEDS submissions. The placeholders in the code are deliberately visible and easy to search for (“&gt;&gt;&gt; CUSTOMIZE”) specifically so none of them can be accidentally left unreviewed.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abstractNum w:abstractNumId="4"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abstractNum w:abstractNumId="5"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abstractNum w:abstractNumId="6"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abstractNum w:abstractNumId="7"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abstractNum w:abstractNumId="8"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2026-08-27T20:15:45.491Z</dcterms:created>
  <dcterms:modified xsi:type="dcterms:W3CDTF">2026-08-27T20:15:45.505Z</dcterms:modified>
</cp:coreProperties>
</file>

<file path=docProps/custom.xml><?xml version="1.0" encoding="utf-8"?>
<Properties xmlns="http://schemas.openxmlformats.org/officeDocument/2006/custom-properties" xmlns:vt="http://schemas.openxmlformats.org/officeDocument/2006/docPropsVTypes"/>
</file>