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b/>
          <w:bCs/>
          <w:color w:val="C00000"/>
          <w:sz w:val="36"/>
          <w:szCs w:val="36"/>
        </w:rPr>
        <w:t xml:space="preserve">INFORME TÉCNICO-COMERCIAL Y PLAN DE VIABILIDAD ESTRATÉGICA</w:t>
      </w:r>
    </w:p>
    <w:p>
      <w:pPr>
        <w:spacing w:after="360"/>
        <w:jc w:val="center"/>
      </w:pPr>
      <w:r>
        <w:rPr>
          <w:b/>
          <w:bCs/>
          <w:color w:val="0F172A"/>
          <w:sz w:val="26"/>
          <w:szCs w:val="26"/>
        </w:rPr>
        <w:t xml:space="preserve">Plataforma Integral de Cotización, Inteligencia Comercial y Sincronización Automatizada con Salesforce e Intranet de Facturación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70"/>
      </w:tblGrid>
      <w:tr>
        <w:tc>
          <w:tcPr>
            <w:tcW w:type="pct" w:w="1250"/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Destinatarios:</w:t>
            </w:r>
          </w:p>
        </w:tc>
        <w:tc>
          <w:tcPr>
            <w:tcW w:type="pct" w:w="3750"/>
          </w:tcPr>
          <w:p>
            <w:r>
              <w:rPr>
                <w:sz w:val="20"/>
                <w:szCs w:val="20"/>
              </w:rPr>
              <w:t xml:space="preserve">Dirección General, Gerencia de Administración y Finanzas, Jefatura de División DGL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Líder / Autor:</w:t>
            </w:r>
          </w:p>
        </w:tc>
        <w:tc>
          <w:p>
            <w:r>
              <w:rPr>
                <w:sz w:val="20"/>
                <w:szCs w:val="20"/>
              </w:rPr>
              <w:t xml:space="preserve">Diego Román A. / Equipo de Desarrollo e Innovación Comercial DGL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Fecha &amp; Versión:</w:t>
            </w:r>
          </w:p>
        </w:tc>
        <w:tc>
          <w:p>
            <w:r>
              <w:rPr>
                <w:sz w:val="20"/>
                <w:szCs w:val="20"/>
              </w:rPr>
              <w:t xml:space="preserve">Octubre de 2026 — Versión 1.0 (Viabilidad Operativa y Roadmap V2)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Estado del Sistema:</w:t>
            </w:r>
          </w:p>
        </w:tc>
        <w:tc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V1 Operativa en Producción (Cloudflare Workers + Supabase + Salesforce IDIEM)</w:t>
            </w:r>
          </w:p>
        </w:tc>
      </w:tr>
    </w:tbl>
    <w:p>
      <w:pPr>
        <w:spacing w:after="240"/>
      </w:pPr>
    </w:p>
    <w:p>
      <w:pPr>
        <w:pStyle w:val="Heading1"/>
        <w:spacing w:after="120" w:before="240"/>
      </w:pPr>
      <w:r>
        <w:rPr>
          <w:b/>
          <w:bCs/>
          <w:color w:val="C00000"/>
          <w:sz w:val="28"/>
          <w:szCs w:val="28"/>
        </w:rPr>
        <w:t xml:space="preserve">1. Resumen Ejecutivo</w:t>
      </w:r>
    </w:p>
    <w:p>
      <w:r>
        <w:t xml:space="preserve">El presente informe expone la viabilidad técnica, operativa y financiera de la Plataforma Integral de Cotización y Gestión de Ventas DGL, concebida para modernizar y blindar el ciclo comercial de la División de Geotecnia Laboratorio del IDIEM.</w:t>
      </w:r>
    </w:p>
    <w:p>
      <w:r>
        <w:t xml:space="preserve">Históricamente, la operación comercial ha enfrentado tres fricciones que generan costos ocultos, retrasos e inconsistencias: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Dispersión y demora en la emisión de ofertas: </w:t>
      </w:r>
      <w:r>
        <w:t xml:space="preserve">Confección manual de cotizaciones en planillas desconectadas, con riesgo de tarifas obsoletas y errores de cálculo.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Carga duplicada y fricción en Salesforce: </w:t>
      </w:r>
      <w:r>
        <w:t xml:space="preserve">Los ejecutivos debían redigitar manualmente la Oportunidad, la Cotización oficial (Quote), los servicios del Pricebook, subir el PDF y tipear una a una las cuotas de facturación.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Desfase estructural entre Salesforce y la Intranet de Facturación (Descuadre del EERR): </w:t>
      </w:r>
      <w:r>
        <w:t xml:space="preserve">La Intranet factura en base a la ejecución real de ensayos y emite el Estado de Resultados (EERR) contable. Sin embargo, las cuotas en Salesforce son manuales y estáticas. Al no existir integración, Salesforce queda desfasado y el EERR contable no coincide con lo reportado comercialmente.</w:t>
      </w:r>
    </w:p>
    <w:p>
      <w:r>
        <w:t xml:space="preserve">La plataforma desarrollada ya resuelve de raíz los dos primeros problemas en su Versión 1 (V1), reduciendo los tiempos de emisión en un 80% y sincronizando con Salesforce en 1 solo clic. Este documento propone su oficialización y presenta la Versión 2 (V2), diseñada para conectar la Intranet de Facturación y lograr la cuadratura automática del Estado de Resultados en tiempo real.</w:t>
      </w:r>
    </w:p>
    <w:p>
      <w:pPr>
        <w:pStyle w:val="Heading1"/>
        <w:spacing w:after="120" w:before="280"/>
      </w:pPr>
      <w:r>
        <w:rPr>
          <w:b/>
          <w:bCs/>
          <w:color w:val="C00000"/>
          <w:sz w:val="28"/>
          <w:szCs w:val="28"/>
        </w:rPr>
        <w:t xml:space="preserve">2. Diagnóstico de la Problemática Actual: La Brecha del EERR</w:t>
      </w:r>
    </w:p>
    <w:p>
      <w:r>
        <w:t xml:space="preserve">Actualmente la división opera con dos islas de información desvinculadas: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Salesforce IDIEM (Visión Comercial / Forecast): </w:t>
      </w:r>
      <w:r>
        <w:t xml:space="preserve">Almacena las Oportunidades "Cerradas ganadas" y sus cuotas de facturación teóricas (Cuotas de Facturación).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Intranet de Facturación IDIEM (Visión Contable / Facturación Real): </w:t>
      </w:r>
      <w:r>
        <w:t xml:space="preserve">Emite los documentos tributarios (facturas) a medida que los ensayos concluyen o se aprueban estados de pago. Esta base alimenta el EERR mensual.</w:t>
      </w:r>
    </w:p>
    <w:p>
      <w:r>
        <w:rPr>
          <w:b/>
          <w:bCs/>
          <w:color w:val="0F172A"/>
        </w:rPr>
        <w:t xml:space="preserve">¿Por qué no cuadran actualmente? </w:t>
      </w:r>
      <w:r>
        <w:t xml:space="preserve">Cuando un cliente posterga la entrega de muestras, suspende una faena o solicita facturar montos parciales distintos a los previstos, la Intranet emite la factura con los datos reales de ese mes. No obstante, nadie entra a Salesforce a reprogramar las cuotas comprometidas hace 3 o 6 meses. La consecuencia es que a fin de mes el Estado de Resultados real y el pipeline comercial de Salesforce muestran desviaciones sistemáticas.</w:t>
      </w:r>
    </w:p>
    <w:p>
      <w:r>
        <w:rPr>
          <w:b/>
          <w:bCs/>
          <w:color w:val="C00000"/>
        </w:rPr>
        <w:t xml:space="preserve">Hallazgo Crítico en la Auditoría de Salesforce: </w:t>
      </w:r>
      <w:r>
        <w:t xml:space="preserve">Al auditar el modelo de datos de Salesforce en este proyecto se detectó que el objeto de cuotas ya cuenta con campos para conciliación contable (N° de Factura, Fecha Real de Facturación, Monto Real Facturado y Diferencia de Monto). Estos campos están vacíos hoy en día únicamente porque falta un puente automatizado entre la Intranet y Salesforce.</w:t>
      </w:r>
    </w:p>
    <w:p>
      <w:pPr>
        <w:pStyle w:val="Heading1"/>
        <w:spacing w:after="120" w:before="280"/>
      </w:pPr>
      <w:r>
        <w:rPr>
          <w:b/>
          <w:bCs/>
          <w:color w:val="C00000"/>
          <w:sz w:val="28"/>
          <w:szCs w:val="28"/>
        </w:rPr>
        <w:t xml:space="preserve">3. Capacidades y Ventajas Actuales de la Plataforma (V1 Operativa)</w:t>
      </w:r>
    </w:p>
    <w:p>
      <w:r>
        <w:t xml:space="preserve">La plataforma ya se encuentra completamente funcional, probada con la API de producción de Salesforce IDIEM y desplegada en la nube de alta velocidad de Cloudflare Workers: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Tarifario Maestro Oficial Blindado: </w:t>
      </w:r>
      <w:r>
        <w:t xml:space="preserve">Gestión centralizada de precios en UF para los centros de costo 2340 (UEB), 1817 (UGB), 2339 (UER), 2341 (UGE) y 3340 (USM), con control de acceso por roles (superadmin, admin, comercial).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Inteligencia Artificial Técnica Integrada: </w:t>
      </w:r>
      <w:r>
        <w:t xml:space="preserve">Asistente Gemini con arquitectura RAG conectado a la biblioteca de normas técnicas (NCh, ASTM, ISRM) para analizar solicitudes complejas y sugerir ensayos pertinentes.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Generación Documental Homologada: </w:t>
      </w:r>
      <w:r>
        <w:t xml:space="preserve">Exportación instantánea en PDF oficial bajo la norma de calidad DGL-FA-193 V3 con membrete corporativo, firmas digitales e indicadores UF/CLP, además de planillas Excel editables.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Sincronización Total con Salesforce en 1 Clic: </w:t>
      </w:r>
      <w:r>
        <w:t xml:space="preserve">Búsqueda de Cuentas por RUT chileno, generación de Oportunidad, Cotización oficial (Quote), asociación de Pricebook Standard IDIEM, adjunto automático del PDF y asignación del correlativo PR.DGL.CCCC.2026.XXXX.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Módulo de Cierre Comercial y Cuotas Flexibles: </w:t>
      </w:r>
      <w:r>
        <w:t xml:space="preserve">Permite ajustar el monto final de cierre (negociación comercial con descuento o alza) y proyectar de 1 a 120 cuotas mensuales con balanceo automático al 100%, o registrar motivos estandarizados de pérdida.</w:t>
      </w:r>
    </w:p>
    <w:p>
      <w:pPr>
        <w:pStyle w:val="Heading1"/>
        <w:spacing w:after="120" w:before="280"/>
      </w:pPr>
      <w:r>
        <w:rPr>
          <w:b/>
          <w:bCs/>
          <w:color w:val="C00000"/>
          <w:sz w:val="28"/>
          <w:szCs w:val="28"/>
        </w:rPr>
        <w:t xml:space="preserve">4. Potencialidad y Roadmap de Evolución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Corto Plazo (0 - 3 meses): </w:t>
      </w:r>
      <w:r>
        <w:t xml:space="preserve">Oficialización en DGL, reemplazo total de archivos Excel manuales, unificación del correlativo comercial y capacitación del equipo comercial.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Mediano Plazo (3 - 6 meses) — Fase V2: </w:t>
      </w:r>
      <w:r>
        <w:t xml:space="preserve">Conexión con la Intranet de Facturación mediante API/Webhook para cuadratura automática del Estado de Resultados (EERR) y alertas de cuotas vencidas sin facturar.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Largo Plazo (6 - 12 meses): </w:t>
      </w:r>
      <w:r>
        <w:t xml:space="preserve">Escalamiento a otras divisiones de IDIEM (Materiales, Metalurgia, Calidad), analítica predictiva de demanda y balanceo de carga en laboratorio.</w:t>
      </w:r>
    </w:p>
    <w:p>
      <w:pPr>
        <w:pStyle w:val="Heading1"/>
        <w:spacing w:after="120" w:before="280"/>
      </w:pPr>
      <w:r>
        <w:rPr>
          <w:b/>
          <w:bCs/>
          <w:color w:val="C00000"/>
          <w:sz w:val="28"/>
          <w:szCs w:val="28"/>
        </w:rPr>
        <w:t xml:space="preserve">5. Propuesta V2: Solución al Descuadre entre Intranet, Salesforce y EERR</w:t>
      </w:r>
    </w:p>
    <w:p>
      <w:r>
        <w:t xml:space="preserve">La versión 2 propone un flujo automatizado de circuito cerrado donde la Intranet de Facturación y Salesforce conversan mediante la plataforma: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3610"/>
      </w:tblGrid>
      <w:tr>
        <w:tc>
          <w:tcPr>
            <w:tcW w:type="pct" w:w="1000"/>
            <w:shd w:fill="1E293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Hito del Proceso</w:t>
            </w:r>
          </w:p>
        </w:tc>
        <w:tc>
          <w:tcPr>
            <w:tcW w:type="pct" w:w="2000"/>
            <w:shd w:fill="1E293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Proceso Actual (Manual)</w:t>
            </w:r>
          </w:p>
        </w:tc>
        <w:tc>
          <w:tcPr>
            <w:tcW w:type="pct" w:w="2000"/>
            <w:shd w:fill="1E293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Propuesta V2 (Automatizada)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1. Cotización</w:t>
            </w:r>
          </w:p>
        </w:tc>
        <w:tc>
          <w:p>
            <w:r>
              <w:rPr>
                <w:sz w:val="18"/>
                <w:szCs w:val="18"/>
              </w:rPr>
              <w:t xml:space="preserve">Planillas locales desvinculadas, riesgo de tarifas desactualizadas.</w:t>
            </w:r>
          </w:p>
        </w:tc>
        <w:tc>
          <w:p>
            <w:r>
              <w:rPr>
                <w:sz w:val="18"/>
                <w:szCs w:val="18"/>
              </w:rPr>
              <w:t xml:space="preserve">Centralizada en plataforma DGL con tarifas oficiales y asistencia IA.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2. Registro Salesforce</w:t>
            </w:r>
          </w:p>
        </w:tc>
        <w:tc>
          <w:p>
            <w:r>
              <w:rPr>
                <w:sz w:val="18"/>
                <w:szCs w:val="18"/>
              </w:rPr>
              <w:t xml:space="preserve">Manual campo por campo (15 a 25 min por propuesta).</w:t>
            </w:r>
          </w:p>
        </w:tc>
        <w:tc>
          <w:p>
            <w:r>
              <w:rPr>
                <w:sz w:val="18"/>
                <w:szCs w:val="18"/>
              </w:rPr>
              <w:t xml:space="preserve">1 Clic: Oportunidad + Quote + Cuotas + PDF adjunto sincronizados.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3. Facturación Real</w:t>
            </w:r>
          </w:p>
        </w:tc>
        <w:tc>
          <w:p>
            <w:r>
              <w:rPr>
                <w:sz w:val="18"/>
                <w:szCs w:val="18"/>
              </w:rPr>
              <w:t xml:space="preserve">Intranet emite factura, pero el dato no sale de la intranet.</w:t>
            </w:r>
          </w:p>
        </w:tc>
        <w:tc>
          <w:p>
            <w:r>
              <w:rPr>
                <w:sz w:val="18"/>
                <w:szCs w:val="18"/>
              </w:rPr>
              <w:t xml:space="preserve">Intranet emite factura y envía Webhook con el código de cotización.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4. Actualización SF</w:t>
            </w:r>
          </w:p>
        </w:tc>
        <w:tc>
          <w:p>
            <w:r>
              <w:rPr>
                <w:sz w:val="18"/>
                <w:szCs w:val="18"/>
              </w:rPr>
              <w:t xml:space="preserve">Omitida o digitada con meses de retraso por saturación operativa.</w:t>
            </w:r>
          </w:p>
        </w:tc>
        <w:tc>
          <w:p>
            <w:r>
              <w:rPr>
                <w:sz w:val="18"/>
                <w:szCs w:val="18"/>
              </w:rPr>
              <w:t xml:space="preserve">Automática: Completa N° Factura, Fecha real y Monto real en Salesforce.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5. Impacto en EERR</w:t>
            </w:r>
          </w:p>
        </w:tc>
        <w:tc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Descuadre continuo entre el forecast de SF y la contabilidad real.</w:t>
            </w:r>
          </w:p>
        </w:tc>
        <w:tc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Cuadratura 100% en tiempo real. Forecast comercial ajustado a la realidad contable.</w:t>
            </w:r>
          </w:p>
        </w:tc>
      </w:tr>
    </w:tbl>
    <w:p>
      <w:pPr>
        <w:spacing w:after="240"/>
      </w:pPr>
    </w:p>
    <w:p>
      <w:pPr>
        <w:pStyle w:val="Heading1"/>
        <w:spacing w:after="120" w:before="280"/>
      </w:pPr>
      <w:r>
        <w:rPr>
          <w:b/>
          <w:bCs/>
          <w:color w:val="C00000"/>
          <w:sz w:val="28"/>
          <w:szCs w:val="28"/>
        </w:rPr>
        <w:t xml:space="preserve">6. Requisitos Técnicos, Administrativos, Equipos y Personas</w:t>
      </w:r>
    </w:p>
    <w:p>
      <w:r>
        <w:t xml:space="preserve">Gracias al diseño moderno "Cloud-Native" de la plataforma, los costos de infraestructura y requerimientos de soporte son extraordinariamente bajos: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Infraestructura &amp; Servidores: </w:t>
      </w:r>
      <w:r>
        <w:t xml:space="preserve">Cero servidores físicos requeridos. La plataforma corre sobre Cloudflare Workers (costo mensual de $0 a nivel de uso actual) y Supabase PostgreSQL ($0 a $25/mes según crecimiento).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Equipo Humano Necesario: </w:t>
      </w:r>
      <w:r>
        <w:t xml:space="preserve">Administrador de producto (Diego Román, dedicación dentro de funciones comerciales habituales) y apoyo puntual de 1 ingeniero de sistemas de TI IDIEM (15 a 20 horas de desarrollo) para habilitar el Webhook de la Intranet.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Capacitación y Adopción: </w:t>
      </w:r>
      <w:r>
        <w:t xml:space="preserve">Una sesión de capacitación de 45 minutos para el equipo comercial de DGL. La interfaz fue diseñada de forma intuitiva, minimizando la curva de aprendizaje.</w:t>
      </w:r>
    </w:p>
    <w:p>
      <w:pPr>
        <w:pStyle w:val="Heading1"/>
        <w:spacing w:after="120" w:before="280"/>
      </w:pPr>
      <w:r>
        <w:rPr>
          <w:b/>
          <w:bCs/>
          <w:color w:val="C00000"/>
          <w:sz w:val="28"/>
          <w:szCs w:val="28"/>
        </w:rPr>
        <w:t xml:space="preserve">7. Análisis de Retorno de Inversión (ROI) y Beneficios Cuantitativos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c>
          <w:tcPr>
            <w:tcW w:type="pct" w:w="2000"/>
            <w:shd w:fill="1E293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Métrica Operativa</w:t>
            </w:r>
          </w:p>
        </w:tc>
        <w:tc>
          <w:tcPr>
            <w:tcW w:type="pct" w:w="1500"/>
            <w:shd w:fill="1E293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Antes (Proceso Manual)</w:t>
            </w:r>
          </w:p>
        </w:tc>
        <w:tc>
          <w:tcPr>
            <w:tcW w:type="pct" w:w="1500"/>
            <w:shd w:fill="1E293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 Plataforma DGL</w:t>
            </w:r>
          </w:p>
        </w:tc>
      </w:tr>
      <w:tr>
        <w:tc>
          <w:tcPr>
            <w:shd w:fill="F8FAFC" w:val="clear"/>
          </w:tcPr>
          <w:p>
            <w:r>
              <w:rPr>
                <w:sz w:val="18"/>
                <w:szCs w:val="18"/>
              </w:rPr>
              <w:t xml:space="preserve">Tiempo por cotización emitida</w:t>
            </w:r>
          </w:p>
        </w:tc>
        <w:tc>
          <w:p>
            <w:r>
              <w:rPr>
                <w:sz w:val="18"/>
                <w:szCs w:val="18"/>
              </w:rPr>
              <w:t xml:space="preserve">35 a 50 minutos</w:t>
            </w:r>
          </w:p>
        </w:tc>
        <w:tc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5 a 8 minutos (Ahorro &gt; 80%)</w:t>
            </w:r>
          </w:p>
        </w:tc>
      </w:tr>
      <w:tr>
        <w:tc>
          <w:tcPr>
            <w:shd w:fill="F8FAFC" w:val="clear"/>
          </w:tcPr>
          <w:p>
            <w:r>
              <w:rPr>
                <w:sz w:val="18"/>
                <w:szCs w:val="18"/>
              </w:rPr>
              <w:t xml:space="preserve">Tiempo de ingreso a Salesforce</w:t>
            </w:r>
          </w:p>
        </w:tc>
        <w:tc>
          <w:p>
            <w:r>
              <w:rPr>
                <w:sz w:val="18"/>
                <w:szCs w:val="18"/>
              </w:rPr>
              <w:t xml:space="preserve">15 a 25 minutos</w:t>
            </w:r>
          </w:p>
        </w:tc>
        <w:tc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10 segundos (1 clic automático)</w:t>
            </w:r>
          </w:p>
        </w:tc>
      </w:tr>
      <w:tr>
        <w:tc>
          <w:tcPr>
            <w:shd w:fill="F8FAFC" w:val="clear"/>
          </w:tcPr>
          <w:p>
            <w:r>
              <w:rPr>
                <w:sz w:val="18"/>
                <w:szCs w:val="18"/>
              </w:rPr>
              <w:t xml:space="preserve">Errores de precios o cálculo</w:t>
            </w:r>
          </w:p>
        </w:tc>
        <w:tc>
          <w:p>
            <w:r>
              <w:rPr>
                <w:sz w:val="18"/>
                <w:szCs w:val="18"/>
              </w:rPr>
              <w:t xml:space="preserve">Frecuentes en Excel local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0% (Tarifario centralizado)</w:t>
            </w:r>
          </w:p>
        </w:tc>
      </w:tr>
      <w:tr>
        <w:tc>
          <w:tcPr>
            <w:shd w:fill="F8FAFC" w:val="clear"/>
          </w:tcPr>
          <w:p>
            <w:r>
              <w:rPr>
                <w:sz w:val="18"/>
                <w:szCs w:val="18"/>
              </w:rPr>
              <w:t xml:space="preserve">Cuadratura EERR vs. Salesforce</w:t>
            </w:r>
          </w:p>
        </w:tc>
        <w:tc>
          <w:p>
            <w:r>
              <w:rPr>
                <w:color w:val="C00000"/>
                <w:sz w:val="18"/>
                <w:szCs w:val="18"/>
              </w:rPr>
              <w:t xml:space="preserve">Descuadrada sistemáticamente</w:t>
            </w:r>
          </w:p>
        </w:tc>
        <w:tc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Cuadrada en tiempo real</w:t>
            </w:r>
          </w:p>
        </w:tc>
      </w:tr>
      <w:tr>
        <w:tc>
          <w:tcPr>
            <w:shd w:fill="F8FAFC" w:val="clear"/>
          </w:tcPr>
          <w:p>
            <w:r>
              <w:rPr>
                <w:sz w:val="18"/>
                <w:szCs w:val="18"/>
              </w:rPr>
              <w:t xml:space="preserve">Ahorro mensual horas-hombre</w:t>
            </w:r>
          </w:p>
        </w:tc>
        <w:tc>
          <w:p>
            <w:r>
              <w:rPr>
                <w:sz w:val="18"/>
                <w:szCs w:val="18"/>
              </w:rPr>
              <w:t xml:space="preserve">0 hrs</w:t>
            </w:r>
          </w:p>
        </w:tc>
        <w:tc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&gt; 45 horas comerciales/mes</w:t>
            </w:r>
          </w:p>
        </w:tc>
      </w:tr>
    </w:tbl>
    <w:p>
      <w:pPr>
        <w:spacing w:after="240"/>
      </w:pPr>
    </w:p>
    <w:p>
      <w:pPr>
        <w:pStyle w:val="Heading1"/>
        <w:spacing w:after="120" w:before="280"/>
      </w:pPr>
      <w:r>
        <w:rPr>
          <w:b/>
          <w:bCs/>
          <w:color w:val="C00000"/>
          <w:sz w:val="28"/>
          <w:szCs w:val="28"/>
        </w:rPr>
        <w:t xml:space="preserve">8. Conclusiones y Recomendaciones para la Dirección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Proyecto Maduro y Operativo: </w:t>
      </w:r>
      <w:r>
        <w:t xml:space="preserve">La plataforma V1 no es un prototipo conceptual; es un sistema en producción con pruebas exitosas en la API de producción de Salesforce IDIEM, demostrando total estabilidad y cumplimiento de estándares corporativos.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Solución Definitiva a la Brecha del EERR: </w:t>
      </w:r>
      <w:r>
        <w:t xml:space="preserve">La arquitectura V2 elimina el histórico problema de conciliación entre la facturación real y las proyecciones de Salesforce, entregando por primera vez a Dirección un Estado de Resultados confiable y consistente.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Pasos a Seguir Recomendados: </w:t>
      </w:r>
      <w:r>
        <w:t xml:space="preserve">1) Formalizar la plataforma como canal exclusivo de cotización en DGL. 2) Autorizar la mesa técnica con el equipo de TI IDIEM para coordinar el Webhook de la Intranet de Facturación.</w:t>
      </w:r>
    </w:p>
    <w:p>
      <w:pPr>
        <w:spacing w:before="3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pct" w:w="2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_____________________________________
</w:t>
            </w:r>
            <w:r>
              <w:rPr>
                <w:b/>
                <w:bCs/>
                <w:sz w:val="20"/>
                <w:szCs w:val="20"/>
              </w:rPr>
              <w:t xml:space="preserve">Diego Román A.
</w:t>
            </w:r>
            <w:r>
              <w:rPr>
                <w:color w:val="64748B"/>
                <w:sz w:val="18"/>
                <w:szCs w:val="18"/>
              </w:rPr>
              <w:t xml:space="preserve">Asesor Comercial &amp; Líder de Proyecto
División Geotecnia Laboratorio (DGL)
IDIEM — Universidad de Chile</w:t>
            </w:r>
          </w:p>
        </w:tc>
        <w:tc>
          <w:tcPr>
            <w:tcW w:type="pct" w:w="2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_____________________________________
</w:t>
            </w:r>
            <w:r>
              <w:rPr>
                <w:b/>
                <w:bCs/>
                <w:sz w:val="20"/>
                <w:szCs w:val="20"/>
              </w:rPr>
              <w:t xml:space="preserve">Dirección General / Jefatura DGL
</w:t>
            </w:r>
            <w:r>
              <w:rPr>
                <w:color w:val="64748B"/>
                <w:sz w:val="18"/>
                <w:szCs w:val="18"/>
              </w:rPr>
              <w:t xml:space="preserve">Aprobación &amp; Patrocinio Institucional
IDIEM — Universidad de Chile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94A3B8"/>
        <w:sz w:val="16"/>
        <w:szCs w:val="16"/>
      </w:rPr>
      <w:t xml:space="preserve">Confidencial — Para revisión de Dirección General y Jefatura DGL</w:t>
    </w:r>
    <w:r>
      <w:rPr>
        <w:color w:val="94A3B8"/>
        <w:sz w:val="16"/>
        <w:szCs w:val="16"/>
      </w:rPr>
      <w:t xml:space="preserve">          Página </w:t>
    </w:r>
    <w:r>
      <w:rPr>
        <w:b/>
        <w:bCs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de </w:t>
    </w:r>
    <w:r>
      <w:rPr>
        <w:b/>
        <w:bCs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4A3B8"/>
        <w:sz w:val="16"/>
        <w:szCs w:val="16"/>
      </w:rPr>
      <w:t xml:space="preserve">IDIEM — División de Geotecnia Laboratorio (DGL) | Propuesta Estratégica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>
      <w:pPr>
        <w:spacing w:after="120"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2026-10-09T18:35:22.410Z</dcterms:created>
  <dcterms:modified xsi:type="dcterms:W3CDTF">2026-10-09T18:35:22.411Z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