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0"/>
        <w:jc w:val="center"/>
      </w:pPr>
      <w:r>
        <w:rPr>
          <w:rFonts w:ascii="Aptos Display" w:hAnsi="Aptos Display"/>
          <w:b/>
          <w:color w:val="10213A"/>
          <w:sz w:val="56"/>
        </w:rPr>
        <w:t>FOUNDER OPERATING SYSTEM</w:t>
      </w:r>
    </w:p>
    <w:p>
      <w:pPr>
        <w:spacing w:before="480"/>
        <w:jc w:val="center"/>
      </w:pPr>
      <w:r>
        <w:rPr>
          <w:rFonts w:ascii="Aptos Display" w:hAnsi="Aptos Display"/>
          <w:b/>
          <w:color w:val="1A365D"/>
          <w:sz w:val="42"/>
        </w:rPr>
        <w:t>Phase 4 - Scaled Marketing and Communications Operations</w:t>
      </w:r>
    </w:p>
    <w:p>
      <w:pPr>
        <w:spacing w:before="240"/>
        <w:jc w:val="center"/>
      </w:pPr>
      <w:r>
        <w:rPr>
          <w:rFonts w:ascii="Aptos" w:hAnsi="Aptos"/>
          <w:color w:val="5B6573"/>
          <w:sz w:val="26"/>
        </w:rPr>
        <w:t>Complete Technical Specification and Implementation Plan</w:t>
      </w:r>
    </w:p>
    <w:p>
      <w:pPr>
        <w:spacing w:before="2200"/>
        <w:jc w:val="center"/>
      </w:pPr>
      <w:r>
        <w:rPr>
          <w:rFonts w:ascii="Aptos" w:hAnsi="Aptos"/>
          <w:color w:val="5B6573"/>
          <w:sz w:val="20"/>
        </w:rPr>
        <w:t>FOS-TECH-PHASE-4  |  Version 3.0  |  2026-07-13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0. Revision decision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1. Implementation directive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2. Objectives and metrics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3. Scope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4. Domain model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5. Notion workspace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6. Agents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7. Workflows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8. APIs and jobs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9. Deterministic safeguards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10. Tests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11. Work packages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12. Definition of done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Shared architectural invariants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Agent runtime requirements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Security, privacy, and governance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Observability and cost controls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Deployment and activation model</w:t>
      </w:r>
    </w:p>
    <w:p>
      <w:r>
        <w:br w:type="page"/>
      </w:r>
    </w:p>
    <w:p>
      <w:pPr>
        <w:pStyle w:val="BlockText"/>
      </w:pPr>
      <w:r>
        <w:t xml:space="preserve">This specification is written against the revised Phase 0 canonical-state, generic-artifact, controlled-command, and Founder Workspace Adapter contracts. Any implementation based on the earlier native-admin assumptions must be refactored as identified in the dependency plan.</w:t>
      </w:r>
    </w:p>
    <w:p>
      <w:r>
        <w:pict>
          <v:rect style="width:0;height:1.5pt" o:hralign="center" o:hrstd="t" o:hr="t"/>
        </w:pict>
      </w:r>
    </w:p>
    <w:bookmarkStart w:id="20" w:name="X023bf7650b08d130681bb7787814761baa22d06"/>
    <w:p>
      <w:pPr>
        <w:pStyle w:val="Heading1"/>
      </w:pPr>
      <w:r>
        <w:t xml:space="preserve">0. Revision decision</w:t>
      </w:r>
    </w:p>
    <w:p>
      <w:pPr>
        <w:pStyle w:val="FirstParagraph"/>
      </w:pPr>
      <w:r>
        <w:t xml:space="preserve">Phase 4 is no longer the beginning of marketing. It is the scale and optimization phase built on:</w:t>
      </w:r>
    </w:p>
    <w:p>
      <w:pPr>
        <w:pStyle w:val="Compact"/>
        <w:numPr>
          <w:ilvl w:val="0"/>
          <w:numId w:val="1001"/>
        </w:numPr>
      </w:pPr>
      <w:r>
        <w:t xml:space="preserve">Phase 0 audience, narrative, channel, CTA, voice, claims, and workspace foundations</w:t>
      </w:r>
    </w:p>
    <w:p>
      <w:pPr>
        <w:pStyle w:val="Compact"/>
        <w:numPr>
          <w:ilvl w:val="0"/>
          <w:numId w:val="1001"/>
        </w:numPr>
      </w:pPr>
      <w:r>
        <w:t xml:space="preserve">Phase 1 launch campaign and enrollment attribution</w:t>
      </w:r>
    </w:p>
    <w:p>
      <w:pPr>
        <w:pStyle w:val="Compact"/>
        <w:numPr>
          <w:ilvl w:val="0"/>
          <w:numId w:val="1001"/>
        </w:numPr>
      </w:pPr>
      <w:r>
        <w:t xml:space="preserve">Phase 2 recurring founder editorial cadence and beta learning</w:t>
      </w:r>
    </w:p>
    <w:p>
      <w:pPr>
        <w:pStyle w:val="Compact"/>
        <w:numPr>
          <w:ilvl w:val="0"/>
          <w:numId w:val="1001"/>
        </w:numPr>
      </w:pPr>
      <w:r>
        <w:t xml:space="preserve">Phase 3 verified releases and customer proof</w:t>
      </w:r>
    </w:p>
    <w:p>
      <w:pPr>
        <w:pStyle w:val="FirstParagraph"/>
      </w:pPr>
      <w:r>
        <w:t xml:space="preserve">Phase 4 adds campaign orchestration, multi-channel repurposing, content operations, distribution drafts, performance attribution, experimentation, and founder-voice learning.</w:t>
      </w:r>
    </w:p>
    <w:bookmarkEnd w:id="20"/>
    <w:bookmarkStart w:id="21" w:name="X890bcc7cb2a90e542cc76ac8259480bbf61c337"/>
    <w:p>
      <w:pPr>
        <w:pStyle w:val="Heading1"/>
      </w:pPr>
      <w:r>
        <w:t xml:space="preserve">1. Implementation directive</w:t>
      </w:r>
    </w:p>
    <w:p>
      <w:pPr>
        <w:pStyle w:val="FirstParagraph"/>
      </w:pPr>
      <w:r>
        <w:t xml:space="preserve">Build an evidence-led communications operating system that plans, produces, reviews, distributes as drafts, measures, and improves LinkedIn, Substack, email, webinar, website, release, and case-study communications.</w:t>
      </w:r>
    </w:p>
    <w:bookmarkEnd w:id="21"/>
    <w:bookmarkStart w:id="22" w:name="X584d8f695d390f9d84f1095ee0ecc7311a80e71"/>
    <w:p>
      <w:pPr>
        <w:pStyle w:val="Heading1"/>
      </w:pPr>
      <w:r>
        <w:t xml:space="preserve">2. Objectives and metrics</w:t>
      </w:r>
    </w:p>
    <w:p>
      <w:pPr>
        <w:pStyle w:val="Compact"/>
        <w:numPr>
          <w:ilvl w:val="0"/>
          <w:numId w:val="1002"/>
        </w:numPr>
      </w:pPr>
      <w:r>
        <w:t xml:space="preserve">Increase qualified applications and enrollments attributable or assistable by communications.</w:t>
      </w:r>
    </w:p>
    <w:p>
      <w:pPr>
        <w:pStyle w:val="Compact"/>
        <w:numPr>
          <w:ilvl w:val="0"/>
          <w:numId w:val="1002"/>
        </w:numPr>
      </w:pPr>
      <w:r>
        <w:t xml:space="preserve">Reduce founder production time per approved asset.</w:t>
      </w:r>
    </w:p>
    <w:p>
      <w:pPr>
        <w:pStyle w:val="Compact"/>
        <w:numPr>
          <w:ilvl w:val="0"/>
          <w:numId w:val="1002"/>
        </w:numPr>
      </w:pPr>
      <w:r>
        <w:t xml:space="preserve">Reuse approved source evidence across channels without changing factual meaning.</w:t>
      </w:r>
    </w:p>
    <w:p>
      <w:pPr>
        <w:pStyle w:val="Compact"/>
        <w:numPr>
          <w:ilvl w:val="0"/>
          <w:numId w:val="1002"/>
        </w:numPr>
      </w:pPr>
      <w:r>
        <w:t xml:space="preserve">Maintain consistent founder voice and product positioning.</w:t>
      </w:r>
    </w:p>
    <w:p>
      <w:pPr>
        <w:pStyle w:val="Compact"/>
        <w:numPr>
          <w:ilvl w:val="0"/>
          <w:numId w:val="1002"/>
        </w:numPr>
      </w:pPr>
      <w:r>
        <w:t xml:space="preserve">Identify content that attracts the wrong audience or creates unsupported expectations.</w:t>
      </w:r>
    </w:p>
    <w:p>
      <w:pPr>
        <w:pStyle w:val="FirstParagraph"/>
      </w:pPr>
      <w:r>
        <w:t xml:space="preserve">Metrics:</w:t>
      </w:r>
    </w:p>
    <w:p>
      <w:pPr>
        <w:pStyle w:val="Compact"/>
        <w:numPr>
          <w:ilvl w:val="0"/>
          <w:numId w:val="1003"/>
        </w:numPr>
      </w:pPr>
      <w:r>
        <w:t xml:space="preserve">Qualified leads and enrollments by source/campaign</w:t>
      </w:r>
    </w:p>
    <w:p>
      <w:pPr>
        <w:pStyle w:val="Compact"/>
        <w:numPr>
          <w:ilvl w:val="0"/>
          <w:numId w:val="1003"/>
        </w:numPr>
      </w:pPr>
      <w:r>
        <w:t xml:space="preserve">Content-assisted conversion</w:t>
      </w:r>
    </w:p>
    <w:p>
      <w:pPr>
        <w:pStyle w:val="Compact"/>
        <w:numPr>
          <w:ilvl w:val="0"/>
          <w:numId w:val="1003"/>
        </w:numPr>
      </w:pPr>
      <w:r>
        <w:t xml:space="preserve">Source-brief reuse ratio</w:t>
      </w:r>
    </w:p>
    <w:p>
      <w:pPr>
        <w:pStyle w:val="Compact"/>
        <w:numPr>
          <w:ilvl w:val="0"/>
          <w:numId w:val="1003"/>
        </w:numPr>
      </w:pPr>
      <w:r>
        <w:t xml:space="preserve">Draft approval/edit/rejection rates</w:t>
      </w:r>
    </w:p>
    <w:p>
      <w:pPr>
        <w:pStyle w:val="Compact"/>
        <w:numPr>
          <w:ilvl w:val="0"/>
          <w:numId w:val="1003"/>
        </w:numPr>
      </w:pPr>
      <w:r>
        <w:t xml:space="preserve">Founder minutes per asset</w:t>
      </w:r>
    </w:p>
    <w:p>
      <w:pPr>
        <w:pStyle w:val="Compact"/>
        <w:numPr>
          <w:ilvl w:val="0"/>
          <w:numId w:val="1003"/>
        </w:numPr>
      </w:pPr>
      <w:r>
        <w:t xml:space="preserve">Subscriber and audience growth</w:t>
      </w:r>
    </w:p>
    <w:p>
      <w:pPr>
        <w:pStyle w:val="Compact"/>
        <w:numPr>
          <w:ilvl w:val="0"/>
          <w:numId w:val="1003"/>
        </w:numPr>
      </w:pPr>
      <w:r>
        <w:t xml:space="preserve">CTA conversion</w:t>
      </w:r>
    </w:p>
    <w:p>
      <w:pPr>
        <w:pStyle w:val="Compact"/>
        <w:numPr>
          <w:ilvl w:val="0"/>
          <w:numId w:val="1003"/>
        </w:numPr>
      </w:pPr>
      <w:r>
        <w:t xml:space="preserve">Campaign velocity and asset throughput</w:t>
      </w:r>
    </w:p>
    <w:p>
      <w:pPr>
        <w:pStyle w:val="Compact"/>
        <w:numPr>
          <w:ilvl w:val="0"/>
          <w:numId w:val="1003"/>
        </w:numPr>
      </w:pPr>
      <w:r>
        <w:t xml:space="preserve">Unsupported-claim and consent blocks</w:t>
      </w:r>
    </w:p>
    <w:p>
      <w:pPr>
        <w:pStyle w:val="Compact"/>
        <w:numPr>
          <w:ilvl w:val="0"/>
          <w:numId w:val="1003"/>
        </w:numPr>
      </w:pPr>
      <w:r>
        <w:t xml:space="preserve">Attribution confidence</w:t>
      </w:r>
    </w:p>
    <w:bookmarkEnd w:id="22"/>
    <w:bookmarkStart w:id="23" w:name="X25d0be9279514911651d99fd74a027e3892227a"/>
    <w:p>
      <w:pPr>
        <w:pStyle w:val="Heading1"/>
      </w:pPr>
      <w:r>
        <w:t xml:space="preserve">3. Scope</w:t>
      </w:r>
    </w:p>
    <w:p>
      <w:pPr>
        <w:pStyle w:val="FirstParagraph"/>
      </w:pPr>
      <w:r>
        <w:t xml:space="preserve">Included:</w:t>
      </w:r>
    </w:p>
    <w:p>
      <w:pPr>
        <w:pStyle w:val="Compact"/>
        <w:numPr>
          <w:ilvl w:val="0"/>
          <w:numId w:val="1004"/>
        </w:numPr>
      </w:pPr>
      <w:r>
        <w:t xml:space="preserve">Marketing source briefs</w:t>
      </w:r>
    </w:p>
    <w:p>
      <w:pPr>
        <w:pStyle w:val="Compact"/>
        <w:numPr>
          <w:ilvl w:val="0"/>
          <w:numId w:val="1004"/>
        </w:numPr>
      </w:pPr>
      <w:r>
        <w:t xml:space="preserve">Positioning maps</w:t>
      </w:r>
    </w:p>
    <w:p>
      <w:pPr>
        <w:pStyle w:val="Compact"/>
        <w:numPr>
          <w:ilvl w:val="0"/>
          <w:numId w:val="1004"/>
        </w:numPr>
      </w:pPr>
      <w:r>
        <w:t xml:space="preserve">Campaign orchestration</w:t>
      </w:r>
    </w:p>
    <w:p>
      <w:pPr>
        <w:pStyle w:val="Compact"/>
        <w:numPr>
          <w:ilvl w:val="0"/>
          <w:numId w:val="1004"/>
        </w:numPr>
      </w:pPr>
      <w:r>
        <w:t xml:space="preserve">LinkedIn post and carousel systems</w:t>
      </w:r>
    </w:p>
    <w:p>
      <w:pPr>
        <w:pStyle w:val="Compact"/>
        <w:numPr>
          <w:ilvl w:val="0"/>
          <w:numId w:val="1004"/>
        </w:numPr>
      </w:pPr>
      <w:r>
        <w:t xml:space="preserve">Substack paper/newsletter systems</w:t>
      </w:r>
    </w:p>
    <w:p>
      <w:pPr>
        <w:pStyle w:val="Compact"/>
        <w:numPr>
          <w:ilvl w:val="0"/>
          <w:numId w:val="1004"/>
        </w:numPr>
      </w:pPr>
      <w:r>
        <w:t xml:space="preserve">Email sequences</w:t>
      </w:r>
    </w:p>
    <w:p>
      <w:pPr>
        <w:pStyle w:val="Compact"/>
        <w:numPr>
          <w:ilvl w:val="0"/>
          <w:numId w:val="1004"/>
        </w:numPr>
      </w:pPr>
      <w:r>
        <w:t xml:space="preserve">Landing pages and webinar packages</w:t>
      </w:r>
    </w:p>
    <w:p>
      <w:pPr>
        <w:pStyle w:val="Compact"/>
        <w:numPr>
          <w:ilvl w:val="0"/>
          <w:numId w:val="1004"/>
        </w:numPr>
      </w:pPr>
      <w:r>
        <w:t xml:space="preserve">Case studies and release communications</w:t>
      </w:r>
    </w:p>
    <w:p>
      <w:pPr>
        <w:pStyle w:val="Compact"/>
        <w:numPr>
          <w:ilvl w:val="0"/>
          <w:numId w:val="1004"/>
        </w:numPr>
      </w:pPr>
      <w:r>
        <w:t xml:space="preserve">Repurposing plans</w:t>
      </w:r>
    </w:p>
    <w:p>
      <w:pPr>
        <w:pStyle w:val="Compact"/>
        <w:numPr>
          <w:ilvl w:val="0"/>
          <w:numId w:val="1004"/>
        </w:numPr>
      </w:pPr>
      <w:r>
        <w:t xml:space="preserve">Editorial calendar</w:t>
      </w:r>
    </w:p>
    <w:p>
      <w:pPr>
        <w:pStyle w:val="Compact"/>
        <w:numPr>
          <w:ilvl w:val="0"/>
          <w:numId w:val="1004"/>
        </w:numPr>
      </w:pPr>
      <w:r>
        <w:t xml:space="preserve">Platform draft adapters</w:t>
      </w:r>
    </w:p>
    <w:p>
      <w:pPr>
        <w:pStyle w:val="Compact"/>
        <w:numPr>
          <w:ilvl w:val="0"/>
          <w:numId w:val="1004"/>
        </w:numPr>
      </w:pPr>
      <w:r>
        <w:t xml:space="preserve">Publication records</w:t>
      </w:r>
    </w:p>
    <w:p>
      <w:pPr>
        <w:pStyle w:val="Compact"/>
        <w:numPr>
          <w:ilvl w:val="0"/>
          <w:numId w:val="1004"/>
        </w:numPr>
      </w:pPr>
      <w:r>
        <w:t xml:space="preserve">Performance ingestion and attribution</w:t>
      </w:r>
    </w:p>
    <w:p>
      <w:pPr>
        <w:pStyle w:val="Compact"/>
        <w:numPr>
          <w:ilvl w:val="0"/>
          <w:numId w:val="1004"/>
        </w:numPr>
      </w:pPr>
      <w:r>
        <w:t xml:space="preserve">Founder voice learning</w:t>
      </w:r>
    </w:p>
    <w:p>
      <w:pPr>
        <w:pStyle w:val="Compact"/>
        <w:numPr>
          <w:ilvl w:val="0"/>
          <w:numId w:val="1004"/>
        </w:numPr>
      </w:pPr>
      <w:r>
        <w:t xml:space="preserve">A/B or message experiments where data supports them</w:t>
      </w:r>
    </w:p>
    <w:p>
      <w:pPr>
        <w:pStyle w:val="FirstParagraph"/>
      </w:pPr>
      <w:r>
        <w:t xml:space="preserve">Excluded:</w:t>
      </w:r>
    </w:p>
    <w:p>
      <w:pPr>
        <w:pStyle w:val="Compact"/>
        <w:numPr>
          <w:ilvl w:val="0"/>
          <w:numId w:val="1005"/>
        </w:numPr>
      </w:pPr>
      <w:r>
        <w:t xml:space="preserve">Autonomous publication or comment engagement</w:t>
      </w:r>
    </w:p>
    <w:p>
      <w:pPr>
        <w:pStyle w:val="Compact"/>
        <w:numPr>
          <w:ilvl w:val="0"/>
          <w:numId w:val="1005"/>
        </w:numPr>
      </w:pPr>
      <w:r>
        <w:t xml:space="preserve">Paid media purchasing</w:t>
      </w:r>
    </w:p>
    <w:p>
      <w:pPr>
        <w:pStyle w:val="Compact"/>
        <w:numPr>
          <w:ilvl w:val="0"/>
          <w:numId w:val="1005"/>
        </w:numPr>
      </w:pPr>
      <w:r>
        <w:t xml:space="preserve">Fabricated attribution</w:t>
      </w:r>
    </w:p>
    <w:p>
      <w:pPr>
        <w:pStyle w:val="Compact"/>
        <w:numPr>
          <w:ilvl w:val="0"/>
          <w:numId w:val="1005"/>
        </w:numPr>
      </w:pPr>
      <w:r>
        <w:t xml:space="preserve">Unapproved competitive claims</w:t>
      </w:r>
    </w:p>
    <w:p>
      <w:pPr>
        <w:pStyle w:val="Compact"/>
        <w:numPr>
          <w:ilvl w:val="0"/>
          <w:numId w:val="1005"/>
        </w:numPr>
      </w:pPr>
      <w:r>
        <w:t xml:space="preserve">Automatic pricing changes</w:t>
      </w:r>
    </w:p>
    <w:bookmarkEnd w:id="23"/>
    <w:bookmarkStart w:id="32" w:name="Xd1b9add03baef002a6e0907c05a25a21f2cf155"/>
    <w:p>
      <w:pPr>
        <w:pStyle w:val="Heading1"/>
      </w:pPr>
      <w:r>
        <w:t xml:space="preserve">4. Domain model</w:t>
      </w:r>
    </w:p>
    <w:bookmarkStart w:id="24" w:name="contentsourcebrief"/>
    <w:p>
      <w:pPr>
        <w:pStyle w:val="Heading2"/>
      </w:pPr>
      <w:r>
        <w:t xml:space="preserve">ContentSourceBrief</w:t>
      </w:r>
    </w:p>
    <w:p>
      <w:pPr>
        <w:pStyle w:val="FirstParagraph"/>
      </w:pPr>
      <w:r>
        <w:t xml:space="preserve">Stores source entities, evidence, claims, audience, problem, insight, proof, implication, prohibited angles, and approval.</w:t>
      </w:r>
    </w:p>
    <w:bookmarkEnd w:id="24"/>
    <w:bookmarkStart w:id="25" w:name="positioningmap"/>
    <w:p>
      <w:pPr>
        <w:pStyle w:val="Heading2"/>
      </w:pPr>
      <w:r>
        <w:t xml:space="preserve">PositioningMap</w:t>
      </w:r>
    </w:p>
    <w:p>
      <w:pPr>
        <w:pStyle w:val="FirstParagraph"/>
      </w:pPr>
      <w:r>
        <w:t xml:space="preserve">Stores audience, pain, transformation, objection, differentiator, buying stage, channel, CTA, confidence, and founder choice.</w:t>
      </w:r>
    </w:p>
    <w:bookmarkEnd w:id="25"/>
    <w:bookmarkStart w:id="26" w:name="contentasset"/>
    <w:p>
      <w:pPr>
        <w:pStyle w:val="Heading2"/>
      </w:pPr>
      <w:r>
        <w:t xml:space="preserve">ContentAsset</w:t>
      </w:r>
    </w:p>
    <w:p>
      <w:pPr>
        <w:pStyle w:val="FirstParagraph"/>
      </w:pPr>
      <w:r>
        <w:t xml:space="preserve">A specialized reference to</w:t>
      </w:r>
      <w:r>
        <w:t xml:space="preserve"> </w:t>
      </w:r>
      <w:r>
        <w:rPr>
          <w:rStyle w:val="VerbatimChar"/>
        </w:rPr>
        <w:t xml:space="preserve">ArtifactRecord</w:t>
      </w:r>
      <w:r>
        <w:t xml:space="preserve"> </w:t>
      </w:r>
      <w:r>
        <w:t xml:space="preserve">with channel, asset type, source brief, campaign, audience, claims/evidence/consent manifests, status, planned/published timestamps, and publication references.</w:t>
      </w:r>
    </w:p>
    <w:bookmarkEnd w:id="26"/>
    <w:bookmarkStart w:id="27" w:name="campaign"/>
    <w:p>
      <w:pPr>
        <w:pStyle w:val="Heading2"/>
      </w:pPr>
      <w:r>
        <w:t xml:space="preserve">Campaign</w:t>
      </w:r>
    </w:p>
    <w:p>
      <w:pPr>
        <w:pStyle w:val="FirstParagraph"/>
      </w:pPr>
      <w:r>
        <w:t xml:space="preserve">Extends Phase 1 campaign records with channel plan, asset dependencies, sequence, experiment, target metrics, and budget where applicable.</w:t>
      </w:r>
    </w:p>
    <w:bookmarkEnd w:id="27"/>
    <w:bookmarkStart w:id="28" w:name="publicationrecord"/>
    <w:p>
      <w:pPr>
        <w:pStyle w:val="Heading2"/>
      </w:pPr>
      <w:r>
        <w:t xml:space="preserve">PublicationRecord</w:t>
      </w:r>
    </w:p>
    <w:p>
      <w:pPr>
        <w:pStyle w:val="FirstParagraph"/>
      </w:pPr>
      <w:r>
        <w:t xml:space="preserve">Stores platform, external ID/URL, final artifact version, published time, publisher, and content hash.</w:t>
      </w:r>
    </w:p>
    <w:bookmarkEnd w:id="28"/>
    <w:bookmarkStart w:id="29" w:name="contentperformance"/>
    <w:p>
      <w:pPr>
        <w:pStyle w:val="Heading2"/>
      </w:pPr>
      <w:r>
        <w:t xml:space="preserve">ContentPerformance</w:t>
      </w:r>
    </w:p>
    <w:p>
      <w:pPr>
        <w:pStyle w:val="FirstParagraph"/>
      </w:pPr>
      <w:r>
        <w:t xml:space="preserve">Stores dated impressions, engagements, clicks, subscribers, applications, qualified leads, calls, enrollments, revenue, attribution method, and confidence.</w:t>
      </w:r>
    </w:p>
    <w:bookmarkEnd w:id="29"/>
    <w:bookmarkStart w:id="30" w:name="foundervoicepreference"/>
    <w:p>
      <w:pPr>
        <w:pStyle w:val="Heading2"/>
      </w:pPr>
      <w:r>
        <w:t xml:space="preserve">FounderVoicePreference</w:t>
      </w:r>
    </w:p>
    <w:p>
      <w:pPr>
        <w:pStyle w:val="FirstParagraph"/>
      </w:pPr>
      <w:r>
        <w:t xml:space="preserve">Stores proposed preference, edit evidence, confidence, status, and founder approval. Preferences may not be promoted solely by an agent.</w:t>
      </w:r>
    </w:p>
    <w:bookmarkEnd w:id="30"/>
    <w:bookmarkStart w:id="31" w:name="contentexperiment"/>
    <w:p>
      <w:pPr>
        <w:pStyle w:val="Heading2"/>
      </w:pPr>
      <w:r>
        <w:t xml:space="preserve">ContentExperiment</w:t>
      </w:r>
    </w:p>
    <w:p>
      <w:pPr>
        <w:pStyle w:val="FirstParagraph"/>
      </w:pPr>
      <w:r>
        <w:t xml:space="preserve">Stores hypothesis, variants, audience, channel, primary metric, guardrails, start/end, allocation, result, and confidence.</w:t>
      </w:r>
    </w:p>
    <w:bookmarkEnd w:id="31"/>
    <w:bookmarkEnd w:id="32"/>
    <w:bookmarkStart w:id="38" w:name="X1bf6d85fa4beadcf1de0dfcc05c71ce0a7e1ae2"/>
    <w:p>
      <w:pPr>
        <w:pStyle w:val="Heading1"/>
      </w:pPr>
      <w:r>
        <w:t xml:space="preserve">5. Notion workspace</w:t>
      </w:r>
    </w:p>
    <w:bookmarkStart w:id="33" w:name="communications-calendar"/>
    <w:p>
      <w:pPr>
        <w:pStyle w:val="Heading2"/>
      </w:pPr>
      <w:r>
        <w:t xml:space="preserve">Communications Calendar</w:t>
      </w:r>
    </w:p>
    <w:p>
      <w:pPr>
        <w:pStyle w:val="FirstParagraph"/>
      </w:pPr>
      <w:r>
        <w:t xml:space="preserve">Master view of campaign, asset, audience, channel, status, evidence, claims, consent, planned publication, CTA, publication link, and performance.</w:t>
      </w:r>
    </w:p>
    <w:bookmarkEnd w:id="33"/>
    <w:bookmarkStart w:id="34" w:name="linkedin-pipeline"/>
    <w:p>
      <w:pPr>
        <w:pStyle w:val="Heading2"/>
      </w:pPr>
      <w:r>
        <w:t xml:space="preserve">LinkedIn Pipeline</w:t>
      </w:r>
    </w:p>
    <w:p>
      <w:pPr>
        <w:pStyle w:val="FirstParagraph"/>
      </w:pPr>
      <w:r>
        <w:t xml:space="preserve">Views by post type, pillar, campaign, draft/review/published, carousel, and performance.</w:t>
      </w:r>
    </w:p>
    <w:bookmarkEnd w:id="34"/>
    <w:bookmarkStart w:id="35" w:name="substack-papers"/>
    <w:p>
      <w:pPr>
        <w:pStyle w:val="Heading2"/>
      </w:pPr>
      <w:r>
        <w:t xml:space="preserve">Substack Papers</w:t>
      </w:r>
    </w:p>
    <w:p>
      <w:pPr>
        <w:pStyle w:val="FirstParagraph"/>
      </w:pPr>
      <w:r>
        <w:t xml:space="preserve">Research brief, thesis, evidence matrix, outline, draft, technical review, claims review, founder review, derivatives, and performance.</w:t>
      </w:r>
    </w:p>
    <w:bookmarkEnd w:id="35"/>
    <w:bookmarkStart w:id="36" w:name="campaign-center"/>
    <w:p>
      <w:pPr>
        <w:pStyle w:val="Heading2"/>
      </w:pPr>
      <w:r>
        <w:t xml:space="preserve">Campaign Center</w:t>
      </w:r>
    </w:p>
    <w:p>
      <w:pPr>
        <w:pStyle w:val="FirstParagraph"/>
      </w:pPr>
      <w:r>
        <w:t xml:space="preserve">Sequences, dependencies, launch windows, target metrics, and attribution.</w:t>
      </w:r>
    </w:p>
    <w:bookmarkEnd w:id="36"/>
    <w:bookmarkStart w:id="37" w:name="founder-voice-review"/>
    <w:p>
      <w:pPr>
        <w:pStyle w:val="Heading2"/>
      </w:pPr>
      <w:r>
        <w:t xml:space="preserve">Founder Voice Review</w:t>
      </w:r>
    </w:p>
    <w:p>
      <w:pPr>
        <w:pStyle w:val="FirstParagraph"/>
      </w:pPr>
      <w:r>
        <w:t xml:space="preserve">Proposed voice preferences with supporting edit examples and approve/reject controls.</w:t>
      </w:r>
    </w:p>
    <w:bookmarkEnd w:id="37"/>
    <w:bookmarkEnd w:id="38"/>
    <w:bookmarkStart w:id="39" w:name="X1bcad50d3ab90a6d1f19bd91566b0757bed01a7"/>
    <w:p>
      <w:pPr>
        <w:pStyle w:val="Heading1"/>
      </w:pPr>
      <w:r>
        <w:t xml:space="preserve">6. Agents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fos.product_evidence_miner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fos.positioning_mapper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fos.campaign_planner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fos.linkedin_drafting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fos.linkedin_carousel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fos.substack_essay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fos.email_sequence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fos.webinar_package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fos.landing_page_copy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fos.content_repurposer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fos.marketing_claims_verifier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fos.founder_voice_evaluator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fos.performance_interpreter</w:t>
      </w:r>
    </w:p>
    <w:p>
      <w:pPr>
        <w:pStyle w:val="FirstParagraph"/>
      </w:pPr>
      <w:r>
        <w:t xml:space="preserve">The Performance Interpreter must distinguish observation, correlation, and causal inference.</w:t>
      </w:r>
    </w:p>
    <w:bookmarkEnd w:id="39"/>
    <w:bookmarkStart w:id="45" w:name="Xcc80f3ab29aae5feb0f698eeae7d4788bff57ee"/>
    <w:p>
      <w:pPr>
        <w:pStyle w:val="Heading1"/>
      </w:pPr>
      <w:r>
        <w:t xml:space="preserve">7. Workflows</w:t>
      </w:r>
    </w:p>
    <w:bookmarkStart w:id="40" w:name="source-to-campaign"/>
    <w:p>
      <w:pPr>
        <w:pStyle w:val="Heading2"/>
      </w:pPr>
      <w:r>
        <w:t xml:space="preserve">Source to campaign</w:t>
      </w:r>
    </w:p>
    <w:p>
      <w:pPr>
        <w:pStyle w:val="FirstParagraph"/>
      </w:pPr>
      <w:r>
        <w:t xml:space="preserve">Approved evidence -&gt; source brief -&gt; positioning alternatives -&gt; founder choice -&gt; campaign plan -&gt; asset dependency graph -&gt; generation and review.</w:t>
      </w:r>
    </w:p>
    <w:bookmarkEnd w:id="40"/>
    <w:bookmarkStart w:id="41" w:name="long-form-to-derivatives"/>
    <w:p>
      <w:pPr>
        <w:pStyle w:val="Heading2"/>
      </w:pPr>
      <w:r>
        <w:t xml:space="preserve">Long-form to derivatives</w:t>
      </w:r>
    </w:p>
    <w:p>
      <w:pPr>
        <w:pStyle w:val="FirstParagraph"/>
      </w:pPr>
      <w:r>
        <w:t xml:space="preserve">Approved Substack paper -&gt; launch post -&gt; technical summary -&gt; carousel -&gt; short follow-ups -&gt; email excerpt -&gt; webinar segment. Each derivative receives independent claims and consent validation.</w:t>
      </w:r>
    </w:p>
    <w:bookmarkEnd w:id="41"/>
    <w:bookmarkStart w:id="42" w:name="founder-editing-and-approval"/>
    <w:p>
      <w:pPr>
        <w:pStyle w:val="Heading2"/>
      </w:pPr>
      <w:r>
        <w:t xml:space="preserve">Founder editing and approval</w:t>
      </w:r>
    </w:p>
    <w:p>
      <w:pPr>
        <w:pStyle w:val="FirstParagraph"/>
      </w:pPr>
      <w:r>
        <w:t xml:space="preserve">Notion edit -&gt; new artifact version -&gt; edit diff -&gt; revalidate claims/consent -&gt; canonical approval -&gt; optional platform draft.</w:t>
      </w:r>
    </w:p>
    <w:bookmarkEnd w:id="42"/>
    <w:bookmarkStart w:id="43" w:name="publication-and-attribution"/>
    <w:p>
      <w:pPr>
        <w:pStyle w:val="Heading2"/>
      </w:pPr>
      <w:r>
        <w:t xml:space="preserve">Publication and attribution</w:t>
      </w:r>
    </w:p>
    <w:p>
      <w:pPr>
        <w:pStyle w:val="FirstParagraph"/>
      </w:pPr>
      <w:r>
        <w:t xml:space="preserve">Founder publishes -&gt; publication record -&gt; performance ingestion -&gt; touch attribution -&gt; campaign review -&gt; approved learning records.</w:t>
      </w:r>
    </w:p>
    <w:bookmarkEnd w:id="43"/>
    <w:bookmarkStart w:id="44" w:name="voice-learning"/>
    <w:p>
      <w:pPr>
        <w:pStyle w:val="Heading2"/>
      </w:pPr>
      <w:r>
        <w:t xml:space="preserve">Voice learning</w:t>
      </w:r>
    </w:p>
    <w:p>
      <w:pPr>
        <w:pStyle w:val="FirstParagraph"/>
      </w:pPr>
      <w:r>
        <w:t xml:space="preserve">Compare generated and final versions, classify edits, propose preferences, require founder approval, and test against future drafts.</w:t>
      </w:r>
    </w:p>
    <w:bookmarkEnd w:id="44"/>
    <w:bookmarkEnd w:id="45"/>
    <w:bookmarkStart w:id="46" w:name="X189263c7db12aaf9051e064bfd14d6dfd52eaf9"/>
    <w:p>
      <w:pPr>
        <w:pStyle w:val="Heading1"/>
      </w:pPr>
      <w:r>
        <w:t xml:space="preserve">8. APIs and jobs</w:t>
      </w:r>
    </w:p>
    <w:p>
      <w:pPr>
        <w:pStyle w:val="FirstParagraph"/>
      </w:pPr>
      <w:r>
        <w:t xml:space="preserve">API families: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/api/fos/content-source-briefs/*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/api/fos/positioning-maps/*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/api/fos/content-assets/*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/api/fos/campaigns/*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/api/fos/publications/*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/api/fos/content-performance/*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/api/fos/founder-voice/*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/api/fos/content-experiments/*</w:t>
      </w:r>
    </w:p>
    <w:p>
      <w:pPr>
        <w:pStyle w:val="FirstParagraph"/>
      </w:pPr>
      <w:r>
        <w:t xml:space="preserve">Jobs: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mine-marketing-evidence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generate-positioning-options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generate-campaign-plan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generate-content-asset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generate-channel-derivatives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verify-marketing-claims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verify-content-consent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create-platform-draft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import-content-performance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attribute-content-outcomes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evaluate-founder-voice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generate-campaign-review</w:t>
      </w:r>
    </w:p>
    <w:bookmarkEnd w:id="46"/>
    <w:bookmarkStart w:id="47" w:name="Xa9693ef7332e58103ef5136b42778199e145b66"/>
    <w:p>
      <w:pPr>
        <w:pStyle w:val="Heading1"/>
      </w:pPr>
      <w:r>
        <w:t xml:space="preserve">9. Deterministic safeguards</w:t>
      </w:r>
    </w:p>
    <w:p>
      <w:pPr>
        <w:pStyle w:val="Compact"/>
        <w:numPr>
          <w:ilvl w:val="0"/>
          <w:numId w:val="1009"/>
        </w:numPr>
      </w:pPr>
      <w:r>
        <w:t xml:space="preserve">No content without a source brief, except explicitly labeled founder opinion drafts.</w:t>
      </w:r>
    </w:p>
    <w:p>
      <w:pPr>
        <w:pStyle w:val="Compact"/>
        <w:numPr>
          <w:ilvl w:val="0"/>
          <w:numId w:val="1009"/>
        </w:numPr>
      </w:pPr>
      <w:r>
        <w:t xml:space="preserve">Factual product claims resolve to approved claims/evidence.</w:t>
      </w:r>
    </w:p>
    <w:p>
      <w:pPr>
        <w:pStyle w:val="Compact"/>
        <w:numPr>
          <w:ilvl w:val="0"/>
          <w:numId w:val="1009"/>
        </w:numPr>
      </w:pPr>
      <w:r>
        <w:t xml:space="preserve">Customer outcomes resolve to consent.</w:t>
      </w:r>
    </w:p>
    <w:p>
      <w:pPr>
        <w:pStyle w:val="Compact"/>
        <w:numPr>
          <w:ilvl w:val="0"/>
          <w:numId w:val="1009"/>
        </w:numPr>
      </w:pPr>
      <w:r>
        <w:t xml:space="preserve">Pricing comes from current approved offer records.</w:t>
      </w:r>
    </w:p>
    <w:p>
      <w:pPr>
        <w:pStyle w:val="Compact"/>
        <w:numPr>
          <w:ilvl w:val="0"/>
          <w:numId w:val="1009"/>
        </w:numPr>
      </w:pPr>
      <w:r>
        <w:t xml:space="preserve">Derivatives may not introduce new claims absent from the source.</w:t>
      </w:r>
    </w:p>
    <w:p>
      <w:pPr>
        <w:pStyle w:val="Compact"/>
        <w:numPr>
          <w:ilvl w:val="0"/>
          <w:numId w:val="1009"/>
        </w:numPr>
      </w:pPr>
      <w:r>
        <w:t xml:space="preserve">Expired or invalidated claims block approval or publication-ready state.</w:t>
      </w:r>
    </w:p>
    <w:p>
      <w:pPr>
        <w:pStyle w:val="Compact"/>
        <w:numPr>
          <w:ilvl w:val="0"/>
          <w:numId w:val="1009"/>
        </w:numPr>
      </w:pPr>
      <w:r>
        <w:t xml:space="preserve">Anonymous stories undergo re-identification risk review.</w:t>
      </w:r>
    </w:p>
    <w:p>
      <w:pPr>
        <w:pStyle w:val="Compact"/>
        <w:numPr>
          <w:ilvl w:val="0"/>
          <w:numId w:val="1009"/>
        </w:numPr>
      </w:pPr>
      <w:r>
        <w:t xml:space="preserve">Platform adapters create drafts, not publication actions.</w:t>
      </w:r>
    </w:p>
    <w:p>
      <w:pPr>
        <w:pStyle w:val="Compact"/>
        <w:numPr>
          <w:ilvl w:val="0"/>
          <w:numId w:val="1009"/>
        </w:numPr>
      </w:pPr>
      <w:r>
        <w:t xml:space="preserve">Attribution exposes method and confidence.</w:t>
      </w:r>
    </w:p>
    <w:bookmarkEnd w:id="47"/>
    <w:bookmarkStart w:id="48" w:name="Xdf051a3f34748411eb837880f90435ba46f4801"/>
    <w:p>
      <w:pPr>
        <w:pStyle w:val="Heading1"/>
      </w:pPr>
      <w:r>
        <w:t xml:space="preserve">10. Tests</w:t>
      </w:r>
    </w:p>
    <w:p>
      <w:pPr>
        <w:pStyle w:val="FirstParagraph"/>
      </w:pPr>
      <w:r>
        <w:t xml:space="preserve">Fixtures cover release-to-build-log, named consent, anonymous consent, no consent, unsupported quantitative claim, planned feature, derivative adding a claim, generic influencer language, founder tone edits, and conflicting pricing.</w:t>
      </w:r>
    </w:p>
    <w:p>
      <w:pPr>
        <w:pStyle w:val="BodyText"/>
      </w:pPr>
      <w:r>
        <w:t xml:space="preserve">End-to-end tests cover approved evidence to LinkedIn/Substack campaign, consent revocation, founder edit revalidation, publication record, performance ingestion, and content-assisted enrollment.</w:t>
      </w:r>
    </w:p>
    <w:bookmarkEnd w:id="48"/>
    <w:bookmarkStart w:id="49" w:name="Xb30ae5ad1a7f7e0ad57932361d461105eec36b4"/>
    <w:p>
      <w:pPr>
        <w:pStyle w:val="Heading1"/>
      </w:pPr>
      <w:r>
        <w:t xml:space="preserve">11. Work packages</w:t>
      </w:r>
    </w:p>
    <w:tbl>
      <w:tblPr>
        <w:tblStyle w:val="TableGrid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Package</w:t>
            </w:r>
          </w:p>
        </w:tc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Phase 1-3 source and attribution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 brief and evidence 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Positioning and campaign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LinkedIn production and carousel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Substack research and publishing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Email, webinar, landing page, and release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Multi-channel repurposing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Claims, consent, and pricing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Platform draft adapters and publication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Performance ingestion and 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Founder voice learning and experiments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WP4.11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Communications Calendar and Campaign Center</w:t>
            </w:r>
          </w:p>
        </w:tc>
      </w:tr>
    </w:tbl>
    <w:bookmarkEnd w:id="49"/>
    <w:bookmarkStart w:id="50" w:name="Xb26b27c4408c599c1506b872edca348f0c0fbd4"/>
    <w:p>
      <w:pPr>
        <w:pStyle w:val="Heading1"/>
      </w:pPr>
      <w:r>
        <w:t xml:space="preserve">12. Definition of done</w:t>
      </w:r>
    </w:p>
    <w:p>
      <w:pPr>
        <w:pStyle w:val="Compact"/>
        <w:numPr>
          <w:ilvl w:val="0"/>
          <w:numId w:val="1010"/>
        </w:numPr>
      </w:pPr>
      <w:r>
        <w:t xml:space="preserve">Marketing operates from verified sources and approved strategy.</w:t>
      </w:r>
    </w:p>
    <w:p>
      <w:pPr>
        <w:pStyle w:val="Compact"/>
        <w:numPr>
          <w:ilvl w:val="0"/>
          <w:numId w:val="1010"/>
        </w:numPr>
      </w:pPr>
      <w:r>
        <w:t xml:space="preserve">LinkedIn, Substack, email, webinar, and website artifacts share canonical evidence and attribution.</w:t>
      </w:r>
    </w:p>
    <w:p>
      <w:pPr>
        <w:pStyle w:val="Compact"/>
        <w:numPr>
          <w:ilvl w:val="0"/>
          <w:numId w:val="1010"/>
        </w:numPr>
      </w:pPr>
      <w:r>
        <w:t xml:space="preserve">Founder can edit and approve in Notion.</w:t>
      </w:r>
    </w:p>
    <w:p>
      <w:pPr>
        <w:pStyle w:val="Compact"/>
        <w:numPr>
          <w:ilvl w:val="0"/>
          <w:numId w:val="1010"/>
        </w:numPr>
      </w:pPr>
      <w:r>
        <w:t xml:space="preserve">Platform actions stop at draft creation unless explicitly changed later.</w:t>
      </w:r>
    </w:p>
    <w:p>
      <w:pPr>
        <w:pStyle w:val="Compact"/>
        <w:numPr>
          <w:ilvl w:val="0"/>
          <w:numId w:val="1010"/>
        </w:numPr>
      </w:pPr>
      <w:r>
        <w:t xml:space="preserve">Performance and founder time are measurable.</w:t>
      </w:r>
    </w:p>
    <w:p>
      <w:pPr>
        <w:pStyle w:val="Compact"/>
        <w:numPr>
          <w:ilvl w:val="0"/>
          <w:numId w:val="1010"/>
        </w:numPr>
      </w:pPr>
      <w:r>
        <w:t xml:space="preserve">Voice learning remains founder-approved.</w:t>
      </w:r>
    </w:p>
    <w:bookmarkEnd w:id="50"/>
    <w:bookmarkStart w:id="55" w:name="shared-architectural-invariants"/>
    <w:p>
      <w:pPr>
        <w:pStyle w:val="Heading1"/>
      </w:pPr>
      <w:r>
        <w:t xml:space="preserve">Shared architectural invariants</w:t>
      </w:r>
    </w:p>
    <w:p>
      <w:pPr>
        <w:pStyle w:val="FirstParagraph"/>
      </w:pPr>
      <w:r>
        <w:t xml:space="preserve">The following rules are inherited from revised Phase 0 and are non-negotiable for this phase: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FOS owns canonical state and intelligence.</w:t>
      </w:r>
      <w:r>
        <w:t xml:space="preserve"> </w:t>
      </w:r>
      <w:r>
        <w:t xml:space="preserve">Notion is a founder-facing working environment and projection surface.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External workspace changes are commands, not direct mutations.</w:t>
      </w:r>
      <w:r>
        <w:t xml:space="preserve"> </w:t>
      </w:r>
      <w:r>
        <w:t xml:space="preserve">A Notion status change or button creates a validated</w:t>
      </w:r>
      <w:r>
        <w:t xml:space="preserve"> </w:t>
      </w:r>
      <w:r>
        <w:rPr>
          <w:rStyle w:val="VerbatimChar"/>
        </w:rPr>
        <w:t xml:space="preserve">WorkspaceCommand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Artifacts are generic and versioned.</w:t>
      </w:r>
      <w:r>
        <w:t xml:space="preserve"> </w:t>
      </w:r>
      <w:r>
        <w:t xml:space="preserve">Enrollment messages, specifications, LinkedIn posts, Substack papers, reports, and reviews use</w:t>
      </w:r>
      <w:r>
        <w:t xml:space="preserve"> </w:t>
      </w:r>
      <w:r>
        <w:rPr>
          <w:rStyle w:val="VerbatimChar"/>
        </w:rPr>
        <w:t xml:space="preserve">ArtifactRecord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ArtifactVersion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Approvals are interface-independent.</w:t>
      </w:r>
      <w:r>
        <w:t xml:space="preserve"> </w:t>
      </w:r>
      <w:r>
        <w:t xml:space="preserve">Approval state is canonical and may be requested from Notion, a native interface, or an API.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Evidence, claims, consent, and product availability are deterministic gates.</w:t>
      </w:r>
      <w:r>
        <w:t xml:space="preserve"> </w:t>
      </w:r>
      <w:r>
        <w:t xml:space="preserve">Models may recommend; they may not waive these controls.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Every projection has an ownership policy.</w:t>
      </w:r>
      <w:r>
        <w:t xml:space="preserve"> </w:t>
      </w:r>
      <w:r>
        <w:t xml:space="preserve">Fields are</w:t>
      </w:r>
      <w:r>
        <w:t xml:space="preserve"> </w:t>
      </w:r>
      <w:r>
        <w:rPr>
          <w:rStyle w:val="VerbatimChar"/>
        </w:rPr>
        <w:t xml:space="preserve">canonical_read_only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working_copy_editable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controlled_command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not_projectable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Raw events are immutable.</w:t>
      </w:r>
      <w:r>
        <w:t xml:space="preserve"> </w:t>
      </w:r>
      <w:r>
        <w:t xml:space="preserve">Derived summaries may be superseded but not silently overwrite source history.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Every agent is bounded.</w:t>
      </w:r>
      <w:r>
        <w:t xml:space="preserve"> </w:t>
      </w:r>
      <w:r>
        <w:t xml:space="preserve">Each agent has a versioned objective, input schema, output schema, permitted tools, permitted memory scopes, evaluation policy, and autonomy ceiling.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autonomous publishing, sending, pricing change, contractual commitment, or production deployment</w:t>
      </w:r>
      <w:r>
        <w:t xml:space="preserve"> </w:t>
      </w:r>
      <w:r>
        <w:t xml:space="preserve">is permitted unless a later founder-approved governance decision explicitly changes the rule.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FOS must remain operational if Notion or another workspace provider is unavailable.</w:t>
      </w:r>
    </w:p>
    <w:bookmarkStart w:id="54" w:name="founder-workspace-integration-contract"/>
    <w:p>
      <w:pPr>
        <w:pStyle w:val="Heading2"/>
      </w:pPr>
      <w:r>
        <w:t xml:space="preserve">Founder Workspace integration contract</w:t>
      </w:r>
    </w:p>
    <w:p>
      <w:pPr>
        <w:pStyle w:val="FirstParagraph"/>
      </w:pPr>
      <w:r>
        <w:t xml:space="preserve">All founder-facing work for this phase must use the Phase 0 workspace adapter.</w:t>
      </w:r>
    </w:p>
    <w:bookmarkStart w:id="51" w:name="projection-pattern"/>
    <w:p>
      <w:pPr>
        <w:pStyle w:val="Heading3"/>
      </w:pPr>
      <w:r>
        <w:t xml:space="preserve">Projection pattern</w:t>
      </w:r>
    </w:p>
    <w:p>
      <w:pPr>
        <w:pStyle w:val="SourceCode"/>
      </w:pPr>
      <w:r>
        <w:rPr>
          <w:rStyle w:val="VerbatimChar"/>
        </w:rPr>
        <w:t xml:space="preserve">Canonical record or artifact created</w:t>
      </w:r>
      <w:r>
        <w:br/>
      </w:r>
      <w:r>
        <w:rPr>
          <w:rStyle w:val="VerbatimChar"/>
        </w:rPr>
        <w:t xml:space="preserve">        -&gt; operational event emitted</w:t>
      </w:r>
      <w:r>
        <w:br/>
      </w:r>
      <w:r>
        <w:rPr>
          <w:rStyle w:val="VerbatimChar"/>
        </w:rPr>
        <w:t xml:space="preserve">        -&gt; projection policy evaluated</w:t>
      </w:r>
      <w:r>
        <w:br/>
      </w:r>
      <w:r>
        <w:rPr>
          <w:rStyle w:val="VerbatimChar"/>
        </w:rPr>
        <w:t xml:space="preserve">        -&gt; safe working copy created or updated in Notion</w:t>
      </w:r>
      <w:r>
        <w:br/>
      </w:r>
      <w:r>
        <w:rPr>
          <w:rStyle w:val="VerbatimChar"/>
        </w:rPr>
        <w:t xml:space="preserve">        -&gt; canonical ID and version stored on the provider page</w:t>
      </w:r>
      <w:r>
        <w:br/>
      </w:r>
      <w:r>
        <w:rPr>
          <w:rStyle w:val="VerbatimChar"/>
        </w:rPr>
        <w:t xml:space="preserve">        -&gt; founder edits or commands captured</w:t>
      </w:r>
      <w:r>
        <w:br/>
      </w:r>
      <w:r>
        <w:rPr>
          <w:rStyle w:val="VerbatimChar"/>
        </w:rPr>
        <w:t xml:space="preserve">        -&gt; FOS validates and executes canonical change</w:t>
      </w:r>
      <w:r>
        <w:br/>
      </w:r>
      <w:r>
        <w:rPr>
          <w:rStyle w:val="VerbatimChar"/>
        </w:rPr>
        <w:t xml:space="preserve">        -&gt; projection is reconciled</w:t>
      </w:r>
    </w:p>
    <w:bookmarkEnd w:id="51"/>
    <w:bookmarkStart w:id="52" w:name="required-hidden-projection-properties"/>
    <w:p>
      <w:pPr>
        <w:pStyle w:val="Heading3"/>
      </w:pPr>
      <w:r>
        <w:t xml:space="preserve">Required hidden projection properties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FOS Record ID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FOS Entity Type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FOS Version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FOS Workspace ID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Projection Status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Last Synced At</w:t>
      </w:r>
    </w:p>
    <w:bookmarkEnd w:id="52"/>
    <w:bookmarkStart w:id="53" w:name="conflict-rule"/>
    <w:p>
      <w:pPr>
        <w:pStyle w:val="Heading3"/>
      </w:pPr>
      <w:r>
        <w:t xml:space="preserve">Conflict rule</w:t>
      </w:r>
    </w:p>
    <w:p>
      <w:pPr>
        <w:pStyle w:val="FirstParagraph"/>
      </w:pPr>
      <w:r>
        <w:t xml:space="preserve">A controlled command may execute only when the provider's</w:t>
      </w:r>
      <w:r>
        <w:t xml:space="preserve"> </w:t>
      </w:r>
      <w:r>
        <w:rPr>
          <w:rStyle w:val="VerbatimChar"/>
        </w:rPr>
        <w:t xml:space="preserve">FOS Version</w:t>
      </w:r>
      <w:r>
        <w:t xml:space="preserve"> </w:t>
      </w:r>
      <w:r>
        <w:t xml:space="preserve">matches the current canonical version. Otherwise the command is placed in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status and the founder receives a reconciliation item.</w:t>
      </w:r>
    </w:p>
    <w:bookmarkEnd w:id="53"/>
    <w:bookmarkEnd w:id="54"/>
    <w:bookmarkEnd w:id="55"/>
    <w:bookmarkStart w:id="56" w:name="agent-runtime-requirements"/>
    <w:p>
      <w:pPr>
        <w:pStyle w:val="Heading1"/>
      </w:pPr>
      <w:r>
        <w:t xml:space="preserve">Agent runtime requirements</w:t>
      </w:r>
    </w:p>
    <w:p>
      <w:pPr>
        <w:pStyle w:val="FirstParagraph"/>
      </w:pPr>
      <w:r>
        <w:t xml:space="preserve">Every agent run must execute the following stages:</w:t>
      </w:r>
    </w:p>
    <w:p>
      <w:pPr>
        <w:pStyle w:val="Compact"/>
        <w:numPr>
          <w:ilvl w:val="0"/>
          <w:numId w:val="1013"/>
        </w:numPr>
      </w:pPr>
      <w:r>
        <w:t xml:space="preserve">Trigger validation</w:t>
      </w:r>
    </w:p>
    <w:p>
      <w:pPr>
        <w:pStyle w:val="Compact"/>
        <w:numPr>
          <w:ilvl w:val="0"/>
          <w:numId w:val="1013"/>
        </w:numPr>
      </w:pPr>
      <w:r>
        <w:t xml:space="preserve">Authorization and feature-flag validation</w:t>
      </w:r>
    </w:p>
    <w:p>
      <w:pPr>
        <w:pStyle w:val="Compact"/>
        <w:numPr>
          <w:ilvl w:val="0"/>
          <w:numId w:val="1013"/>
        </w:numPr>
      </w:pPr>
      <w:r>
        <w:t xml:space="preserve">Context assembly and minimization</w:t>
      </w:r>
    </w:p>
    <w:p>
      <w:pPr>
        <w:pStyle w:val="Compact"/>
        <w:numPr>
          <w:ilvl w:val="0"/>
          <w:numId w:val="1013"/>
        </w:numPr>
      </w:pPr>
      <w:r>
        <w:t xml:space="preserve">Prompt construction from a versioned agent definition</w:t>
      </w:r>
    </w:p>
    <w:p>
      <w:pPr>
        <w:pStyle w:val="Compact"/>
        <w:numPr>
          <w:ilvl w:val="0"/>
          <w:numId w:val="1013"/>
        </w:numPr>
      </w:pPr>
      <w:r>
        <w:t xml:space="preserve">Model execution</w:t>
      </w:r>
    </w:p>
    <w:p>
      <w:pPr>
        <w:pStyle w:val="Compact"/>
        <w:numPr>
          <w:ilvl w:val="0"/>
          <w:numId w:val="1013"/>
        </w:numPr>
      </w:pPr>
      <w:r>
        <w:t xml:space="preserve">Structured-output validation</w:t>
      </w:r>
    </w:p>
    <w:p>
      <w:pPr>
        <w:pStyle w:val="Compact"/>
        <w:numPr>
          <w:ilvl w:val="0"/>
          <w:numId w:val="1013"/>
        </w:numPr>
      </w:pPr>
      <w:r>
        <w:t xml:space="preserve">Deterministic policy evaluation</w:t>
      </w:r>
    </w:p>
    <w:p>
      <w:pPr>
        <w:pStyle w:val="Compact"/>
        <w:numPr>
          <w:ilvl w:val="0"/>
          <w:numId w:val="1013"/>
        </w:numPr>
      </w:pPr>
      <w:r>
        <w:t xml:space="preserve">Secondary quality evaluation where configured</w:t>
      </w:r>
    </w:p>
    <w:p>
      <w:pPr>
        <w:pStyle w:val="Compact"/>
        <w:numPr>
          <w:ilvl w:val="0"/>
          <w:numId w:val="1013"/>
        </w:numPr>
      </w:pPr>
      <w:r>
        <w:t xml:space="preserve">Canonical persistence</w:t>
      </w:r>
    </w:p>
    <w:p>
      <w:pPr>
        <w:pStyle w:val="Compact"/>
        <w:numPr>
          <w:ilvl w:val="0"/>
          <w:numId w:val="1013"/>
        </w:numPr>
      </w:pPr>
      <w:r>
        <w:t xml:space="preserve">Approval routing or reversible execution</w:t>
      </w:r>
    </w:p>
    <w:p>
      <w:pPr>
        <w:pStyle w:val="Compact"/>
        <w:numPr>
          <w:ilvl w:val="0"/>
          <w:numId w:val="1013"/>
        </w:numPr>
      </w:pPr>
      <w:r>
        <w:t xml:space="preserve">Projection update</w:t>
      </w:r>
    </w:p>
    <w:p>
      <w:pPr>
        <w:pStyle w:val="Compact"/>
        <w:numPr>
          <w:ilvl w:val="0"/>
          <w:numId w:val="1013"/>
        </w:numPr>
      </w:pPr>
      <w:r>
        <w:t xml:space="preserve">Metrics and audit emission</w:t>
      </w:r>
    </w:p>
    <w:p>
      <w:pPr>
        <w:pStyle w:val="FirstParagraph"/>
      </w:pPr>
      <w:r>
        <w:t xml:space="preserve">If structured output fails, retry once with a repair prompt. If repair fails, mark the run</w:t>
      </w:r>
      <w:r>
        <w:t xml:space="preserve"> </w:t>
      </w:r>
      <w:r>
        <w:rPr>
          <w:rStyle w:val="VerbatimChar"/>
        </w:rPr>
        <w:t xml:space="preserve">evaluation_failed</w:t>
      </w:r>
      <w:r>
        <w:t xml:space="preserve">, create a founder-visible operational item, and do not create an approval-ready artifact.</w:t>
      </w:r>
    </w:p>
    <w:bookmarkEnd w:id="56"/>
    <w:bookmarkStart w:id="61" w:name="security-privacy-and-governance"/>
    <w:p>
      <w:pPr>
        <w:pStyle w:val="Heading1"/>
      </w:pPr>
      <w:r>
        <w:t xml:space="preserve">Security, privacy, and governance</w:t>
      </w:r>
    </w:p>
    <w:bookmarkStart w:id="57" w:name="least-privilege"/>
    <w:p>
      <w:pPr>
        <w:pStyle w:val="Heading2"/>
      </w:pPr>
      <w:r>
        <w:t xml:space="preserve">Least privilege</w:t>
      </w:r>
    </w:p>
    <w:p>
      <w:pPr>
        <w:pStyle w:val="Compact"/>
        <w:numPr>
          <w:ilvl w:val="0"/>
          <w:numId w:val="1014"/>
        </w:numPr>
      </w:pPr>
      <w:r>
        <w:t xml:space="preserve">Agents receive only the records required for the current run.</w:t>
      </w:r>
    </w:p>
    <w:p>
      <w:pPr>
        <w:pStyle w:val="Compact"/>
        <w:numPr>
          <w:ilvl w:val="0"/>
          <w:numId w:val="1014"/>
        </w:numPr>
      </w:pPr>
      <w:r>
        <w:t xml:space="preserve">Workspace projections contain summaries unless full working content is required.</w:t>
      </w:r>
    </w:p>
    <w:p>
      <w:pPr>
        <w:pStyle w:val="Compact"/>
        <w:numPr>
          <w:ilvl w:val="0"/>
          <w:numId w:val="1014"/>
        </w:numPr>
      </w:pPr>
      <w:r>
        <w:t xml:space="preserve">Private source documents, raw model prompts, credentials, payment details, and exploitable security findings are</w:t>
      </w:r>
      <w:r>
        <w:t xml:space="preserve"> </w:t>
      </w:r>
      <w:r>
        <w:rPr>
          <w:rStyle w:val="VerbatimChar"/>
        </w:rPr>
        <w:t xml:space="preserve">not_projectable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014"/>
        </w:numPr>
      </w:pPr>
      <w:r>
        <w:t xml:space="preserve">Marketing and research agents may not access unrestricted applicant or beta-user records.</w:t>
      </w:r>
    </w:p>
    <w:bookmarkEnd w:id="57"/>
    <w:bookmarkStart w:id="58" w:name="prompt-injection-defense"/>
    <w:p>
      <w:pPr>
        <w:pStyle w:val="Heading2"/>
      </w:pPr>
      <w:r>
        <w:t xml:space="preserve">Prompt-injection defense</w:t>
      </w:r>
    </w:p>
    <w:p>
      <w:pPr>
        <w:pStyle w:val="FirstParagraph"/>
      </w:pPr>
      <w:r>
        <w:t xml:space="preserve">Applications, resumes, email, transcripts, web pages, competitor pages, imported notes, and workspace page content are untrusted data. They may not modify system policy, tool permissions, approval requirements, or data-access scope.</w:t>
      </w:r>
    </w:p>
    <w:bookmarkEnd w:id="58"/>
    <w:bookmarkStart w:id="59" w:name="audit"/>
    <w:p>
      <w:pPr>
        <w:pStyle w:val="Heading2"/>
      </w:pPr>
      <w:r>
        <w:t xml:space="preserve">Audit</w:t>
      </w:r>
    </w:p>
    <w:p>
      <w:pPr>
        <w:pStyle w:val="FirstParagraph"/>
      </w:pPr>
      <w:r>
        <w:t xml:space="preserve">The system must reconstruct every consequential outcome from:</w:t>
      </w:r>
    </w:p>
    <w:p>
      <w:pPr>
        <w:pStyle w:val="Compact"/>
        <w:numPr>
          <w:ilvl w:val="0"/>
          <w:numId w:val="1015"/>
        </w:numPr>
      </w:pPr>
      <w:r>
        <w:t xml:space="preserve">Trigger</w:t>
      </w:r>
    </w:p>
    <w:p>
      <w:pPr>
        <w:pStyle w:val="Compact"/>
        <w:numPr>
          <w:ilvl w:val="0"/>
          <w:numId w:val="1015"/>
        </w:numPr>
      </w:pPr>
      <w:r>
        <w:t xml:space="preserve">Actor</w:t>
      </w:r>
    </w:p>
    <w:p>
      <w:pPr>
        <w:pStyle w:val="Compact"/>
        <w:numPr>
          <w:ilvl w:val="0"/>
          <w:numId w:val="1015"/>
        </w:numPr>
      </w:pPr>
      <w:r>
        <w:t xml:space="preserve">Source records</w:t>
      </w:r>
    </w:p>
    <w:p>
      <w:pPr>
        <w:pStyle w:val="Compact"/>
        <w:numPr>
          <w:ilvl w:val="0"/>
          <w:numId w:val="1015"/>
        </w:numPr>
      </w:pPr>
      <w:r>
        <w:t xml:space="preserve">Retrieved context manifest</w:t>
      </w:r>
    </w:p>
    <w:p>
      <w:pPr>
        <w:pStyle w:val="Compact"/>
        <w:numPr>
          <w:ilvl w:val="0"/>
          <w:numId w:val="1015"/>
        </w:numPr>
      </w:pPr>
      <w:r>
        <w:t xml:space="preserve">Agent and prompt version</w:t>
      </w:r>
    </w:p>
    <w:p>
      <w:pPr>
        <w:pStyle w:val="Compact"/>
        <w:numPr>
          <w:ilvl w:val="0"/>
          <w:numId w:val="1015"/>
        </w:numPr>
      </w:pPr>
      <w:r>
        <w:t xml:space="preserve">Output</w:t>
      </w:r>
    </w:p>
    <w:p>
      <w:pPr>
        <w:pStyle w:val="Compact"/>
        <w:numPr>
          <w:ilvl w:val="0"/>
          <w:numId w:val="1015"/>
        </w:numPr>
      </w:pPr>
      <w:r>
        <w:t xml:space="preserve">Deterministic evaluation</w:t>
      </w:r>
    </w:p>
    <w:p>
      <w:pPr>
        <w:pStyle w:val="Compact"/>
        <w:numPr>
          <w:ilvl w:val="0"/>
          <w:numId w:val="1015"/>
        </w:numPr>
      </w:pPr>
      <w:r>
        <w:t xml:space="preserve">Founder edits</w:t>
      </w:r>
    </w:p>
    <w:p>
      <w:pPr>
        <w:pStyle w:val="Compact"/>
        <w:numPr>
          <w:ilvl w:val="0"/>
          <w:numId w:val="1015"/>
        </w:numPr>
      </w:pPr>
      <w:r>
        <w:t xml:space="preserve">Approval or rejection</w:t>
      </w:r>
    </w:p>
    <w:p>
      <w:pPr>
        <w:pStyle w:val="Compact"/>
        <w:numPr>
          <w:ilvl w:val="0"/>
          <w:numId w:val="1015"/>
        </w:numPr>
      </w:pPr>
      <w:r>
        <w:t xml:space="preserve">External action</w:t>
      </w:r>
    </w:p>
    <w:p>
      <w:pPr>
        <w:pStyle w:val="Compact"/>
        <w:numPr>
          <w:ilvl w:val="0"/>
          <w:numId w:val="1015"/>
        </w:numPr>
      </w:pPr>
      <w:r>
        <w:t xml:space="preserve">Resulting business outcome</w:t>
      </w:r>
    </w:p>
    <w:bookmarkEnd w:id="59"/>
    <w:bookmarkStart w:id="60" w:name="failure-posture"/>
    <w:p>
      <w:pPr>
        <w:pStyle w:val="Heading2"/>
      </w:pPr>
      <w:r>
        <w:t xml:space="preserve">Failure posture</w:t>
      </w:r>
    </w:p>
    <w:p>
      <w:pPr>
        <w:pStyle w:val="FirstParagraph"/>
      </w:pPr>
      <w:r>
        <w:t xml:space="preserve">Failures must preserve canonical state, create a visible retry or manual-work item, and never imply that an external action succeeded when it did not.</w:t>
      </w:r>
    </w:p>
    <w:bookmarkEnd w:id="60"/>
    <w:bookmarkEnd w:id="61"/>
    <w:bookmarkStart w:id="62" w:name="observability-and-cost-controls"/>
    <w:p>
      <w:pPr>
        <w:pStyle w:val="Heading1"/>
      </w:pPr>
      <w:r>
        <w:t xml:space="preserve">Observability and cost controls</w:t>
      </w:r>
    </w:p>
    <w:p>
      <w:pPr>
        <w:pStyle w:val="FirstParagraph"/>
      </w:pPr>
      <w:r>
        <w:t xml:space="preserve">Each workflow must emit structured logs and traces with: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workspace_id</w:t>
      </w:r>
    </w:p>
    <w:p>
      <w:pPr>
        <w:pStyle w:val="Compact"/>
        <w:numPr>
          <w:ilvl w:val="0"/>
          <w:numId w:val="1016"/>
        </w:numPr>
      </w:pPr>
      <w:r>
        <w:t xml:space="preserve">Correlation and causation IDs</w:t>
      </w:r>
    </w:p>
    <w:p>
      <w:pPr>
        <w:pStyle w:val="Compact"/>
        <w:numPr>
          <w:ilvl w:val="0"/>
          <w:numId w:val="1016"/>
        </w:numPr>
      </w:pPr>
      <w:r>
        <w:t xml:space="preserve">Phase and workflow key</w:t>
      </w:r>
    </w:p>
    <w:p>
      <w:pPr>
        <w:pStyle w:val="Compact"/>
        <w:numPr>
          <w:ilvl w:val="0"/>
          <w:numId w:val="1016"/>
        </w:numPr>
      </w:pPr>
      <w:r>
        <w:t xml:space="preserve">Agent key and version</w:t>
      </w:r>
    </w:p>
    <w:p>
      <w:pPr>
        <w:pStyle w:val="Compact"/>
        <w:numPr>
          <w:ilvl w:val="0"/>
          <w:numId w:val="1016"/>
        </w:numPr>
      </w:pPr>
      <w:r>
        <w:t xml:space="preserve">Canonical entity IDs</w:t>
      </w:r>
    </w:p>
    <w:p>
      <w:pPr>
        <w:pStyle w:val="Compact"/>
        <w:numPr>
          <w:ilvl w:val="0"/>
          <w:numId w:val="1016"/>
        </w:numPr>
      </w:pPr>
      <w:r>
        <w:t xml:space="preserve">Provider projection IDs where applicable</w:t>
      </w:r>
    </w:p>
    <w:p>
      <w:pPr>
        <w:pStyle w:val="Compact"/>
        <w:numPr>
          <w:ilvl w:val="0"/>
          <w:numId w:val="1016"/>
        </w:numPr>
      </w:pPr>
      <w:r>
        <w:t xml:space="preserve">Latency</w:t>
      </w:r>
    </w:p>
    <w:p>
      <w:pPr>
        <w:pStyle w:val="Compact"/>
        <w:numPr>
          <w:ilvl w:val="0"/>
          <w:numId w:val="1016"/>
        </w:numPr>
      </w:pPr>
      <w:r>
        <w:t xml:space="preserve">Model and tool cost</w:t>
      </w:r>
    </w:p>
    <w:p>
      <w:pPr>
        <w:pStyle w:val="Compact"/>
        <w:numPr>
          <w:ilvl w:val="0"/>
          <w:numId w:val="1016"/>
        </w:numPr>
      </w:pPr>
      <w:r>
        <w:t xml:space="preserve">Validation and evaluation result</w:t>
      </w:r>
    </w:p>
    <w:p>
      <w:pPr>
        <w:pStyle w:val="Compact"/>
        <w:numPr>
          <w:ilvl w:val="0"/>
          <w:numId w:val="1016"/>
        </w:numPr>
      </w:pPr>
      <w:r>
        <w:t xml:space="preserve">Retry count</w:t>
      </w:r>
    </w:p>
    <w:p>
      <w:pPr>
        <w:pStyle w:val="Compact"/>
        <w:numPr>
          <w:ilvl w:val="0"/>
          <w:numId w:val="1016"/>
        </w:numPr>
      </w:pPr>
      <w:r>
        <w:t xml:space="preserve">Approval result</w:t>
      </w:r>
    </w:p>
    <w:p>
      <w:pPr>
        <w:pStyle w:val="Compact"/>
        <w:numPr>
          <w:ilvl w:val="0"/>
          <w:numId w:val="1016"/>
        </w:numPr>
      </w:pPr>
      <w:r>
        <w:t xml:space="preserve">External action result</w:t>
      </w:r>
    </w:p>
    <w:p>
      <w:pPr>
        <w:pStyle w:val="FirstParagraph"/>
      </w:pPr>
      <w:r>
        <w:t xml:space="preserve">Required phase dashboards must distinguish system activity from accepted business value. Agent-run volume is not itself a success metric.</w:t>
      </w:r>
    </w:p>
    <w:bookmarkEnd w:id="62"/>
    <w:bookmarkStart w:id="63" w:name="deployment-and-activation-model"/>
    <w:p>
      <w:pPr>
        <w:pStyle w:val="Heading1"/>
      </w:pPr>
      <w:r>
        <w:t xml:space="preserve">Deployment and activation model</w:t>
      </w:r>
    </w:p>
    <w:p>
      <w:pPr>
        <w:pStyle w:val="FirstParagraph"/>
      </w:pPr>
      <w:r>
        <w:t xml:space="preserve">Each major capability must progress through:</w:t>
      </w:r>
    </w:p>
    <w:p>
      <w:pPr>
        <w:pStyle w:val="Compact"/>
        <w:numPr>
          <w:ilvl w:val="0"/>
          <w:numId w:val="1017"/>
        </w:numPr>
      </w:pPr>
      <w:r>
        <w:t xml:space="preserve">Local development</w:t>
      </w:r>
    </w:p>
    <w:p>
      <w:pPr>
        <w:pStyle w:val="Compact"/>
        <w:numPr>
          <w:ilvl w:val="0"/>
          <w:numId w:val="1017"/>
        </w:numPr>
      </w:pPr>
      <w:r>
        <w:t xml:space="preserve">Automated tests</w:t>
      </w:r>
    </w:p>
    <w:p>
      <w:pPr>
        <w:pStyle w:val="Compact"/>
        <w:numPr>
          <w:ilvl w:val="0"/>
          <w:numId w:val="1017"/>
        </w:numPr>
      </w:pPr>
      <w:r>
        <w:t xml:space="preserve">Staging with synthetic fixtures</w:t>
      </w:r>
    </w:p>
    <w:p>
      <w:pPr>
        <w:pStyle w:val="Compact"/>
        <w:numPr>
          <w:ilvl w:val="0"/>
          <w:numId w:val="1017"/>
        </w:numPr>
      </w:pPr>
      <w:r>
        <w:t xml:space="preserve">Production with feature flag disabled</w:t>
      </w:r>
    </w:p>
    <w:p>
      <w:pPr>
        <w:pStyle w:val="Compact"/>
        <w:numPr>
          <w:ilvl w:val="0"/>
          <w:numId w:val="1017"/>
        </w:numPr>
      </w:pPr>
      <w:r>
        <w:t xml:space="preserve">Production shadow mode</w:t>
      </w:r>
    </w:p>
    <w:p>
      <w:pPr>
        <w:pStyle w:val="Compact"/>
        <w:numPr>
          <w:ilvl w:val="0"/>
          <w:numId w:val="1017"/>
        </w:numPr>
      </w:pPr>
      <w:r>
        <w:t xml:space="preserve">Founder-only review mode</w:t>
      </w:r>
    </w:p>
    <w:p>
      <w:pPr>
        <w:pStyle w:val="Compact"/>
        <w:numPr>
          <w:ilvl w:val="0"/>
          <w:numId w:val="1017"/>
        </w:numPr>
      </w:pPr>
      <w:r>
        <w:t xml:space="preserve">Limited live activation</w:t>
      </w:r>
    </w:p>
    <w:p>
      <w:pPr>
        <w:pStyle w:val="Compact"/>
        <w:numPr>
          <w:ilvl w:val="0"/>
          <w:numId w:val="1017"/>
        </w:numPr>
      </w:pPr>
      <w:r>
        <w:t xml:space="preserve">Measured promotion or rollback</w:t>
      </w:r>
    </w:p>
    <w:p>
      <w:pPr>
        <w:pStyle w:val="FirstParagraph"/>
      </w:pPr>
      <w:r>
        <w:t xml:space="preserve">Every agent and workspace workflow requires an independent feature flag and version rollback path.</w:t>
      </w:r>
      <w:r>
        <w:t xml:space="preserve"> </w:t>
      </w:r>
      <w:r>
        <w:t xml:space="preserve"># Coding-agent execution instruction</w:t>
      </w:r>
    </w:p>
    <w:p>
      <w:pPr>
        <w:pStyle w:val="SourceCode"/>
      </w:pPr>
      <w:r>
        <w:rPr>
          <w:rStyle w:val="VerbatimChar"/>
        </w:rPr>
        <w:t xml:space="preserve">&gt; Implement Phase 4 - Scaled Marketing and Communications Operations according to this specification.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Begin by verifying that revised Phase 0 is operational: canonical records, generic artifacts, approvals, workspace commands, projection policies, evidence, claims, consent, event audit, feature flags, and the Notion provider adapter.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Produce an architecture decision record and a repository-to-requirement implementation map before migrations. Reuse Phase 0 services rather than creating parallel document, approval, consent, or workspace systems.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Maintain a live traceability matrix linking every requirement to implementation files, migrations, automated tests, feature flags, and operational metrics.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Preserve these phase-specific non-negotiable rules: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1. Marketing begins from approved evidence, strategy, or clearly labeled founder opinion.</w:t>
      </w:r>
    </w:p>
    <w:p>
      <w:pPr>
        <w:pStyle w:val="Compact"/>
        <w:numPr>
          <w:ilvl w:val="0"/>
          <w:numId w:val="1018"/>
        </w:numPr>
      </w:pPr>
      <w:r>
        <w:t xml:space="preserve">Every derivative is independently checked for claims, consent, pricing, and product availability.</w:t>
      </w:r>
    </w:p>
    <w:p>
      <w:pPr>
        <w:pStyle w:val="Compact"/>
        <w:numPr>
          <w:ilvl w:val="0"/>
          <w:numId w:val="1018"/>
        </w:numPr>
      </w:pPr>
      <w:r>
        <w:t xml:space="preserve">Notion is the editorial workspace; canonical artifact versions, approvals, publication records, and attribution remain in FOS.</w:t>
      </w:r>
    </w:p>
    <w:p>
      <w:pPr>
        <w:pStyle w:val="Compact"/>
        <w:numPr>
          <w:ilvl w:val="0"/>
          <w:numId w:val="1018"/>
        </w:numPr>
      </w:pPr>
      <w:r>
        <w:t xml:space="preserve">Platform integrations create drafts only; autonomous publication and engagement remain disabled.</w:t>
      </w:r>
    </w:p>
    <w:p>
      <w:pPr>
        <w:pStyle w:val="Compact"/>
        <w:numPr>
          <w:ilvl w:val="0"/>
          <w:numId w:val="1018"/>
        </w:numPr>
      </w:pPr>
      <w:r>
        <w:t xml:space="preserve">Attribution must expose method, confidence, and uncertainty.</w:t>
      </w:r>
      <w:r>
        <w:t xml:space="preserve"> </w:t>
      </w:r>
      <w:r>
        <w:t xml:space="preserve">&gt;</w:t>
      </w:r>
      <w:r>
        <w:t xml:space="preserve"> </w:t>
      </w:r>
      <w:r>
        <w:t xml:space="preserve">&gt; Implement work packages in dependency order. Activate each agent in shadow mode before founder-review mode. Treat Notion as a projection and controlled working surface, not as the source of canonical lifecycle, consent, claim, test, pricing, or deployment state.</w:t>
      </w:r>
    </w:p>
    <w:bookmarkEnd w:id="63"/>
    <w:sectPr w:rsidR="00FC693F" w:rsidRPr="0006063C" w:rsidSect="00034616">
      <w:footerReference r:id="rId9" w:type="default"/>
      <w:headerReference w:type="default" r:id="rId10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Founder Operating System | Phase 4 - Scaled Marketing and Communications Operations | Version 3.0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A8491"/>
        <w:sz w:val="15"/>
      </w:rPr>
      <w:t>FOS-TECH-PHASE-4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021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A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Aptos" w:asciiTheme="majorHAnsi" w:cstheme="majorBidi" w:eastAsiaTheme="majorEastAsia" w:hAnsi="Aptos" w:hAnsiTheme="majorHAnsi"/>
      <w:b/>
      <w:bCs/>
      <w:color w:val="1A365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10213A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021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 Display" w:asciiTheme="majorHAnsi" w:cstheme="majorBidi" w:eastAsiaTheme="majorEastAsia" w:hAnsi="Aptos Display" w:hAnsiTheme="majorHAnsi"/>
      <w:b/>
      <w:i/>
      <w:iCs/>
      <w:color w:val="1A365D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9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9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left="360" w:right="216"/>
    </w:pPr>
    <w:rPr>
      <w:rFonts w:ascii="Aptos" w:hAnsi="Aptos"/>
      <w:i/>
      <w:iCs/>
      <w:color w:val="1A365D"/>
      <w:sz w:val="19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360" w:right="216"/>
    </w:pPr>
    <w:rPr>
      <w:rFonts w:ascii="Aptos" w:hAnsi="Aptos"/>
      <w:b/>
      <w:bCs/>
      <w:i/>
      <w:iCs/>
      <w:color w:val="1A365D"/>
      <w:sz w:val="19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2026-07-13T22:18:52Z</dcterms:created>
  <dcterms:modified xsi:type="dcterms:W3CDTF">2026-07-13T22:18:52Z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