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600"/>
        <w:jc w:val="center"/>
      </w:pPr>
      <w:r>
        <w:rPr>
          <w:rFonts w:ascii="Aptos Display" w:hAnsi="Aptos Display"/>
          <w:b/>
          <w:color w:val="10213A"/>
          <w:sz w:val="56"/>
        </w:rPr>
        <w:t>FOUNDER OPERATING SYSTEM</w:t>
      </w:r>
    </w:p>
    <w:p>
      <w:pPr>
        <w:spacing w:before="480"/>
        <w:jc w:val="center"/>
      </w:pPr>
      <w:r>
        <w:rPr>
          <w:rFonts w:ascii="Aptos Display" w:hAnsi="Aptos Display"/>
          <w:b/>
          <w:color w:val="1A365D"/>
          <w:sz w:val="42"/>
        </w:rPr>
        <w:t>Next Dependencies and Cross-Phase Refactoring Plan</w:t>
      </w:r>
    </w:p>
    <w:p>
      <w:pPr>
        <w:spacing w:before="240"/>
        <w:jc w:val="center"/>
      </w:pPr>
      <w:r>
        <w:rPr>
          <w:rFonts w:ascii="Aptos" w:hAnsi="Aptos"/>
          <w:color w:val="5B6573"/>
          <w:sz w:val="26"/>
        </w:rPr>
        <w:t>Required before and during revised Phases 1 through 6</w:t>
      </w:r>
    </w:p>
    <w:p>
      <w:pPr>
        <w:spacing w:before="2200"/>
        <w:jc w:val="center"/>
      </w:pPr>
      <w:r>
        <w:rPr>
          <w:rFonts w:ascii="Aptos" w:hAnsi="Aptos"/>
          <w:color w:val="5B6573"/>
          <w:sz w:val="20"/>
        </w:rPr>
        <w:t>FOS-DEPENDENCIES-1-6  |  Version 3.0  |  2026-07-13</w:t>
      </w:r>
    </w:p>
    <w:p>
      <w:r>
        <w:br w:type="page"/>
      </w:r>
    </w:p>
    <w:p>
      <w:pPr>
        <w:pStyle w:val="Heading1"/>
      </w:pPr>
      <w:r>
        <w:t>Contents</w:t>
      </w:r>
    </w:p>
    <w:p>
      <w:pPr>
        <w:spacing w:after="60"/>
        <w:ind w:left="259" w:hanging="259"/>
      </w:pPr>
      <w:r>
        <w:rPr>
          <w:rFonts w:ascii="Aptos" w:hAnsi="Aptos"/>
          <w:color w:val="1A365D"/>
          <w:sz w:val="18"/>
        </w:rPr>
        <w:t>1. Executive decision</w:t>
      </w:r>
    </w:p>
    <w:p>
      <w:pPr>
        <w:spacing w:after="60"/>
        <w:ind w:left="259" w:hanging="259"/>
      </w:pPr>
      <w:r>
        <w:rPr>
          <w:rFonts w:ascii="Aptos" w:hAnsi="Aptos"/>
          <w:color w:val="1A365D"/>
          <w:sz w:val="18"/>
        </w:rPr>
        <w:t>2. Mandatory Phase 0 exit dependencies</w:t>
      </w:r>
    </w:p>
    <w:p>
      <w:pPr>
        <w:spacing w:after="60"/>
        <w:ind w:left="259" w:hanging="259"/>
      </w:pPr>
      <w:r>
        <w:rPr>
          <w:rFonts w:ascii="Aptos" w:hAnsi="Aptos"/>
          <w:color w:val="1A365D"/>
          <w:sz w:val="18"/>
        </w:rPr>
        <w:t>3. Compatibility refactors by shared contract</w:t>
      </w:r>
    </w:p>
    <w:p>
      <w:pPr>
        <w:spacing w:after="60"/>
        <w:ind w:left="259" w:hanging="259"/>
      </w:pPr>
      <w:r>
        <w:rPr>
          <w:rFonts w:ascii="Aptos" w:hAnsi="Aptos"/>
          <w:color w:val="1A365D"/>
          <w:sz w:val="18"/>
        </w:rPr>
        <w:t>4. Phase dependency graph</w:t>
      </w:r>
    </w:p>
    <w:p>
      <w:pPr>
        <w:spacing w:after="60"/>
        <w:ind w:left="259" w:hanging="259"/>
      </w:pPr>
      <w:r>
        <w:rPr>
          <w:rFonts w:ascii="Aptos" w:hAnsi="Aptos"/>
          <w:color w:val="1A365D"/>
          <w:sz w:val="18"/>
        </w:rPr>
        <w:t>5. Parallelization rules</w:t>
      </w:r>
    </w:p>
    <w:p>
      <w:pPr>
        <w:spacing w:after="60"/>
        <w:ind w:left="259" w:hanging="259"/>
      </w:pPr>
      <w:r>
        <w:rPr>
          <w:rFonts w:ascii="Aptos" w:hAnsi="Aptos"/>
          <w:color w:val="1A365D"/>
          <w:sz w:val="18"/>
        </w:rPr>
        <w:t>6. Refactor-first decision matrix</w:t>
      </w:r>
    </w:p>
    <w:p>
      <w:pPr>
        <w:spacing w:after="60"/>
        <w:ind w:left="259" w:hanging="259"/>
      </w:pPr>
      <w:r>
        <w:rPr>
          <w:rFonts w:ascii="Aptos" w:hAnsi="Aptos"/>
          <w:color w:val="1A365D"/>
          <w:sz w:val="18"/>
        </w:rPr>
        <w:t>7. Cross-phase implementation gates</w:t>
      </w:r>
    </w:p>
    <w:p>
      <w:pPr>
        <w:spacing w:after="60"/>
        <w:ind w:left="259" w:hanging="259"/>
      </w:pPr>
      <w:r>
        <w:rPr>
          <w:rFonts w:ascii="Aptos" w:hAnsi="Aptos"/>
          <w:color w:val="1A365D"/>
          <w:sz w:val="18"/>
        </w:rPr>
        <w:t>8. Required repository deliverables before Phase 1</w:t>
      </w:r>
    </w:p>
    <w:p>
      <w:pPr>
        <w:spacing w:after="60"/>
        <w:ind w:left="259" w:hanging="259"/>
      </w:pPr>
      <w:r>
        <w:rPr>
          <w:rFonts w:ascii="Aptos" w:hAnsi="Aptos"/>
          <w:color w:val="1A365D"/>
          <w:sz w:val="18"/>
        </w:rPr>
        <w:t>9. Recommended implementation order</w:t>
      </w:r>
    </w:p>
    <w:p>
      <w:pPr>
        <w:spacing w:after="60"/>
        <w:ind w:left="259" w:hanging="259"/>
      </w:pPr>
      <w:r>
        <w:rPr>
          <w:rFonts w:ascii="Aptos" w:hAnsi="Aptos"/>
          <w:color w:val="1A365D"/>
          <w:sz w:val="18"/>
        </w:rPr>
        <w:t>10. Definition of dependency readiness</w:t>
      </w:r>
    </w:p>
    <w:p>
      <w:r>
        <w:br w:type="page"/>
      </w:r>
    </w:p>
    <w:p>
      <w:pPr>
        <w:pStyle w:val="BlockText"/>
      </w:pPr>
      <w:r>
        <w:t xml:space="preserve">This document defines the implementation order and compatibility work required after revised Phase 0. It is the dependency authority for the revised Phase 1 through Phase 6 specifications included in this package.</w:t>
      </w:r>
    </w:p>
    <w:p>
      <w:r>
        <w:pict>
          <v:rect style="width:0;height:1.5pt" o:hralign="center" o:hrstd="t" o:hr="t"/>
        </w:pict>
      </w:r>
    </w:p>
    <w:bookmarkStart w:id="20" w:name="X708141ae6bd84a2740c9ff47cc7ae453f39e957"/>
    <w:p>
      <w:pPr>
        <w:pStyle w:val="Heading1"/>
      </w:pPr>
      <w:r>
        <w:t xml:space="preserve">1. Executive decision</w:t>
      </w:r>
    </w:p>
    <w:p>
      <w:pPr>
        <w:pStyle w:val="FirstParagraph"/>
      </w:pPr>
      <w:r>
        <w:t xml:space="preserve">Do not begin Phase 1 feature implementation until the Phase 0 compatibility gate passes. Later phases may be designed in parallel, but their production code must not recreate or bypass Phase 0 services.</w:t>
      </w:r>
    </w:p>
    <w:p>
      <w:pPr>
        <w:pStyle w:val="BodyText"/>
      </w:pPr>
      <w:r>
        <w:t xml:space="preserve">The revised sequence is:</w:t>
      </w:r>
    </w:p>
    <w:p>
      <w:pPr>
        <w:pStyle w:val="SourceCode"/>
      </w:pPr>
      <w:r>
        <w:rPr>
          <w:rStyle w:val="VerbatimChar"/>
        </w:rPr>
        <w:t xml:space="preserve">Phase 0A compatibility refactor</w:t>
      </w:r>
      <w:r>
        <w:br/>
      </w:r>
      <w:r>
        <w:rPr>
          <w:rStyle w:val="VerbatimChar"/>
        </w:rPr>
        <w:t xml:space="preserve">    -&gt; Phase 0 foundation and Notion workspace adapter</w:t>
      </w:r>
      <w:r>
        <w:br/>
      </w:r>
      <w:r>
        <w:rPr>
          <w:rStyle w:val="VerbatimChar"/>
        </w:rPr>
        <w:t xml:space="preserve">    -&gt; Phase 1 enrollment revenue and beta-launch communications</w:t>
      </w:r>
      <w:r>
        <w:br/>
      </w:r>
      <w:r>
        <w:rPr>
          <w:rStyle w:val="VerbatimChar"/>
        </w:rPr>
        <w:t xml:space="preserve">    -&gt; Phase 2 beta activation, support, retention, and recurring editorial cadence</w:t>
      </w:r>
      <w:r>
        <w:br/>
      </w:r>
      <w:r>
        <w:rPr>
          <w:rStyle w:val="VerbatimChar"/>
        </w:rPr>
        <w:t xml:space="preserve">    -&gt; Phase 3 product learning, QA, releases, and customer proof</w:t>
      </w:r>
      <w:r>
        <w:br/>
      </w:r>
      <w:r>
        <w:rPr>
          <w:rStyle w:val="VerbatimChar"/>
        </w:rPr>
        <w:t xml:space="preserve">    -&gt; Phase 4 scaled marketing and communications operations</w:t>
      </w:r>
      <w:r>
        <w:br/>
      </w:r>
      <w:r>
        <w:rPr>
          <w:rStyle w:val="VerbatimChar"/>
        </w:rPr>
        <w:t xml:space="preserve">    -&gt; Phase 5 competitive, pricing, and market intelligence</w:t>
      </w:r>
      <w:r>
        <w:br/>
      </w:r>
      <w:r>
        <w:rPr>
          <w:rStyle w:val="VerbatimChar"/>
        </w:rPr>
        <w:t xml:space="preserve">    -&gt; Phase 6 founder chief of staff, command center, and automation governance</w:t>
      </w:r>
    </w:p>
    <w:p>
      <w:pPr>
        <w:pStyle w:val="FirstParagraph"/>
      </w:pPr>
      <w:r>
        <w:t xml:space="preserve">Marketing is no longer deferred to Phase 4. Its foundation is Phase 0, launch communications are Phase 1, recurring founder publishing begins in Phase 2, product proof and release communications mature in Phase 3, and scaled campaign operations arrive in Phase 4.</w:t>
      </w:r>
    </w:p>
    <w:bookmarkEnd w:id="20"/>
    <w:bookmarkStart w:id="21" w:name="Xbab68e4a6b8d4b2f5889f4102670e24a85c0e0a"/>
    <w:p>
      <w:pPr>
        <w:pStyle w:val="Heading1"/>
      </w:pPr>
      <w:r>
        <w:t xml:space="preserve">2. Mandatory Phase 0 exit dependencies</w:t>
      </w:r>
    </w:p>
    <w:p>
      <w:pPr>
        <w:pStyle w:val="FirstParagraph"/>
      </w:pPr>
      <w:r>
        <w:t xml:space="preserve">The following capabilities must exist before Phase 1 live activation:</w:t>
      </w:r>
    </w:p>
    <w:tbl>
      <w:tblPr>
        <w:tblStyle w:val="TableGrid"/>
        <w:tblW w:type="auto" w:w="0"/>
        <w:jc w:val="center"/>
        <w:tblLook w:firstRow="1" w:lastRow="0" w:firstColumn="0" w:lastColumn="0" w:noHBand="0" w:noVBand="0" w:val="0020"/>
      </w:tblPr>
      <w:tblGrid>
        <w:gridCol w:w="2640"/>
        <w:gridCol w:w="2640"/>
        <w:gridCol w:w="2640"/>
      </w:tblGrid>
      <w:tr>
        <w:trPr>
          <w:tblHeader w:val="on"/>
          <w:tblHeader w:val="true"/>
        </w:trPr>
        <w:tc>
          <w:tcPr>
            <w:vAlign w:val="center"/>
            <w:shd w:fill="E8EEF5"/>
          </w:tcPr>
          <w:p>
            <w:pPr>
              <w:pStyle w:val="Compact"/>
              <w:jc w:val="left"/>
            </w:pPr>
            <w:r>
              <w:rPr>
                <w:b/>
                <w:color w:val="10213A"/>
                <w:sz w:val="16"/>
              </w:rPr>
              <w:t xml:space="preserve">Dependency</w:t>
            </w:r>
          </w:p>
        </w:tc>
        <w:tc>
          <w:tcPr>
            <w:vAlign w:val="center"/>
            <w:shd w:fill="E8EEF5"/>
          </w:tcPr>
          <w:p>
            <w:pPr>
              <w:pStyle w:val="Compact"/>
              <w:jc w:val="left"/>
            </w:pPr>
            <w:r>
              <w:rPr>
                <w:b/>
                <w:color w:val="10213A"/>
                <w:sz w:val="16"/>
              </w:rPr>
              <w:t xml:space="preserve">Required state</w:t>
            </w:r>
          </w:p>
        </w:tc>
        <w:tc>
          <w:tcPr>
            <w:vAlign w:val="center"/>
            <w:shd w:fill="E8EEF5"/>
          </w:tcPr>
          <w:p>
            <w:pPr>
              <w:pStyle w:val="Compact"/>
              <w:jc w:val="left"/>
            </w:pPr>
            <w:r>
              <w:rPr>
                <w:b/>
                <w:color w:val="10213A"/>
                <w:sz w:val="16"/>
              </w:rPr>
              <w:t xml:space="preserve">Blocking reason</w:t>
            </w:r>
          </w:p>
        </w:tc>
      </w:tr>
      <w:tr>
        <w:tc>
          <w:tcPr/>
          <w:p>
            <w:pPr>
              <w:pStyle w:val="Compact"/>
              <w:jc w:val="left"/>
            </w:pPr>
            <w:r>
              <w:rPr>
                <w:sz w:val="16"/>
              </w:rPr>
              <w:t xml:space="preserve">Canonical</w:t>
            </w:r>
            <w:r>
              <w:rPr>
                <w:sz w:val="16"/>
              </w:rPr>
              <w:t xml:space="preserve"> </w:t>
            </w:r>
            <w:r>
              <w:rPr>
                <w:rStyle w:val="VerbatimChar"/>
                <w:sz w:val="16"/>
              </w:rPr>
              <w:t xml:space="preserve">FOSWorkspace</w:t>
            </w:r>
            <w:r>
              <w:rPr>
                <w:sz w:val="16"/>
              </w:rPr>
              <w:t xml:space="preserve"> </w:t>
            </w:r>
            <w:r>
              <w:rPr>
                <w:sz w:val="16"/>
              </w:rPr>
              <w:t xml:space="preserve">and authorization</w:t>
            </w:r>
          </w:p>
        </w:tc>
        <w:tc>
          <w:tcPr/>
          <w:p>
            <w:pPr>
              <w:pStyle w:val="Compact"/>
              <w:jc w:val="left"/>
            </w:pPr>
            <w:r>
              <w:rPr>
                <w:sz w:val="16"/>
              </w:rPr>
              <w:t xml:space="preserve">Production-ready</w:t>
            </w:r>
          </w:p>
        </w:tc>
        <w:tc>
          <w:tcPr/>
          <w:p>
            <w:pPr>
              <w:pStyle w:val="Compact"/>
              <w:jc w:val="left"/>
            </w:pPr>
            <w:r>
              <w:rPr>
                <w:sz w:val="16"/>
              </w:rPr>
              <w:t xml:space="preserve">All later records and projections require tenant isolation</w:t>
            </w:r>
          </w:p>
        </w:tc>
      </w:tr>
      <w:tr>
        <w:tc>
          <w:tcPr/>
          <w:p>
            <w:pPr>
              <w:pStyle w:val="Compact"/>
              <w:jc w:val="left"/>
            </w:pPr>
            <w:r>
              <w:rPr>
                <w:rStyle w:val="VerbatimChar"/>
                <w:sz w:val="16"/>
              </w:rPr>
              <w:t xml:space="preserve">ArtifactRecord</w:t>
            </w:r>
            <w:r>
              <w:rPr>
                <w:sz w:val="16"/>
              </w:rPr>
              <w:t xml:space="preserve"> </w:t>
            </w:r>
            <w:r>
              <w:rPr>
                <w:sz w:val="16"/>
              </w:rPr>
              <w:t xml:space="preserve">and</w:t>
            </w:r>
            <w:r>
              <w:rPr>
                <w:sz w:val="16"/>
              </w:rPr>
              <w:t xml:space="preserve"> </w:t>
            </w:r>
            <w:r>
              <w:rPr>
                <w:rStyle w:val="VerbatimChar"/>
                <w:sz w:val="16"/>
              </w:rPr>
              <w:t xml:space="preserve">ArtifactVersion</w:t>
            </w:r>
          </w:p>
        </w:tc>
        <w:tc>
          <w:tcPr/>
          <w:p>
            <w:pPr>
              <w:pStyle w:val="Compact"/>
              <w:jc w:val="left"/>
            </w:pPr>
            <w:r>
              <w:rPr>
                <w:sz w:val="16"/>
              </w:rPr>
              <w:t xml:space="preserve">Production-ready</w:t>
            </w:r>
          </w:p>
        </w:tc>
        <w:tc>
          <w:tcPr/>
          <w:p>
            <w:pPr>
              <w:pStyle w:val="Compact"/>
              <w:jc w:val="left"/>
            </w:pPr>
            <w:r>
              <w:rPr>
                <w:sz w:val="16"/>
              </w:rPr>
              <w:t xml:space="preserve">Every later phase produces editable versioned work</w:t>
            </w:r>
          </w:p>
        </w:tc>
      </w:tr>
      <w:tr>
        <w:tc>
          <w:tcPr/>
          <w:p>
            <w:pPr>
              <w:pStyle w:val="Compact"/>
              <w:jc w:val="left"/>
            </w:pPr>
            <w:r>
              <w:rPr>
                <w:sz w:val="16"/>
              </w:rPr>
              <w:t xml:space="preserve">Interface-independent</w:t>
            </w:r>
            <w:r>
              <w:rPr>
                <w:sz w:val="16"/>
              </w:rPr>
              <w:t xml:space="preserve"> </w:t>
            </w:r>
            <w:r>
              <w:rPr>
                <w:rStyle w:val="VerbatimChar"/>
                <w:sz w:val="16"/>
              </w:rPr>
              <w:t xml:space="preserve">Approval</w:t>
            </w:r>
          </w:p>
        </w:tc>
        <w:tc>
          <w:tcPr/>
          <w:p>
            <w:pPr>
              <w:pStyle w:val="Compact"/>
              <w:jc w:val="left"/>
            </w:pPr>
            <w:r>
              <w:rPr>
                <w:sz w:val="16"/>
              </w:rPr>
              <w:t xml:space="preserve">Production-ready</w:t>
            </w:r>
          </w:p>
        </w:tc>
        <w:tc>
          <w:tcPr/>
          <w:p>
            <w:pPr>
              <w:pStyle w:val="Compact"/>
              <w:jc w:val="left"/>
            </w:pPr>
            <w:r>
              <w:rPr>
                <w:sz w:val="16"/>
              </w:rPr>
              <w:t xml:space="preserve">Notion and native interfaces must share the same authority</w:t>
            </w:r>
          </w:p>
        </w:tc>
      </w:tr>
      <w:tr>
        <w:tc>
          <w:tcPr/>
          <w:p>
            <w:pPr>
              <w:pStyle w:val="Compact"/>
              <w:jc w:val="left"/>
            </w:pPr>
            <w:r>
              <w:rPr>
                <w:rStyle w:val="VerbatimChar"/>
                <w:sz w:val="16"/>
              </w:rPr>
              <w:t xml:space="preserve">WorkspaceCommand</w:t>
            </w:r>
            <w:r>
              <w:rPr>
                <w:sz w:val="16"/>
              </w:rPr>
              <w:t xml:space="preserve"> </w:t>
            </w:r>
            <w:r>
              <w:rPr>
                <w:sz w:val="16"/>
              </w:rPr>
              <w:t xml:space="preserve">validation</w:t>
            </w:r>
          </w:p>
        </w:tc>
        <w:tc>
          <w:tcPr/>
          <w:p>
            <w:pPr>
              <w:pStyle w:val="Compact"/>
              <w:jc w:val="left"/>
            </w:pPr>
            <w:r>
              <w:rPr>
                <w:sz w:val="16"/>
              </w:rPr>
              <w:t xml:space="preserve">Production-ready</w:t>
            </w:r>
          </w:p>
        </w:tc>
        <w:tc>
          <w:tcPr/>
          <w:p>
            <w:pPr>
              <w:pStyle w:val="Compact"/>
              <w:jc w:val="left"/>
            </w:pPr>
            <w:r>
              <w:rPr>
                <w:sz w:val="16"/>
              </w:rPr>
              <w:t xml:space="preserve">Founder actions in Notion must not directly mutate state</w:t>
            </w:r>
          </w:p>
        </w:tc>
      </w:tr>
      <w:tr>
        <w:tc>
          <w:tcPr/>
          <w:p>
            <w:pPr>
              <w:pStyle w:val="Compact"/>
              <w:jc w:val="left"/>
            </w:pPr>
            <w:r>
              <w:rPr>
                <w:sz w:val="16"/>
              </w:rPr>
              <w:t xml:space="preserve">Provider-neutral workspace adapter</w:t>
            </w:r>
          </w:p>
        </w:tc>
        <w:tc>
          <w:tcPr/>
          <w:p>
            <w:pPr>
              <w:pStyle w:val="Compact"/>
              <w:jc w:val="left"/>
            </w:pPr>
            <w:r>
              <w:rPr>
                <w:sz w:val="16"/>
              </w:rPr>
              <w:t xml:space="preserve">Production-ready</w:t>
            </w:r>
          </w:p>
        </w:tc>
        <w:tc>
          <w:tcPr/>
          <w:p>
            <w:pPr>
              <w:pStyle w:val="Compact"/>
              <w:jc w:val="left"/>
            </w:pPr>
            <w:r>
              <w:rPr>
                <w:sz w:val="16"/>
              </w:rPr>
              <w:t xml:space="preserve">Later phases must not embed Notion types in domain services</w:t>
            </w:r>
          </w:p>
        </w:tc>
      </w:tr>
      <w:tr>
        <w:tc>
          <w:tcPr/>
          <w:p>
            <w:pPr>
              <w:pStyle w:val="Compact"/>
              <w:jc w:val="left"/>
            </w:pPr>
            <w:r>
              <w:rPr>
                <w:sz w:val="16"/>
              </w:rPr>
              <w:t xml:space="preserve">Notion projection and reconciliation</w:t>
            </w:r>
          </w:p>
        </w:tc>
        <w:tc>
          <w:tcPr/>
          <w:p>
            <w:pPr>
              <w:pStyle w:val="Compact"/>
              <w:jc w:val="left"/>
            </w:pPr>
            <w:r>
              <w:rPr>
                <w:sz w:val="16"/>
              </w:rPr>
              <w:t xml:space="preserve">Production-ready</w:t>
            </w:r>
          </w:p>
        </w:tc>
        <w:tc>
          <w:tcPr/>
          <w:p>
            <w:pPr>
              <w:pStyle w:val="Compact"/>
              <w:jc w:val="left"/>
            </w:pPr>
            <w:r>
              <w:rPr>
                <w:sz w:val="16"/>
              </w:rPr>
              <w:t xml:space="preserve">Founder operations depend on safe working views</w:t>
            </w:r>
          </w:p>
        </w:tc>
      </w:tr>
      <w:tr>
        <w:tc>
          <w:tcPr/>
          <w:p>
            <w:pPr>
              <w:pStyle w:val="Compact"/>
              <w:jc w:val="left"/>
            </w:pPr>
            <w:r>
              <w:rPr>
                <w:sz w:val="16"/>
              </w:rPr>
              <w:t xml:space="preserve">Evidence and ProductClaim ledgers</w:t>
            </w:r>
          </w:p>
        </w:tc>
        <w:tc>
          <w:tcPr/>
          <w:p>
            <w:pPr>
              <w:pStyle w:val="Compact"/>
              <w:jc w:val="left"/>
            </w:pPr>
            <w:r>
              <w:rPr>
                <w:sz w:val="16"/>
              </w:rPr>
              <w:t xml:space="preserve">Production-ready</w:t>
            </w:r>
          </w:p>
        </w:tc>
        <w:tc>
          <w:tcPr/>
          <w:p>
            <w:pPr>
              <w:pStyle w:val="Compact"/>
              <w:jc w:val="left"/>
            </w:pPr>
            <w:r>
              <w:rPr>
                <w:sz w:val="16"/>
              </w:rPr>
              <w:t xml:space="preserve">Enrollment and marketing claims require deterministic validation</w:t>
            </w:r>
          </w:p>
        </w:tc>
      </w:tr>
      <w:tr>
        <w:tc>
          <w:tcPr/>
          <w:p>
            <w:pPr>
              <w:pStyle w:val="Compact"/>
              <w:jc w:val="left"/>
            </w:pPr>
            <w:r>
              <w:rPr>
                <w:sz w:val="16"/>
              </w:rPr>
              <w:t xml:space="preserve">Consent ledger</w:t>
            </w:r>
          </w:p>
        </w:tc>
        <w:tc>
          <w:tcPr/>
          <w:p>
            <w:pPr>
              <w:pStyle w:val="Compact"/>
              <w:jc w:val="left"/>
            </w:pPr>
            <w:r>
              <w:rPr>
                <w:sz w:val="16"/>
              </w:rPr>
              <w:t xml:space="preserve">Production-ready</w:t>
            </w:r>
          </w:p>
        </w:tc>
        <w:tc>
          <w:tcPr/>
          <w:p>
            <w:pPr>
              <w:pStyle w:val="Compact"/>
              <w:jc w:val="left"/>
            </w:pPr>
            <w:r>
              <w:rPr>
                <w:sz w:val="16"/>
              </w:rPr>
              <w:t xml:space="preserve">Beta, testimonial, referral, and marketing use depend on it</w:t>
            </w:r>
          </w:p>
        </w:tc>
      </w:tr>
      <w:tr>
        <w:tc>
          <w:tcPr/>
          <w:p>
            <w:pPr>
              <w:pStyle w:val="Compact"/>
              <w:jc w:val="left"/>
            </w:pPr>
            <w:r>
              <w:rPr>
                <w:sz w:val="16"/>
              </w:rPr>
              <w:t xml:space="preserve">Audience, channel, narrative, CTA, and voice policies</w:t>
            </w:r>
          </w:p>
        </w:tc>
        <w:tc>
          <w:tcPr/>
          <w:p>
            <w:pPr>
              <w:pStyle w:val="Compact"/>
              <w:jc w:val="left"/>
            </w:pPr>
            <w:r>
              <w:rPr>
                <w:sz w:val="16"/>
              </w:rPr>
              <w:t xml:space="preserve">Seeded and founder-approved</w:t>
            </w:r>
          </w:p>
        </w:tc>
        <w:tc>
          <w:tcPr/>
          <w:p>
            <w:pPr>
              <w:pStyle w:val="Compact"/>
              <w:jc w:val="left"/>
            </w:pPr>
            <w:r>
              <w:rPr>
                <w:sz w:val="16"/>
              </w:rPr>
              <w:t xml:space="preserve">Phase 1 launch communications require them</w:t>
            </w:r>
          </w:p>
        </w:tc>
      </w:tr>
      <w:tr>
        <w:tc>
          <w:tcPr/>
          <w:p>
            <w:pPr>
              <w:pStyle w:val="Compact"/>
              <w:jc w:val="left"/>
            </w:pPr>
            <w:r>
              <w:rPr>
                <w:sz w:val="16"/>
              </w:rPr>
              <w:t xml:space="preserve">Operational event and audit model</w:t>
            </w:r>
          </w:p>
        </w:tc>
        <w:tc>
          <w:tcPr/>
          <w:p>
            <w:pPr>
              <w:pStyle w:val="Compact"/>
              <w:jc w:val="left"/>
            </w:pPr>
            <w:r>
              <w:rPr>
                <w:sz w:val="16"/>
              </w:rPr>
              <w:t xml:space="preserve">Production-ready</w:t>
            </w:r>
          </w:p>
        </w:tc>
        <w:tc>
          <w:tcPr/>
          <w:p>
            <w:pPr>
              <w:pStyle w:val="Compact"/>
              <w:jc w:val="left"/>
            </w:pPr>
            <w:r>
              <w:rPr>
                <w:sz w:val="16"/>
              </w:rPr>
              <w:t xml:space="preserve">Funnel, beta, QA, content, and chief-of-staff metrics depend on it</w:t>
            </w:r>
          </w:p>
        </w:tc>
      </w:tr>
      <w:tr>
        <w:tc>
          <w:tcPr/>
          <w:p>
            <w:pPr>
              <w:pStyle w:val="Compact"/>
              <w:jc w:val="left"/>
            </w:pPr>
            <w:r>
              <w:rPr>
                <w:sz w:val="16"/>
              </w:rPr>
              <w:t xml:space="preserve">Feature flags and shadow-mode support</w:t>
            </w:r>
          </w:p>
        </w:tc>
        <w:tc>
          <w:tcPr/>
          <w:p>
            <w:pPr>
              <w:pStyle w:val="Compact"/>
              <w:jc w:val="left"/>
            </w:pPr>
            <w:r>
              <w:rPr>
                <w:sz w:val="16"/>
              </w:rPr>
              <w:t xml:space="preserve">Production-ready</w:t>
            </w:r>
          </w:p>
        </w:tc>
        <w:tc>
          <w:tcPr/>
          <w:p>
            <w:pPr>
              <w:pStyle w:val="Compact"/>
              <w:jc w:val="left"/>
            </w:pPr>
            <w:r>
              <w:rPr>
                <w:sz w:val="16"/>
              </w:rPr>
              <w:t xml:space="preserve">All agents require staged activation</w:t>
            </w:r>
          </w:p>
        </w:tc>
      </w:tr>
      <w:tr>
        <w:tc>
          <w:tcPr/>
          <w:p>
            <w:pPr>
              <w:pStyle w:val="Compact"/>
              <w:jc w:val="left"/>
            </w:pPr>
            <w:r>
              <w:rPr>
                <w:sz w:val="16"/>
              </w:rPr>
              <w:t xml:space="preserve">External-send and autopublish disabled</w:t>
            </w:r>
          </w:p>
        </w:tc>
        <w:tc>
          <w:tcPr/>
          <w:p>
            <w:pPr>
              <w:pStyle w:val="Compact"/>
              <w:jc w:val="left"/>
            </w:pPr>
            <w:r>
              <w:rPr>
                <w:sz w:val="16"/>
              </w:rPr>
              <w:t xml:space="preserve">Verified</w:t>
            </w:r>
          </w:p>
        </w:tc>
        <w:tc>
          <w:tcPr/>
          <w:p>
            <w:pPr>
              <w:pStyle w:val="Compact"/>
              <w:jc w:val="left"/>
            </w:pPr>
            <w:r>
              <w:rPr>
                <w:sz w:val="16"/>
              </w:rPr>
              <w:t xml:space="preserve">No agent may bypass founder control</w:t>
            </w:r>
          </w:p>
        </w:tc>
      </w:tr>
    </w:tbl>
    <w:bookmarkEnd w:id="21"/>
    <w:bookmarkStart w:id="27" w:name="Xed47eacdf46db1f33944b697957854e4520d7f7"/>
    <w:p>
      <w:pPr>
        <w:pStyle w:val="Heading1"/>
      </w:pPr>
      <w:r>
        <w:t xml:space="preserve">3. Compatibility refactors by shared contract</w:t>
      </w:r>
    </w:p>
    <w:bookmarkStart w:id="22" w:name="X8786e292a07f252e69f6ff8542e1169d3276bfc"/>
    <w:p>
      <w:pPr>
        <w:pStyle w:val="Heading2"/>
      </w:pPr>
      <w:r>
        <w:t xml:space="preserve">3.1 Generic artifact migration</w:t>
      </w:r>
    </w:p>
    <w:p>
      <w:pPr>
        <w:pStyle w:val="FirstParagraph"/>
      </w:pPr>
      <w:r>
        <w:t xml:space="preserve">Replace phase-specific mutable text records with a shared artifact contract.</w:t>
      </w:r>
    </w:p>
    <w:p>
      <w:pPr>
        <w:pStyle w:val="BodyText"/>
      </w:pPr>
      <w:r>
        <w:t xml:space="preserve">Required artifact categories by phase:</w:t>
      </w:r>
    </w:p>
    <w:tbl>
      <w:tblPr>
        <w:tblStyle w:val="TableGrid"/>
        <w:tblW w:type="auto" w:w="0"/>
        <w:jc w:val="center"/>
        <w:tblLook w:firstRow="1" w:lastRow="0" w:firstColumn="0" w:lastColumn="0" w:noHBand="0" w:noVBand="0" w:val="0020"/>
      </w:tblPr>
      <w:tblGrid>
        <w:gridCol w:w="3960"/>
        <w:gridCol w:w="3960"/>
      </w:tblGrid>
      <w:tr>
        <w:trPr>
          <w:tblHeader w:val="on"/>
        </w:trPr>
        <w:tc>
          <w:tcPr>
            <w:vAlign w:val="center"/>
            <w:shd w:fill="E8EEF5"/>
          </w:tcPr>
          <w:p>
            <w:pPr>
              <w:pStyle w:val="Compact"/>
              <w:jc w:val="left"/>
            </w:pPr>
            <w:r>
              <w:rPr>
                <w:b/>
                <w:color w:val="10213A"/>
                <w:sz w:val="16"/>
              </w:rPr>
              <w:t xml:space="preserve">Phase</w:t>
            </w:r>
          </w:p>
        </w:tc>
        <w:tc>
          <w:tcPr>
            <w:vAlign w:val="center"/>
            <w:shd w:fill="E8EEF5"/>
          </w:tcPr>
          <w:p>
            <w:pPr>
              <w:pStyle w:val="Compact"/>
              <w:jc w:val="left"/>
            </w:pPr>
            <w:r>
              <w:rPr>
                <w:b/>
                <w:color w:val="10213A"/>
                <w:sz w:val="16"/>
              </w:rPr>
              <w:t xml:space="preserve">Artifact categories</w:t>
            </w:r>
          </w:p>
        </w:tc>
      </w:tr>
      <w:tr>
        <w:tc>
          <w:tcPr/>
          <w:p>
            <w:pPr>
              <w:pStyle w:val="Compact"/>
              <w:jc w:val="left"/>
            </w:pPr>
            <w:r>
              <w:rPr>
                <w:sz w:val="16"/>
              </w:rPr>
              <w:t xml:space="preserve">1</w:t>
            </w:r>
          </w:p>
        </w:tc>
        <w:tc>
          <w:tcPr/>
          <w:p>
            <w:pPr>
              <w:pStyle w:val="Compact"/>
              <w:jc w:val="left"/>
            </w:pPr>
            <w:r>
              <w:rPr>
                <w:sz w:val="16"/>
              </w:rPr>
              <w:t xml:space="preserve">enrollment brief, call brief, follow-up, beta launch post, launch email, webinar invitation</w:t>
            </w:r>
          </w:p>
        </w:tc>
      </w:tr>
      <w:tr>
        <w:tc>
          <w:tcPr/>
          <w:p>
            <w:pPr>
              <w:pStyle w:val="Compact"/>
              <w:jc w:val="left"/>
            </w:pPr>
            <w:r>
              <w:rPr>
                <w:sz w:val="16"/>
              </w:rPr>
              <w:t xml:space="preserve">2</w:t>
            </w:r>
          </w:p>
        </w:tc>
        <w:tc>
          <w:tcPr/>
          <w:p>
            <w:pPr>
              <w:pStyle w:val="Compact"/>
              <w:jc w:val="left"/>
            </w:pPr>
            <w:r>
              <w:rPr>
                <w:sz w:val="16"/>
              </w:rPr>
              <w:t xml:space="preserve">onboarding plan, support response, intervention, LinkedIn post, Substack paper, editorial plan</w:t>
            </w:r>
          </w:p>
        </w:tc>
      </w:tr>
      <w:tr>
        <w:tc>
          <w:tcPr/>
          <w:p>
            <w:pPr>
              <w:pStyle w:val="Compact"/>
              <w:jc w:val="left"/>
            </w:pPr>
            <w:r>
              <w:rPr>
                <w:sz w:val="16"/>
              </w:rPr>
              <w:t xml:space="preserve">3</w:t>
            </w:r>
          </w:p>
        </w:tc>
        <w:tc>
          <w:tcPr/>
          <w:p>
            <w:pPr>
              <w:pStyle w:val="Compact"/>
              <w:jc w:val="left"/>
            </w:pPr>
            <w:r>
              <w:rPr>
                <w:sz w:val="16"/>
              </w:rPr>
              <w:t xml:space="preserve">product specification, test plan, release report, case study, release note, technical paper</w:t>
            </w:r>
          </w:p>
        </w:tc>
      </w:tr>
      <w:tr>
        <w:tc>
          <w:tcPr/>
          <w:p>
            <w:pPr>
              <w:pStyle w:val="Compact"/>
              <w:jc w:val="left"/>
            </w:pPr>
            <w:r>
              <w:rPr>
                <w:sz w:val="16"/>
              </w:rPr>
              <w:t xml:space="preserve">4</w:t>
            </w:r>
          </w:p>
        </w:tc>
        <w:tc>
          <w:tcPr/>
          <w:p>
            <w:pPr>
              <w:pStyle w:val="Compact"/>
              <w:jc w:val="left"/>
            </w:pPr>
            <w:r>
              <w:rPr>
                <w:sz w:val="16"/>
              </w:rPr>
              <w:t xml:space="preserve">campaign brief, content series, landing page, email sequence, carousel script, performance review</w:t>
            </w:r>
          </w:p>
        </w:tc>
      </w:tr>
      <w:tr>
        <w:tc>
          <w:tcPr/>
          <w:p>
            <w:pPr>
              <w:pStyle w:val="Compact"/>
              <w:jc w:val="left"/>
            </w:pPr>
            <w:r>
              <w:rPr>
                <w:sz w:val="16"/>
              </w:rPr>
              <w:t xml:space="preserve">5</w:t>
            </w:r>
          </w:p>
        </w:tc>
        <w:tc>
          <w:tcPr/>
          <w:p>
            <w:pPr>
              <w:pStyle w:val="Compact"/>
              <w:jc w:val="left"/>
            </w:pPr>
            <w:r>
              <w:rPr>
                <w:sz w:val="16"/>
              </w:rPr>
              <w:t xml:space="preserve">market brief, competitor comparison, pricing review, strategic alert</w:t>
            </w:r>
          </w:p>
        </w:tc>
      </w:tr>
      <w:tr>
        <w:tc>
          <w:tcPr/>
          <w:p>
            <w:pPr>
              <w:pStyle w:val="Compact"/>
              <w:jc w:val="left"/>
            </w:pPr>
            <w:r>
              <w:rPr>
                <w:sz w:val="16"/>
              </w:rPr>
              <w:t xml:space="preserve">6</w:t>
            </w:r>
          </w:p>
        </w:tc>
        <w:tc>
          <w:tcPr/>
          <w:p>
            <w:pPr>
              <w:pStyle w:val="Compact"/>
              <w:jc w:val="left"/>
            </w:pPr>
            <w:r>
              <w:rPr>
                <w:sz w:val="16"/>
              </w:rPr>
              <w:t xml:space="preserve">decision brief, operating review, strategic memo, automation proposal</w:t>
            </w:r>
          </w:p>
        </w:tc>
      </w:tr>
    </w:tbl>
    <w:p>
      <w:pPr>
        <w:pStyle w:val="BodyText"/>
      </w:pPr>
      <w:r>
        <w:t xml:space="preserve">Every artifact must support canonical metadata, version history, founder edits, evidence/claims/consent manifests, approval, projection, and supersession.</w:t>
      </w:r>
    </w:p>
    <w:bookmarkEnd w:id="22"/>
    <w:bookmarkStart w:id="23" w:name="X1db006b1cbf4155c2a51ac07cb37446b9ce39ef"/>
    <w:p>
      <w:pPr>
        <w:pStyle w:val="Heading2"/>
      </w:pPr>
      <w:r>
        <w:t xml:space="preserve">3.2 Workspace-command migration</w:t>
      </w:r>
    </w:p>
    <w:p>
      <w:pPr>
        <w:pStyle w:val="FirstParagraph"/>
      </w:pPr>
      <w:r>
        <w:t xml:space="preserve">No provider status value may be treated as canonical by itself. Required commands include:</w:t>
      </w:r>
    </w:p>
    <w:p>
      <w:pPr>
        <w:pStyle w:val="Compact"/>
        <w:numPr>
          <w:ilvl w:val="0"/>
          <w:numId w:val="1001"/>
        </w:numPr>
      </w:pPr>
      <w:r>
        <w:rPr>
          <w:rStyle w:val="VerbatimChar"/>
        </w:rPr>
        <w:t xml:space="preserve">approve_artifact</w:t>
      </w:r>
    </w:p>
    <w:p>
      <w:pPr>
        <w:pStyle w:val="Compact"/>
        <w:numPr>
          <w:ilvl w:val="0"/>
          <w:numId w:val="1001"/>
        </w:numPr>
      </w:pPr>
      <w:r>
        <w:rPr>
          <w:rStyle w:val="VerbatimChar"/>
        </w:rPr>
        <w:t xml:space="preserve">approve_with_edits</w:t>
      </w:r>
    </w:p>
    <w:p>
      <w:pPr>
        <w:pStyle w:val="Compact"/>
        <w:numPr>
          <w:ilvl w:val="0"/>
          <w:numId w:val="1001"/>
        </w:numPr>
      </w:pPr>
      <w:r>
        <w:rPr>
          <w:rStyle w:val="VerbatimChar"/>
        </w:rPr>
        <w:t xml:space="preserve">reject_artifact</w:t>
      </w:r>
    </w:p>
    <w:p>
      <w:pPr>
        <w:pStyle w:val="Compact"/>
        <w:numPr>
          <w:ilvl w:val="0"/>
          <w:numId w:val="1001"/>
        </w:numPr>
      </w:pPr>
      <w:r>
        <w:rPr>
          <w:rStyle w:val="VerbatimChar"/>
        </w:rPr>
        <w:t xml:space="preserve">defer_item</w:t>
      </w:r>
    </w:p>
    <w:p>
      <w:pPr>
        <w:pStyle w:val="Compact"/>
        <w:numPr>
          <w:ilvl w:val="0"/>
          <w:numId w:val="1001"/>
        </w:numPr>
      </w:pPr>
      <w:r>
        <w:rPr>
          <w:rStyle w:val="VerbatimChar"/>
        </w:rPr>
        <w:t xml:space="preserve">request_revision</w:t>
      </w:r>
    </w:p>
    <w:p>
      <w:pPr>
        <w:pStyle w:val="Compact"/>
        <w:numPr>
          <w:ilvl w:val="0"/>
          <w:numId w:val="1001"/>
        </w:numPr>
      </w:pPr>
      <w:r>
        <w:rPr>
          <w:rStyle w:val="VerbatimChar"/>
        </w:rPr>
        <w:t xml:space="preserve">propose_stage_transition</w:t>
      </w:r>
    </w:p>
    <w:p>
      <w:pPr>
        <w:pStyle w:val="Compact"/>
        <w:numPr>
          <w:ilvl w:val="0"/>
          <w:numId w:val="1001"/>
        </w:numPr>
      </w:pPr>
      <w:r>
        <w:rPr>
          <w:rStyle w:val="VerbatimChar"/>
        </w:rPr>
        <w:t xml:space="preserve">create_external_draft</w:t>
      </w:r>
    </w:p>
    <w:p>
      <w:pPr>
        <w:pStyle w:val="Compact"/>
        <w:numPr>
          <w:ilvl w:val="0"/>
          <w:numId w:val="1001"/>
        </w:numPr>
      </w:pPr>
      <w:r>
        <w:rPr>
          <w:rStyle w:val="VerbatimChar"/>
        </w:rPr>
        <w:t xml:space="preserve">run_agent</w:t>
      </w:r>
    </w:p>
    <w:p>
      <w:pPr>
        <w:pStyle w:val="Compact"/>
        <w:numPr>
          <w:ilvl w:val="0"/>
          <w:numId w:val="1001"/>
        </w:numPr>
      </w:pPr>
      <w:r>
        <w:rPr>
          <w:rStyle w:val="VerbatimChar"/>
        </w:rPr>
        <w:t xml:space="preserve">run_test_suite</w:t>
      </w:r>
    </w:p>
    <w:p>
      <w:pPr>
        <w:pStyle w:val="Compact"/>
        <w:numPr>
          <w:ilvl w:val="0"/>
          <w:numId w:val="1001"/>
        </w:numPr>
      </w:pPr>
      <w:r>
        <w:rPr>
          <w:rStyle w:val="VerbatimChar"/>
        </w:rPr>
        <w:t xml:space="preserve">create_issue</w:t>
      </w:r>
    </w:p>
    <w:p>
      <w:pPr>
        <w:pStyle w:val="Compact"/>
        <w:numPr>
          <w:ilvl w:val="0"/>
          <w:numId w:val="1001"/>
        </w:numPr>
      </w:pPr>
      <w:r>
        <w:rPr>
          <w:rStyle w:val="VerbatimChar"/>
        </w:rPr>
        <w:t xml:space="preserve">record_publication</w:t>
      </w:r>
    </w:p>
    <w:p>
      <w:pPr>
        <w:pStyle w:val="Compact"/>
        <w:numPr>
          <w:ilvl w:val="0"/>
          <w:numId w:val="1001"/>
        </w:numPr>
      </w:pPr>
      <w:r>
        <w:rPr>
          <w:rStyle w:val="VerbatimChar"/>
        </w:rPr>
        <w:t xml:space="preserve">resolve_conflict</w:t>
      </w:r>
    </w:p>
    <w:p>
      <w:pPr>
        <w:pStyle w:val="FirstParagraph"/>
      </w:pPr>
      <w:r>
        <w:t xml:space="preserve">Each command must validate actor, workspace, target version, permissions, phase policy, evidence, claims, consent, and feature flags.</w:t>
      </w:r>
    </w:p>
    <w:bookmarkEnd w:id="23"/>
    <w:bookmarkStart w:id="24" w:name="Xdb54bddb1e3080bc674a26fb57f383bd4b0b99e"/>
    <w:p>
      <w:pPr>
        <w:pStyle w:val="Heading2"/>
      </w:pPr>
      <w:r>
        <w:t xml:space="preserve">3.3 Consent consolidation</w:t>
      </w:r>
    </w:p>
    <w:p>
      <w:pPr>
        <w:pStyle w:val="FirstParagraph"/>
      </w:pPr>
      <w:r>
        <w:t xml:space="preserve">Phase 2 and Phase 4 must reuse the Phase 0</w:t>
      </w:r>
      <w:r>
        <w:t xml:space="preserve"> </w:t>
      </w:r>
      <w:r>
        <w:rPr>
          <w:rStyle w:val="VerbatimChar"/>
        </w:rPr>
        <w:t xml:space="preserve">ConsentGrant</w:t>
      </w:r>
      <w:r>
        <w:t xml:space="preserve"> </w:t>
      </w:r>
      <w:r>
        <w:t xml:space="preserve">model. Do not create separate testimonial, referral, marketing, or case-study consent tables unless they extend the same canonical grant.</w:t>
      </w:r>
    </w:p>
    <w:bookmarkEnd w:id="24"/>
    <w:bookmarkStart w:id="25" w:name="X368c5b4b8f5a18b3011c5208626177874a99a24"/>
    <w:p>
      <w:pPr>
        <w:pStyle w:val="Heading2"/>
      </w:pPr>
      <w:r>
        <w:t xml:space="preserve">3.4 Founder workspace projections</w:t>
      </w:r>
    </w:p>
    <w:p>
      <w:pPr>
        <w:pStyle w:val="FirstParagraph"/>
      </w:pPr>
      <w:r>
        <w:t xml:space="preserve">Each phase must define:</w:t>
      </w:r>
    </w:p>
    <w:p>
      <w:pPr>
        <w:pStyle w:val="Compact"/>
        <w:numPr>
          <w:ilvl w:val="0"/>
          <w:numId w:val="1002"/>
        </w:numPr>
      </w:pPr>
      <w:r>
        <w:t xml:space="preserve">Canonical entities projected</w:t>
      </w:r>
    </w:p>
    <w:p>
      <w:pPr>
        <w:pStyle w:val="Compact"/>
        <w:numPr>
          <w:ilvl w:val="0"/>
          <w:numId w:val="1002"/>
        </w:numPr>
      </w:pPr>
      <w:r>
        <w:t xml:space="preserve">Fields projected</w:t>
      </w:r>
    </w:p>
    <w:p>
      <w:pPr>
        <w:pStyle w:val="Compact"/>
        <w:numPr>
          <w:ilvl w:val="0"/>
          <w:numId w:val="1002"/>
        </w:numPr>
      </w:pPr>
      <w:r>
        <w:t xml:space="preserve">Ownership class for each field</w:t>
      </w:r>
    </w:p>
    <w:p>
      <w:pPr>
        <w:pStyle w:val="Compact"/>
        <w:numPr>
          <w:ilvl w:val="0"/>
          <w:numId w:val="1002"/>
        </w:numPr>
      </w:pPr>
      <w:r>
        <w:t xml:space="preserve">Notion collection and view</w:t>
      </w:r>
    </w:p>
    <w:p>
      <w:pPr>
        <w:pStyle w:val="Compact"/>
        <w:numPr>
          <w:ilvl w:val="0"/>
          <w:numId w:val="1002"/>
        </w:numPr>
      </w:pPr>
      <w:r>
        <w:t xml:space="preserve">Commands exposed to the founder</w:t>
      </w:r>
    </w:p>
    <w:p>
      <w:pPr>
        <w:pStyle w:val="Compact"/>
        <w:numPr>
          <w:ilvl w:val="0"/>
          <w:numId w:val="1002"/>
        </w:numPr>
      </w:pPr>
      <w:r>
        <w:t xml:space="preserve">Sensitive fields excluded</w:t>
      </w:r>
    </w:p>
    <w:p>
      <w:pPr>
        <w:pStyle w:val="Compact"/>
        <w:numPr>
          <w:ilvl w:val="0"/>
          <w:numId w:val="1002"/>
        </w:numPr>
      </w:pPr>
      <w:r>
        <w:t xml:space="preserve">Reconciliation behavior</w:t>
      </w:r>
    </w:p>
    <w:bookmarkEnd w:id="25"/>
    <w:bookmarkStart w:id="26" w:name="Xdc07e620c9e969945fa1f5284540a0eb13865c8"/>
    <w:p>
      <w:pPr>
        <w:pStyle w:val="Heading2"/>
      </w:pPr>
      <w:r>
        <w:t xml:space="preserve">3.5 Event taxonomy extension</w:t>
      </w:r>
    </w:p>
    <w:p>
      <w:pPr>
        <w:pStyle w:val="FirstParagraph"/>
      </w:pPr>
      <w:r>
        <w:t xml:space="preserve">Add phase events without replacing Phase 0 events. Required families:</w:t>
      </w:r>
    </w:p>
    <w:p>
      <w:pPr>
        <w:pStyle w:val="Compact"/>
        <w:numPr>
          <w:ilvl w:val="0"/>
          <w:numId w:val="1003"/>
        </w:numPr>
      </w:pPr>
      <w:r>
        <w:rPr>
          <w:rStyle w:val="VerbatimChar"/>
        </w:rPr>
        <w:t xml:space="preserve">enrollment.*</w:t>
      </w:r>
    </w:p>
    <w:p>
      <w:pPr>
        <w:pStyle w:val="Compact"/>
        <w:numPr>
          <w:ilvl w:val="0"/>
          <w:numId w:val="1003"/>
        </w:numPr>
      </w:pPr>
      <w:r>
        <w:rPr>
          <w:rStyle w:val="VerbatimChar"/>
        </w:rPr>
        <w:t xml:space="preserve">beta.*</w:t>
      </w:r>
    </w:p>
    <w:p>
      <w:pPr>
        <w:pStyle w:val="Compact"/>
        <w:numPr>
          <w:ilvl w:val="0"/>
          <w:numId w:val="1003"/>
        </w:numPr>
      </w:pPr>
      <w:r>
        <w:rPr>
          <w:rStyle w:val="VerbatimChar"/>
        </w:rPr>
        <w:t xml:space="preserve">support.*</w:t>
      </w:r>
    </w:p>
    <w:p>
      <w:pPr>
        <w:pStyle w:val="Compact"/>
        <w:numPr>
          <w:ilvl w:val="0"/>
          <w:numId w:val="1003"/>
        </w:numPr>
      </w:pPr>
      <w:r>
        <w:rPr>
          <w:rStyle w:val="VerbatimChar"/>
        </w:rPr>
        <w:t xml:space="preserve">product_signal.*</w:t>
      </w:r>
    </w:p>
    <w:p>
      <w:pPr>
        <w:pStyle w:val="Compact"/>
        <w:numPr>
          <w:ilvl w:val="0"/>
          <w:numId w:val="1003"/>
        </w:numPr>
      </w:pPr>
      <w:r>
        <w:rPr>
          <w:rStyle w:val="VerbatimChar"/>
        </w:rPr>
        <w:t xml:space="preserve">specification.*</w:t>
      </w:r>
    </w:p>
    <w:p>
      <w:pPr>
        <w:pStyle w:val="Compact"/>
        <w:numPr>
          <w:ilvl w:val="0"/>
          <w:numId w:val="1003"/>
        </w:numPr>
      </w:pPr>
      <w:r>
        <w:rPr>
          <w:rStyle w:val="VerbatimChar"/>
        </w:rPr>
        <w:t xml:space="preserve">test.*</w:t>
      </w:r>
    </w:p>
    <w:p>
      <w:pPr>
        <w:pStyle w:val="Compact"/>
        <w:numPr>
          <w:ilvl w:val="0"/>
          <w:numId w:val="1003"/>
        </w:numPr>
      </w:pPr>
      <w:r>
        <w:rPr>
          <w:rStyle w:val="VerbatimChar"/>
        </w:rPr>
        <w:t xml:space="preserve">release.*</w:t>
      </w:r>
    </w:p>
    <w:p>
      <w:pPr>
        <w:pStyle w:val="Compact"/>
        <w:numPr>
          <w:ilvl w:val="0"/>
          <w:numId w:val="1003"/>
        </w:numPr>
      </w:pPr>
      <w:r>
        <w:rPr>
          <w:rStyle w:val="VerbatimChar"/>
        </w:rPr>
        <w:t xml:space="preserve">content.*</w:t>
      </w:r>
    </w:p>
    <w:p>
      <w:pPr>
        <w:pStyle w:val="Compact"/>
        <w:numPr>
          <w:ilvl w:val="0"/>
          <w:numId w:val="1003"/>
        </w:numPr>
      </w:pPr>
      <w:r>
        <w:rPr>
          <w:rStyle w:val="VerbatimChar"/>
        </w:rPr>
        <w:t xml:space="preserve">publication.*</w:t>
      </w:r>
    </w:p>
    <w:p>
      <w:pPr>
        <w:pStyle w:val="Compact"/>
        <w:numPr>
          <w:ilvl w:val="0"/>
          <w:numId w:val="1003"/>
        </w:numPr>
      </w:pPr>
      <w:r>
        <w:rPr>
          <w:rStyle w:val="VerbatimChar"/>
        </w:rPr>
        <w:t xml:space="preserve">market.*</w:t>
      </w:r>
    </w:p>
    <w:p>
      <w:pPr>
        <w:pStyle w:val="Compact"/>
        <w:numPr>
          <w:ilvl w:val="0"/>
          <w:numId w:val="1003"/>
        </w:numPr>
      </w:pPr>
      <w:r>
        <w:rPr>
          <w:rStyle w:val="VerbatimChar"/>
        </w:rPr>
        <w:t xml:space="preserve">decision.*</w:t>
      </w:r>
    </w:p>
    <w:p>
      <w:pPr>
        <w:pStyle w:val="Compact"/>
        <w:numPr>
          <w:ilvl w:val="0"/>
          <w:numId w:val="1003"/>
        </w:numPr>
      </w:pPr>
      <w:r>
        <w:rPr>
          <w:rStyle w:val="VerbatimChar"/>
        </w:rPr>
        <w:t xml:space="preserve">automation.*</w:t>
      </w:r>
    </w:p>
    <w:bookmarkEnd w:id="26"/>
    <w:bookmarkEnd w:id="27"/>
    <w:bookmarkStart w:id="28" w:name="X78326ad5829a841239684b74eae0fe659821f36"/>
    <w:p>
      <w:pPr>
        <w:pStyle w:val="Heading1"/>
      </w:pPr>
      <w:r>
        <w:t xml:space="preserve">4. Phase dependency graph</w:t>
      </w:r>
    </w:p>
    <w:tbl>
      <w:tblPr>
        <w:tblStyle w:val="TableGrid"/>
        <w:tblW w:type="auto" w:w="0"/>
        <w:jc w:val="center"/>
        <w:tblLook w:firstRow="1" w:lastRow="0" w:firstColumn="0" w:lastColumn="0" w:noHBand="0" w:noVBand="0" w:val="0020"/>
      </w:tblPr>
      <w:tblGrid>
        <w:gridCol w:w="2640"/>
        <w:gridCol w:w="2640"/>
        <w:gridCol w:w="2640"/>
      </w:tblGrid>
      <w:tr>
        <w:trPr>
          <w:tblHeader w:val="on"/>
        </w:trPr>
        <w:tc>
          <w:tcPr>
            <w:vAlign w:val="center"/>
            <w:shd w:fill="E8EEF5"/>
          </w:tcPr>
          <w:p>
            <w:pPr>
              <w:pStyle w:val="Compact"/>
              <w:jc w:val="left"/>
            </w:pPr>
            <w:r>
              <w:rPr>
                <w:b/>
                <w:color w:val="10213A"/>
                <w:sz w:val="16"/>
              </w:rPr>
              <w:t xml:space="preserve">Phase</w:t>
            </w:r>
          </w:p>
        </w:tc>
        <w:tc>
          <w:tcPr>
            <w:vAlign w:val="center"/>
            <w:shd w:fill="E8EEF5"/>
          </w:tcPr>
          <w:p>
            <w:pPr>
              <w:pStyle w:val="Compact"/>
              <w:jc w:val="left"/>
            </w:pPr>
            <w:r>
              <w:rPr>
                <w:b/>
                <w:color w:val="10213A"/>
                <w:sz w:val="16"/>
              </w:rPr>
              <w:t xml:space="preserve">Hard prerequisites</w:t>
            </w:r>
          </w:p>
        </w:tc>
        <w:tc>
          <w:tcPr>
            <w:vAlign w:val="center"/>
            <w:shd w:fill="E8EEF5"/>
          </w:tcPr>
          <w:p>
            <w:pPr>
              <w:pStyle w:val="Compact"/>
              <w:jc w:val="left"/>
            </w:pPr>
            <w:r>
              <w:rPr>
                <w:b/>
                <w:color w:val="10213A"/>
                <w:sz w:val="16"/>
              </w:rPr>
              <w:t xml:space="preserve">Produces prerequisites for</w:t>
            </w:r>
          </w:p>
        </w:tc>
      </w:tr>
      <w:tr>
        <w:tc>
          <w:tcPr/>
          <w:p>
            <w:pPr>
              <w:pStyle w:val="Compact"/>
              <w:jc w:val="left"/>
            </w:pPr>
            <w:r>
              <w:rPr>
                <w:sz w:val="16"/>
              </w:rPr>
              <w:t xml:space="preserve">1</w:t>
            </w:r>
          </w:p>
        </w:tc>
        <w:tc>
          <w:tcPr/>
          <w:p>
            <w:pPr>
              <w:pStyle w:val="Compact"/>
              <w:jc w:val="left"/>
            </w:pPr>
            <w:r>
              <w:rPr>
                <w:sz w:val="16"/>
              </w:rPr>
              <w:t xml:space="preserve">Phase 0 contracts, approved offer/capability/claim data, communications foundation</w:t>
            </w:r>
          </w:p>
        </w:tc>
        <w:tc>
          <w:tcPr/>
          <w:p>
            <w:pPr>
              <w:pStyle w:val="Compact"/>
              <w:jc w:val="left"/>
            </w:pPr>
            <w:r>
              <w:rPr>
                <w:sz w:val="16"/>
              </w:rPr>
              <w:t xml:space="preserve">Phase 2 active beta users; Phase 4 conversion attribution</w:t>
            </w:r>
          </w:p>
        </w:tc>
      </w:tr>
      <w:tr>
        <w:tc>
          <w:tcPr/>
          <w:p>
            <w:pPr>
              <w:pStyle w:val="Compact"/>
              <w:jc w:val="left"/>
            </w:pPr>
            <w:r>
              <w:rPr>
                <w:sz w:val="16"/>
              </w:rPr>
              <w:t xml:space="preserve">2</w:t>
            </w:r>
          </w:p>
        </w:tc>
        <w:tc>
          <w:tcPr/>
          <w:p>
            <w:pPr>
              <w:pStyle w:val="Compact"/>
              <w:jc w:val="left"/>
            </w:pPr>
            <w:r>
              <w:rPr>
                <w:sz w:val="16"/>
              </w:rPr>
              <w:t xml:space="preserve">Phase 1 enrollments; product telemetry; consent and artifact services</w:t>
            </w:r>
          </w:p>
        </w:tc>
        <w:tc>
          <w:tcPr/>
          <w:p>
            <w:pPr>
              <w:pStyle w:val="Compact"/>
              <w:jc w:val="left"/>
            </w:pPr>
            <w:r>
              <w:rPr>
                <w:sz w:val="16"/>
              </w:rPr>
              <w:t xml:space="preserve">Phase 3 product signals and outcome proof; Phase 4 recurring editorial source material</w:t>
            </w:r>
          </w:p>
        </w:tc>
      </w:tr>
      <w:tr>
        <w:tc>
          <w:tcPr/>
          <w:p>
            <w:pPr>
              <w:pStyle w:val="Compact"/>
              <w:jc w:val="left"/>
            </w:pPr>
            <w:r>
              <w:rPr>
                <w:sz w:val="16"/>
              </w:rPr>
              <w:t xml:space="preserve">3</w:t>
            </w:r>
          </w:p>
        </w:tc>
        <w:tc>
          <w:tcPr/>
          <w:p>
            <w:pPr>
              <w:pStyle w:val="Compact"/>
              <w:jc w:val="left"/>
            </w:pPr>
            <w:r>
              <w:rPr>
                <w:sz w:val="16"/>
              </w:rPr>
              <w:t xml:space="preserve">Phase 2 support/outcome signals; repository/test integration</w:t>
            </w:r>
          </w:p>
        </w:tc>
        <w:tc>
          <w:tcPr/>
          <w:p>
            <w:pPr>
              <w:pStyle w:val="Compact"/>
              <w:jc w:val="left"/>
            </w:pPr>
            <w:r>
              <w:rPr>
                <w:sz w:val="16"/>
              </w:rPr>
              <w:t xml:space="preserve">Phase 4 verified release and customer proof; Phase 6 conflict and release decisions</w:t>
            </w:r>
          </w:p>
        </w:tc>
      </w:tr>
      <w:tr>
        <w:tc>
          <w:tcPr/>
          <w:p>
            <w:pPr>
              <w:pStyle w:val="Compact"/>
              <w:jc w:val="left"/>
            </w:pPr>
            <w:r>
              <w:rPr>
                <w:sz w:val="16"/>
              </w:rPr>
              <w:t xml:space="preserve">4</w:t>
            </w:r>
          </w:p>
        </w:tc>
        <w:tc>
          <w:tcPr/>
          <w:p>
            <w:pPr>
              <w:pStyle w:val="Compact"/>
              <w:jc w:val="left"/>
            </w:pPr>
            <w:r>
              <w:rPr>
                <w:sz w:val="16"/>
              </w:rPr>
              <w:t xml:space="preserve">Phase 0 communications registries; Phase 1 funnel; Phase 2/3 evidence</w:t>
            </w:r>
          </w:p>
        </w:tc>
        <w:tc>
          <w:tcPr/>
          <w:p>
            <w:pPr>
              <w:pStyle w:val="Compact"/>
              <w:jc w:val="left"/>
            </w:pPr>
            <w:r>
              <w:rPr>
                <w:sz w:val="16"/>
              </w:rPr>
              <w:t xml:space="preserve">Phase 6 campaign decisions and founder workload metrics</w:t>
            </w:r>
          </w:p>
        </w:tc>
      </w:tr>
      <w:tr>
        <w:tc>
          <w:tcPr/>
          <w:p>
            <w:pPr>
              <w:pStyle w:val="Compact"/>
              <w:jc w:val="left"/>
            </w:pPr>
            <w:r>
              <w:rPr>
                <w:sz w:val="16"/>
              </w:rPr>
              <w:t xml:space="preserve">5</w:t>
            </w:r>
          </w:p>
        </w:tc>
        <w:tc>
          <w:tcPr/>
          <w:p>
            <w:pPr>
              <w:pStyle w:val="Compact"/>
              <w:jc w:val="left"/>
            </w:pPr>
            <w:r>
              <w:rPr>
                <w:sz w:val="16"/>
              </w:rPr>
              <w:t xml:space="preserve">Phase 0 evidence/workspace; current offers and positioning</w:t>
            </w:r>
          </w:p>
        </w:tc>
        <w:tc>
          <w:tcPr/>
          <w:p>
            <w:pPr>
              <w:pStyle w:val="Compact"/>
              <w:jc w:val="left"/>
            </w:pPr>
            <w:r>
              <w:rPr>
                <w:sz w:val="16"/>
              </w:rPr>
              <w:t xml:space="preserve">Phase 6 strategic alerts and pricing decisions</w:t>
            </w:r>
          </w:p>
        </w:tc>
      </w:tr>
      <w:tr>
        <w:tc>
          <w:tcPr/>
          <w:p>
            <w:pPr>
              <w:pStyle w:val="Compact"/>
              <w:jc w:val="left"/>
            </w:pPr>
            <w:r>
              <w:rPr>
                <w:sz w:val="16"/>
              </w:rPr>
              <w:t xml:space="preserve">6</w:t>
            </w:r>
          </w:p>
        </w:tc>
        <w:tc>
          <w:tcPr/>
          <w:p>
            <w:pPr>
              <w:pStyle w:val="Compact"/>
              <w:jc w:val="left"/>
            </w:pPr>
            <w:r>
              <w:rPr>
                <w:sz w:val="16"/>
              </w:rPr>
              <w:t xml:space="preserve">Reliable outputs and metrics from Phases 1-5</w:t>
            </w:r>
          </w:p>
        </w:tc>
        <w:tc>
          <w:tcPr/>
          <w:p>
            <w:pPr>
              <w:pStyle w:val="Compact"/>
              <w:jc w:val="left"/>
            </w:pPr>
            <w:r>
              <w:rPr>
                <w:sz w:val="16"/>
              </w:rPr>
              <w:t xml:space="preserve">Future autonomy and native command-center decisions</w:t>
            </w:r>
          </w:p>
        </w:tc>
      </w:tr>
    </w:tbl>
    <w:bookmarkEnd w:id="28"/>
    <w:bookmarkStart w:id="29" w:name="X0db76c0dabe3588727e5ce2584b55d28dbc7824"/>
    <w:p>
      <w:pPr>
        <w:pStyle w:val="Heading1"/>
      </w:pPr>
      <w:r>
        <w:t xml:space="preserve">5. Parallelization rules</w:t>
      </w:r>
    </w:p>
    <w:p>
      <w:pPr>
        <w:pStyle w:val="FirstParagraph"/>
      </w:pPr>
      <w:r>
        <w:t xml:space="preserve">The following may be developed in parallel after Phase 0:</w:t>
      </w:r>
    </w:p>
    <w:p>
      <w:pPr>
        <w:pStyle w:val="Compact"/>
        <w:numPr>
          <w:ilvl w:val="0"/>
          <w:numId w:val="1004"/>
        </w:numPr>
      </w:pPr>
      <w:r>
        <w:t xml:space="preserve">Phase 1 enrollment agents and Phase 1 launch-content agents, sharing the same claim/evidence service.</w:t>
      </w:r>
    </w:p>
    <w:p>
      <w:pPr>
        <w:pStyle w:val="Compact"/>
        <w:numPr>
          <w:ilvl w:val="0"/>
          <w:numId w:val="1004"/>
        </w:numPr>
      </w:pPr>
      <w:r>
        <w:t xml:space="preserve">Phase 2 onboarding telemetry and Phase 2 editorial workspace, provided both use generic artifacts.</w:t>
      </w:r>
    </w:p>
    <w:p>
      <w:pPr>
        <w:pStyle w:val="Compact"/>
        <w:numPr>
          <w:ilvl w:val="0"/>
          <w:numId w:val="1004"/>
        </w:numPr>
      </w:pPr>
      <w:r>
        <w:t xml:space="preserve">Phase 3 test-registry infrastructure and Phase 3 product-signal clustering.</w:t>
      </w:r>
    </w:p>
    <w:p>
      <w:pPr>
        <w:pStyle w:val="Compact"/>
        <w:numPr>
          <w:ilvl w:val="0"/>
          <w:numId w:val="1004"/>
        </w:numPr>
      </w:pPr>
      <w:r>
        <w:t xml:space="preserve">Phase 4 platform draft adapters and attribution ingestion, provided autopublish remains disabled.</w:t>
      </w:r>
    </w:p>
    <w:p>
      <w:pPr>
        <w:pStyle w:val="Compact"/>
        <w:numPr>
          <w:ilvl w:val="0"/>
          <w:numId w:val="1004"/>
        </w:numPr>
      </w:pPr>
      <w:r>
        <w:t xml:space="preserve">Phase 5 source registry and baseline competitor backfill.</w:t>
      </w:r>
    </w:p>
    <w:p>
      <w:pPr>
        <w:pStyle w:val="FirstParagraph"/>
      </w:pPr>
      <w:r>
        <w:t xml:space="preserve">The following must not be parallelized without a stable shared contract:</w:t>
      </w:r>
    </w:p>
    <w:p>
      <w:pPr>
        <w:pStyle w:val="Compact"/>
        <w:numPr>
          <w:ilvl w:val="0"/>
          <w:numId w:val="1005"/>
        </w:numPr>
      </w:pPr>
      <w:r>
        <w:t xml:space="preserve">Separate approval implementations</w:t>
      </w:r>
    </w:p>
    <w:p>
      <w:pPr>
        <w:pStyle w:val="Compact"/>
        <w:numPr>
          <w:ilvl w:val="0"/>
          <w:numId w:val="1005"/>
        </w:numPr>
      </w:pPr>
      <w:r>
        <w:t xml:space="preserve">Separate consent models</w:t>
      </w:r>
    </w:p>
    <w:p>
      <w:pPr>
        <w:pStyle w:val="Compact"/>
        <w:numPr>
          <w:ilvl w:val="0"/>
          <w:numId w:val="1005"/>
        </w:numPr>
      </w:pPr>
      <w:r>
        <w:t xml:space="preserve">Native and Notion-specific artifact editors with different version semantics</w:t>
      </w:r>
    </w:p>
    <w:p>
      <w:pPr>
        <w:pStyle w:val="Compact"/>
        <w:numPr>
          <w:ilvl w:val="0"/>
          <w:numId w:val="1005"/>
        </w:numPr>
      </w:pPr>
      <w:r>
        <w:t xml:space="preserve">Multiple claim-verification services</w:t>
      </w:r>
    </w:p>
    <w:p>
      <w:pPr>
        <w:pStyle w:val="Compact"/>
        <w:numPr>
          <w:ilvl w:val="0"/>
          <w:numId w:val="1005"/>
        </w:numPr>
      </w:pPr>
      <w:r>
        <w:t xml:space="preserve">Multiple opportunity or beta-user lifecycle engines</w:t>
      </w:r>
    </w:p>
    <w:p>
      <w:pPr>
        <w:pStyle w:val="Compact"/>
        <w:numPr>
          <w:ilvl w:val="0"/>
          <w:numId w:val="1005"/>
        </w:numPr>
      </w:pPr>
      <w:r>
        <w:t xml:space="preserve">Separate decision queues for each phase</w:t>
      </w:r>
    </w:p>
    <w:bookmarkEnd w:id="29"/>
    <w:bookmarkStart w:id="30" w:name="Xca75130475b5858e9bf534f671c8dccf7554103"/>
    <w:p>
      <w:pPr>
        <w:pStyle w:val="Heading1"/>
      </w:pPr>
      <w:r>
        <w:t xml:space="preserve">6. Refactor-first decision matrix</w:t>
      </w:r>
    </w:p>
    <w:tbl>
      <w:tblPr>
        <w:tblStyle w:val="TableGrid"/>
        <w:tblW w:type="auto" w:w="0"/>
        <w:jc w:val="center"/>
        <w:tblLook w:firstRow="1" w:lastRow="0" w:firstColumn="0" w:lastColumn="0" w:noHBand="0" w:noVBand="0" w:val="0020"/>
      </w:tblPr>
      <w:tblGrid>
        <w:gridCol w:w="3960"/>
        <w:gridCol w:w="3960"/>
      </w:tblGrid>
      <w:tr>
        <w:trPr>
          <w:tblHeader w:val="on"/>
        </w:trPr>
        <w:tc>
          <w:tcPr>
            <w:vAlign w:val="center"/>
            <w:shd w:fill="E8EEF5"/>
          </w:tcPr>
          <w:p>
            <w:pPr>
              <w:pStyle w:val="Compact"/>
              <w:jc w:val="left"/>
            </w:pPr>
            <w:r>
              <w:rPr>
                <w:b/>
                <w:color w:val="10213A"/>
                <w:sz w:val="16"/>
              </w:rPr>
              <w:t xml:space="preserve">Existing implementation condition</w:t>
            </w:r>
          </w:p>
        </w:tc>
        <w:tc>
          <w:tcPr>
            <w:vAlign w:val="center"/>
            <w:shd w:fill="E8EEF5"/>
          </w:tcPr>
          <w:p>
            <w:pPr>
              <w:pStyle w:val="Compact"/>
              <w:jc w:val="left"/>
            </w:pPr>
            <w:r>
              <w:rPr>
                <w:b/>
                <w:color w:val="10213A"/>
                <w:sz w:val="16"/>
              </w:rPr>
              <w:t xml:space="preserve">Required action</w:t>
            </w:r>
          </w:p>
        </w:tc>
      </w:tr>
      <w:tr>
        <w:tc>
          <w:tcPr/>
          <w:p>
            <w:pPr>
              <w:pStyle w:val="Compact"/>
              <w:jc w:val="left"/>
            </w:pPr>
            <w:r>
              <w:rPr>
                <w:sz w:val="16"/>
              </w:rPr>
              <w:t xml:space="preserve">Earlier Phase 1 not implemented</w:t>
            </w:r>
          </w:p>
        </w:tc>
        <w:tc>
          <w:tcPr/>
          <w:p>
            <w:pPr>
              <w:pStyle w:val="Compact"/>
              <w:jc w:val="left"/>
            </w:pPr>
            <w:r>
              <w:rPr>
                <w:sz w:val="16"/>
              </w:rPr>
              <w:t xml:space="preserve">Implement revised Phase 1 directly</w:t>
            </w:r>
          </w:p>
        </w:tc>
      </w:tr>
      <w:tr>
        <w:tc>
          <w:tcPr/>
          <w:p>
            <w:pPr>
              <w:pStyle w:val="Compact"/>
              <w:jc w:val="left"/>
            </w:pPr>
            <w:r>
              <w:rPr>
                <w:sz w:val="16"/>
              </w:rPr>
              <w:t xml:space="preserve">Earlier Phase 1 partially implemented</w:t>
            </w:r>
          </w:p>
        </w:tc>
        <w:tc>
          <w:tcPr/>
          <w:p>
            <w:pPr>
              <w:pStyle w:val="Compact"/>
              <w:jc w:val="left"/>
            </w:pPr>
            <w:r>
              <w:rPr>
                <w:sz w:val="16"/>
              </w:rPr>
              <w:t xml:space="preserve">Migrate drafts to generic artifacts and UI actions to workspace commands before live use</w:t>
            </w:r>
          </w:p>
        </w:tc>
      </w:tr>
      <w:tr>
        <w:tc>
          <w:tcPr/>
          <w:p>
            <w:pPr>
              <w:pStyle w:val="Compact"/>
              <w:jc w:val="left"/>
            </w:pPr>
            <w:r>
              <w:rPr>
                <w:sz w:val="16"/>
              </w:rPr>
              <w:t xml:space="preserve">Phase 2 beta tables already exist</w:t>
            </w:r>
          </w:p>
        </w:tc>
        <w:tc>
          <w:tcPr/>
          <w:p>
            <w:pPr>
              <w:pStyle w:val="Compact"/>
              <w:jc w:val="left"/>
            </w:pPr>
            <w:r>
              <w:rPr>
                <w:sz w:val="16"/>
              </w:rPr>
              <w:t xml:space="preserve">Preserve data; map consent and onboarding documents to revised shared contracts</w:t>
            </w:r>
          </w:p>
        </w:tc>
      </w:tr>
      <w:tr>
        <w:tc>
          <w:tcPr/>
          <w:p>
            <w:pPr>
              <w:pStyle w:val="Compact"/>
              <w:jc w:val="left"/>
            </w:pPr>
            <w:r>
              <w:rPr>
                <w:sz w:val="16"/>
              </w:rPr>
              <w:t xml:space="preserve">Phase 3 specs stored only as Markdown files</w:t>
            </w:r>
          </w:p>
        </w:tc>
        <w:tc>
          <w:tcPr/>
          <w:p>
            <w:pPr>
              <w:pStyle w:val="Compact"/>
              <w:jc w:val="left"/>
            </w:pPr>
            <w:r>
              <w:rPr>
                <w:sz w:val="16"/>
              </w:rPr>
              <w:t xml:space="preserve">Import as artifact versions, then create canonical requirements/test records</w:t>
            </w:r>
          </w:p>
        </w:tc>
      </w:tr>
      <w:tr>
        <w:tc>
          <w:tcPr/>
          <w:p>
            <w:pPr>
              <w:pStyle w:val="Compact"/>
              <w:jc w:val="left"/>
            </w:pPr>
            <w:r>
              <w:rPr>
                <w:sz w:val="16"/>
              </w:rPr>
              <w:t xml:space="preserve">Phase 4 content database exists in Notion only</w:t>
            </w:r>
          </w:p>
        </w:tc>
        <w:tc>
          <w:tcPr/>
          <w:p>
            <w:pPr>
              <w:pStyle w:val="Compact"/>
              <w:jc w:val="left"/>
            </w:pPr>
            <w:r>
              <w:rPr>
                <w:sz w:val="16"/>
              </w:rPr>
              <w:t xml:space="preserve">Backfill canonical</w:t>
            </w:r>
            <w:r>
              <w:rPr>
                <w:sz w:val="16"/>
              </w:rPr>
              <w:t xml:space="preserve"> </w:t>
            </w:r>
            <w:r>
              <w:rPr>
                <w:rStyle w:val="VerbatimChar"/>
                <w:sz w:val="16"/>
              </w:rPr>
              <w:t xml:space="preserve">ContentAsset</w:t>
            </w:r>
            <w:r>
              <w:rPr>
                <w:sz w:val="16"/>
              </w:rPr>
              <w:t xml:space="preserve">/artifact records and treat Notion pages as projections</w:t>
            </w:r>
          </w:p>
        </w:tc>
      </w:tr>
      <w:tr>
        <w:tc>
          <w:tcPr/>
          <w:p>
            <w:pPr>
              <w:pStyle w:val="Compact"/>
              <w:jc w:val="left"/>
            </w:pPr>
            <w:r>
              <w:rPr>
                <w:sz w:val="16"/>
              </w:rPr>
              <w:t xml:space="preserve">Phase 6 native dashboard has begun</w:t>
            </w:r>
          </w:p>
        </w:tc>
        <w:tc>
          <w:tcPr/>
          <w:p>
            <w:pPr>
              <w:pStyle w:val="Compact"/>
              <w:jc w:val="left"/>
            </w:pPr>
            <w:r>
              <w:rPr>
                <w:sz w:val="16"/>
              </w:rPr>
              <w:t xml:space="preserve">Retain reusable components, but route all decisions through canonical queue and commands</w:t>
            </w:r>
          </w:p>
        </w:tc>
      </w:tr>
    </w:tbl>
    <w:bookmarkEnd w:id="30"/>
    <w:bookmarkStart w:id="37" w:name="X4428646e2730a3ce3b91a4c99b3637572353a86"/>
    <w:p>
      <w:pPr>
        <w:pStyle w:val="Heading1"/>
      </w:pPr>
      <w:r>
        <w:t xml:space="preserve">7. Cross-phase implementation gates</w:t>
      </w:r>
    </w:p>
    <w:bookmarkStart w:id="31" w:name="gate-a---phase-0-compatibility"/>
    <w:p>
      <w:pPr>
        <w:pStyle w:val="Heading2"/>
      </w:pPr>
      <w:r>
        <w:t xml:space="preserve">Gate A - Phase 0 compatibility</w:t>
      </w:r>
    </w:p>
    <w:p>
      <w:pPr>
        <w:pStyle w:val="Compact"/>
        <w:numPr>
          <w:ilvl w:val="0"/>
          <w:numId w:val="1006"/>
        </w:numPr>
      </w:pPr>
      <w:r>
        <w:t xml:space="preserve">Generic artifact migration complete</w:t>
      </w:r>
    </w:p>
    <w:p>
      <w:pPr>
        <w:pStyle w:val="Compact"/>
        <w:numPr>
          <w:ilvl w:val="0"/>
          <w:numId w:val="1006"/>
        </w:numPr>
      </w:pPr>
      <w:r>
        <w:t xml:space="preserve">Provider adapter operational</w:t>
      </w:r>
    </w:p>
    <w:p>
      <w:pPr>
        <w:pStyle w:val="Compact"/>
        <w:numPr>
          <w:ilvl w:val="0"/>
          <w:numId w:val="1006"/>
        </w:numPr>
      </w:pPr>
      <w:r>
        <w:t xml:space="preserve">Controlled commands validated</w:t>
      </w:r>
    </w:p>
    <w:p>
      <w:pPr>
        <w:pStyle w:val="Compact"/>
        <w:numPr>
          <w:ilvl w:val="0"/>
          <w:numId w:val="1006"/>
        </w:numPr>
      </w:pPr>
      <w:r>
        <w:t xml:space="preserve">Claims and consent seeded</w:t>
      </w:r>
    </w:p>
    <w:p>
      <w:pPr>
        <w:pStyle w:val="Compact"/>
        <w:numPr>
          <w:ilvl w:val="0"/>
          <w:numId w:val="1006"/>
        </w:numPr>
      </w:pPr>
      <w:r>
        <w:t xml:space="preserve">Projection conflict tests pass</w:t>
      </w:r>
    </w:p>
    <w:bookmarkEnd w:id="31"/>
    <w:bookmarkStart w:id="32" w:name="gate-b---revenue-workflows"/>
    <w:p>
      <w:pPr>
        <w:pStyle w:val="Heading2"/>
      </w:pPr>
      <w:r>
        <w:t xml:space="preserve">Gate B - Revenue workflows</w:t>
      </w:r>
    </w:p>
    <w:p>
      <w:pPr>
        <w:pStyle w:val="Compact"/>
        <w:numPr>
          <w:ilvl w:val="0"/>
          <w:numId w:val="1007"/>
        </w:numPr>
      </w:pPr>
      <w:r>
        <w:t xml:space="preserve">Phase 1 funnel events reconcile</w:t>
      </w:r>
    </w:p>
    <w:p>
      <w:pPr>
        <w:pStyle w:val="Compact"/>
        <w:numPr>
          <w:ilvl w:val="0"/>
          <w:numId w:val="1007"/>
        </w:numPr>
      </w:pPr>
      <w:r>
        <w:t xml:space="preserve">Launch content claims pass verification</w:t>
      </w:r>
    </w:p>
    <w:p>
      <w:pPr>
        <w:pStyle w:val="Compact"/>
        <w:numPr>
          <w:ilvl w:val="0"/>
          <w:numId w:val="1007"/>
        </w:numPr>
      </w:pPr>
      <w:r>
        <w:t xml:space="preserve">External send remains founder-controlled</w:t>
      </w:r>
    </w:p>
    <w:p>
      <w:pPr>
        <w:pStyle w:val="Compact"/>
        <w:numPr>
          <w:ilvl w:val="0"/>
          <w:numId w:val="1007"/>
        </w:numPr>
      </w:pPr>
      <w:r>
        <w:t xml:space="preserve">Content-to-application attribution exists</w:t>
      </w:r>
    </w:p>
    <w:bookmarkEnd w:id="32"/>
    <w:bookmarkStart w:id="33" w:name="gate-c---beta-operations"/>
    <w:p>
      <w:pPr>
        <w:pStyle w:val="Heading2"/>
      </w:pPr>
      <w:r>
        <w:t xml:space="preserve">Gate C - Beta operations</w:t>
      </w:r>
    </w:p>
    <w:p>
      <w:pPr>
        <w:pStyle w:val="Compact"/>
        <w:numPr>
          <w:ilvl w:val="0"/>
          <w:numId w:val="1008"/>
        </w:numPr>
      </w:pPr>
      <w:r>
        <w:t xml:space="preserve">Active beta users have first-value definitions</w:t>
      </w:r>
    </w:p>
    <w:p>
      <w:pPr>
        <w:pStyle w:val="Compact"/>
        <w:numPr>
          <w:ilvl w:val="0"/>
          <w:numId w:val="1008"/>
        </w:numPr>
      </w:pPr>
      <w:r>
        <w:t xml:space="preserve">Support and health summaries exclude sensitive details from Notion</w:t>
      </w:r>
    </w:p>
    <w:p>
      <w:pPr>
        <w:pStyle w:val="Compact"/>
        <w:numPr>
          <w:ilvl w:val="0"/>
          <w:numId w:val="1008"/>
        </w:numPr>
      </w:pPr>
      <w:r>
        <w:t xml:space="preserve">Outcome evidence cannot become public without consent</w:t>
      </w:r>
    </w:p>
    <w:bookmarkEnd w:id="33"/>
    <w:bookmarkStart w:id="34" w:name="gate-d---product-and-release"/>
    <w:p>
      <w:pPr>
        <w:pStyle w:val="Heading2"/>
      </w:pPr>
      <w:r>
        <w:t xml:space="preserve">Gate D - Product and release</w:t>
      </w:r>
    </w:p>
    <w:p>
      <w:pPr>
        <w:pStyle w:val="Compact"/>
        <w:numPr>
          <w:ilvl w:val="0"/>
          <w:numId w:val="1009"/>
        </w:numPr>
      </w:pPr>
      <w:r>
        <w:t xml:space="preserve">Requirements link to tests</w:t>
      </w:r>
    </w:p>
    <w:p>
      <w:pPr>
        <w:pStyle w:val="Compact"/>
        <w:numPr>
          <w:ilvl w:val="0"/>
          <w:numId w:val="1009"/>
        </w:numPr>
      </w:pPr>
      <w:r>
        <w:t xml:space="preserve">Security/memory isolation suites run</w:t>
      </w:r>
    </w:p>
    <w:p>
      <w:pPr>
        <w:pStyle w:val="Compact"/>
        <w:numPr>
          <w:ilvl w:val="0"/>
          <w:numId w:val="1009"/>
        </w:numPr>
      </w:pPr>
      <w:r>
        <w:t xml:space="preserve">Release agents cannot waive blockers</w:t>
      </w:r>
    </w:p>
    <w:p>
      <w:pPr>
        <w:pStyle w:val="Compact"/>
        <w:numPr>
          <w:ilvl w:val="0"/>
          <w:numId w:val="1009"/>
        </w:numPr>
      </w:pPr>
      <w:r>
        <w:t xml:space="preserve">Release changes revalidate claims</w:t>
      </w:r>
    </w:p>
    <w:bookmarkEnd w:id="34"/>
    <w:bookmarkStart w:id="35" w:name="gate-e---scaled-communications"/>
    <w:p>
      <w:pPr>
        <w:pStyle w:val="Heading2"/>
      </w:pPr>
      <w:r>
        <w:t xml:space="preserve">Gate E - Scaled communications</w:t>
      </w:r>
    </w:p>
    <w:p>
      <w:pPr>
        <w:pStyle w:val="Compact"/>
        <w:numPr>
          <w:ilvl w:val="0"/>
          <w:numId w:val="1010"/>
        </w:numPr>
      </w:pPr>
      <w:r>
        <w:t xml:space="preserve">Source brief and evidence required for content</w:t>
      </w:r>
    </w:p>
    <w:p>
      <w:pPr>
        <w:pStyle w:val="Compact"/>
        <w:numPr>
          <w:ilvl w:val="0"/>
          <w:numId w:val="1010"/>
        </w:numPr>
      </w:pPr>
      <w:r>
        <w:t xml:space="preserve">Platform adapters create drafts only</w:t>
      </w:r>
    </w:p>
    <w:p>
      <w:pPr>
        <w:pStyle w:val="Compact"/>
        <w:numPr>
          <w:ilvl w:val="0"/>
          <w:numId w:val="1010"/>
        </w:numPr>
      </w:pPr>
      <w:r>
        <w:t xml:space="preserve">Attribution confidence is visible</w:t>
      </w:r>
    </w:p>
    <w:p>
      <w:pPr>
        <w:pStyle w:val="Compact"/>
        <w:numPr>
          <w:ilvl w:val="0"/>
          <w:numId w:val="1010"/>
        </w:numPr>
      </w:pPr>
      <w:r>
        <w:t xml:space="preserve">Founder voice changes require approval</w:t>
      </w:r>
    </w:p>
    <w:bookmarkEnd w:id="35"/>
    <w:bookmarkStart w:id="36" w:name="gate-f---chief-of-staff"/>
    <w:p>
      <w:pPr>
        <w:pStyle w:val="Heading2"/>
      </w:pPr>
      <w:r>
        <w:t xml:space="preserve">Gate F - Chief of staff</w:t>
      </w:r>
    </w:p>
    <w:p>
      <w:pPr>
        <w:pStyle w:val="Compact"/>
        <w:numPr>
          <w:ilvl w:val="0"/>
          <w:numId w:val="1011"/>
        </w:numPr>
      </w:pPr>
      <w:r>
        <w:t xml:space="preserve">Cross-domain metrics are stable</w:t>
      </w:r>
    </w:p>
    <w:p>
      <w:pPr>
        <w:pStyle w:val="Compact"/>
        <w:numPr>
          <w:ilvl w:val="0"/>
          <w:numId w:val="1011"/>
        </w:numPr>
      </w:pPr>
      <w:r>
        <w:t xml:space="preserve">Decision queue has acceptable duplicate rate</w:t>
      </w:r>
    </w:p>
    <w:p>
      <w:pPr>
        <w:pStyle w:val="Compact"/>
        <w:numPr>
          <w:ilvl w:val="0"/>
          <w:numId w:val="1011"/>
        </w:numPr>
      </w:pPr>
      <w:r>
        <w:t xml:space="preserve">Conflicts are explainable</w:t>
      </w:r>
    </w:p>
    <w:p>
      <w:pPr>
        <w:pStyle w:val="Compact"/>
        <w:numPr>
          <w:ilvl w:val="0"/>
          <w:numId w:val="1011"/>
        </w:numPr>
      </w:pPr>
      <w:r>
        <w:t xml:space="preserve">Strategic priorities are founder-approved</w:t>
      </w:r>
    </w:p>
    <w:bookmarkEnd w:id="36"/>
    <w:bookmarkEnd w:id="37"/>
    <w:bookmarkStart w:id="38" w:name="X60fb0ef42e5bf3dd3c6091b485b7cf57285d021"/>
    <w:p>
      <w:pPr>
        <w:pStyle w:val="Heading1"/>
      </w:pPr>
      <w:r>
        <w:t xml:space="preserve">8. Required repository deliverables before Phase 1</w:t>
      </w:r>
    </w:p>
    <w:p>
      <w:pPr>
        <w:pStyle w:val="Compact"/>
        <w:numPr>
          <w:ilvl w:val="0"/>
          <w:numId w:val="1012"/>
        </w:numPr>
      </w:pPr>
      <w:r>
        <w:t xml:space="preserve">Updated architecture map</w:t>
      </w:r>
    </w:p>
    <w:p>
      <w:pPr>
        <w:pStyle w:val="Compact"/>
        <w:numPr>
          <w:ilvl w:val="0"/>
          <w:numId w:val="1012"/>
        </w:numPr>
      </w:pPr>
      <w:r>
        <w:t xml:space="preserve">Contract migration ADR</w:t>
      </w:r>
    </w:p>
    <w:p>
      <w:pPr>
        <w:pStyle w:val="Compact"/>
        <w:numPr>
          <w:ilvl w:val="0"/>
          <w:numId w:val="1012"/>
        </w:numPr>
      </w:pPr>
      <w:r>
        <w:t xml:space="preserve">Artifact migration script</w:t>
      </w:r>
    </w:p>
    <w:p>
      <w:pPr>
        <w:pStyle w:val="Compact"/>
        <w:numPr>
          <w:ilvl w:val="0"/>
          <w:numId w:val="1012"/>
        </w:numPr>
      </w:pPr>
      <w:r>
        <w:t xml:space="preserve">Workspace-command policy registry</w:t>
      </w:r>
    </w:p>
    <w:p>
      <w:pPr>
        <w:pStyle w:val="Compact"/>
        <w:numPr>
          <w:ilvl w:val="0"/>
          <w:numId w:val="1012"/>
        </w:numPr>
      </w:pPr>
      <w:r>
        <w:t xml:space="preserve">Projection field-ownership registry</w:t>
      </w:r>
    </w:p>
    <w:p>
      <w:pPr>
        <w:pStyle w:val="Compact"/>
        <w:numPr>
          <w:ilvl w:val="0"/>
          <w:numId w:val="1012"/>
        </w:numPr>
      </w:pPr>
      <w:r>
        <w:t xml:space="preserve">Consent and claim seed data</w:t>
      </w:r>
    </w:p>
    <w:p>
      <w:pPr>
        <w:pStyle w:val="Compact"/>
        <w:numPr>
          <w:ilvl w:val="0"/>
          <w:numId w:val="1012"/>
        </w:numPr>
      </w:pPr>
      <w:r>
        <w:t xml:space="preserve">Phase feature-flag registry</w:t>
      </w:r>
    </w:p>
    <w:p>
      <w:pPr>
        <w:pStyle w:val="Compact"/>
        <w:numPr>
          <w:ilvl w:val="0"/>
          <w:numId w:val="1012"/>
        </w:numPr>
      </w:pPr>
      <w:r>
        <w:t xml:space="preserve">Event taxonomy document</w:t>
      </w:r>
    </w:p>
    <w:p>
      <w:pPr>
        <w:pStyle w:val="Compact"/>
        <w:numPr>
          <w:ilvl w:val="0"/>
          <w:numId w:val="1012"/>
        </w:numPr>
      </w:pPr>
      <w:r>
        <w:t xml:space="preserve">Cross-phase traceability file</w:t>
      </w:r>
    </w:p>
    <w:p>
      <w:pPr>
        <w:pStyle w:val="Compact"/>
        <w:numPr>
          <w:ilvl w:val="0"/>
          <w:numId w:val="1012"/>
        </w:numPr>
      </w:pPr>
      <w:r>
        <w:t xml:space="preserve">Rollback and reconciliation runbook</w:t>
      </w:r>
    </w:p>
    <w:bookmarkEnd w:id="38"/>
    <w:bookmarkStart w:id="39" w:name="X91878d05daf450e0f9945361782f55ac0498f53"/>
    <w:p>
      <w:pPr>
        <w:pStyle w:val="Heading1"/>
      </w:pPr>
      <w:r>
        <w:t xml:space="preserve">9. Recommended implementation order</w:t>
      </w:r>
    </w:p>
    <w:p>
      <w:pPr>
        <w:pStyle w:val="Compact"/>
        <w:numPr>
          <w:ilvl w:val="0"/>
          <w:numId w:val="1013"/>
        </w:numPr>
      </w:pPr>
      <w:r>
        <w:t xml:space="preserve">Complete Phase 0A compatibility refactor.</w:t>
      </w:r>
    </w:p>
    <w:p>
      <w:pPr>
        <w:pStyle w:val="Compact"/>
        <w:numPr>
          <w:ilvl w:val="0"/>
          <w:numId w:val="1013"/>
        </w:numPr>
      </w:pPr>
      <w:r>
        <w:t xml:space="preserve">Activate Phase 0 read-only Notion projections.</w:t>
      </w:r>
    </w:p>
    <w:p>
      <w:pPr>
        <w:pStyle w:val="Compact"/>
        <w:numPr>
          <w:ilvl w:val="0"/>
          <w:numId w:val="1013"/>
        </w:numPr>
      </w:pPr>
      <w:r>
        <w:t xml:space="preserve">Activate Phase 0 controlled editing and approval commands.</w:t>
      </w:r>
    </w:p>
    <w:p>
      <w:pPr>
        <w:pStyle w:val="Compact"/>
        <w:numPr>
          <w:ilvl w:val="0"/>
          <w:numId w:val="1013"/>
        </w:numPr>
      </w:pPr>
      <w:r>
        <w:t xml:space="preserve">Implement revised Phase 1 enrollment core.</w:t>
      </w:r>
    </w:p>
    <w:p>
      <w:pPr>
        <w:pStyle w:val="Compact"/>
        <w:numPr>
          <w:ilvl w:val="0"/>
          <w:numId w:val="1013"/>
        </w:numPr>
      </w:pPr>
      <w:r>
        <w:t xml:space="preserve">Implement Phase 1 beta-launch communications and attribution.</w:t>
      </w:r>
    </w:p>
    <w:p>
      <w:pPr>
        <w:pStyle w:val="Compact"/>
        <w:numPr>
          <w:ilvl w:val="0"/>
          <w:numId w:val="1013"/>
        </w:numPr>
      </w:pPr>
      <w:r>
        <w:t xml:space="preserve">Implement Phase 2 onboarding, support, health, and recurring editorial cadence.</w:t>
      </w:r>
    </w:p>
    <w:p>
      <w:pPr>
        <w:pStyle w:val="Compact"/>
        <w:numPr>
          <w:ilvl w:val="0"/>
          <w:numId w:val="1013"/>
        </w:numPr>
      </w:pPr>
      <w:r>
        <w:t xml:space="preserve">Implement Phase 3 product learning and QA before expanding product claims.</w:t>
      </w:r>
    </w:p>
    <w:p>
      <w:pPr>
        <w:pStyle w:val="Compact"/>
        <w:numPr>
          <w:ilvl w:val="0"/>
          <w:numId w:val="1013"/>
        </w:numPr>
      </w:pPr>
      <w:r>
        <w:t xml:space="preserve">Implement Phase 3 customer proof and release communications.</w:t>
      </w:r>
    </w:p>
    <w:p>
      <w:pPr>
        <w:pStyle w:val="Compact"/>
        <w:numPr>
          <w:ilvl w:val="0"/>
          <w:numId w:val="1013"/>
        </w:numPr>
      </w:pPr>
      <w:r>
        <w:t xml:space="preserve">Implement Phase 4 scaled campaign operations.</w:t>
      </w:r>
    </w:p>
    <w:p>
      <w:pPr>
        <w:pStyle w:val="Compact"/>
        <w:numPr>
          <w:ilvl w:val="0"/>
          <w:numId w:val="1013"/>
        </w:numPr>
      </w:pPr>
      <w:r>
        <w:t xml:space="preserve">Implement Phase 5 intelligence.</w:t>
      </w:r>
    </w:p>
    <w:p>
      <w:pPr>
        <w:pStyle w:val="Compact"/>
        <w:numPr>
          <w:ilvl w:val="0"/>
          <w:numId w:val="1013"/>
        </w:numPr>
      </w:pPr>
      <w:r>
        <w:t xml:space="preserve">Implement Phase 6 only after decision inputs are reliable.</w:t>
      </w:r>
    </w:p>
    <w:bookmarkEnd w:id="39"/>
    <w:bookmarkStart w:id="40" w:name="X2553f29e9179475af81186c889290942a0e78e4"/>
    <w:p>
      <w:pPr>
        <w:pStyle w:val="Heading1"/>
      </w:pPr>
      <w:r>
        <w:t xml:space="preserve">10. Definition of dependency readiness</w:t>
      </w:r>
    </w:p>
    <w:p>
      <w:pPr>
        <w:pStyle w:val="FirstParagraph"/>
      </w:pPr>
      <w:r>
        <w:t xml:space="preserve">The revised phase program is ready when:</w:t>
      </w:r>
    </w:p>
    <w:p>
      <w:pPr>
        <w:pStyle w:val="Compact"/>
        <w:numPr>
          <w:ilvl w:val="0"/>
          <w:numId w:val="1014"/>
        </w:numPr>
      </w:pPr>
      <w:r>
        <w:t xml:space="preserve">Every later-phase entity has a declared canonical owner.</w:t>
      </w:r>
    </w:p>
    <w:p>
      <w:pPr>
        <w:pStyle w:val="Compact"/>
        <w:numPr>
          <w:ilvl w:val="0"/>
          <w:numId w:val="1014"/>
        </w:numPr>
      </w:pPr>
      <w:r>
        <w:t xml:space="preserve">Every founder-editable document type maps to generic artifacts.</w:t>
      </w:r>
    </w:p>
    <w:p>
      <w:pPr>
        <w:pStyle w:val="Compact"/>
        <w:numPr>
          <w:ilvl w:val="0"/>
          <w:numId w:val="1014"/>
        </w:numPr>
      </w:pPr>
      <w:r>
        <w:t xml:space="preserve">Every Notion action maps to a validated command.</w:t>
      </w:r>
    </w:p>
    <w:p>
      <w:pPr>
        <w:pStyle w:val="Compact"/>
        <w:numPr>
          <w:ilvl w:val="0"/>
          <w:numId w:val="1014"/>
        </w:numPr>
      </w:pPr>
      <w:r>
        <w:t xml:space="preserve">Every external claim maps to approved evidence.</w:t>
      </w:r>
    </w:p>
    <w:p>
      <w:pPr>
        <w:pStyle w:val="Compact"/>
        <w:numPr>
          <w:ilvl w:val="0"/>
          <w:numId w:val="1014"/>
        </w:numPr>
      </w:pPr>
      <w:r>
        <w:t xml:space="preserve">Every customer story maps to consent.</w:t>
      </w:r>
    </w:p>
    <w:p>
      <w:pPr>
        <w:pStyle w:val="Compact"/>
        <w:numPr>
          <w:ilvl w:val="0"/>
          <w:numId w:val="1014"/>
        </w:numPr>
      </w:pPr>
      <w:r>
        <w:t xml:space="preserve">Every phase has independent feature flags and shadow mode.</w:t>
      </w:r>
    </w:p>
    <w:p>
      <w:pPr>
        <w:pStyle w:val="Compact"/>
        <w:numPr>
          <w:ilvl w:val="0"/>
          <w:numId w:val="1014"/>
        </w:numPr>
      </w:pPr>
      <w:r>
        <w:t xml:space="preserve">No later phase requires a second approval, consent, evidence, artifact, or workspace-integration subsystem.</w:t>
      </w:r>
    </w:p>
    <w:bookmarkEnd w:id="40"/>
    <w:sectPr w:rsidR="00FC693F" w:rsidRPr="0006063C" w:rsidSect="00034616">
      <w:footerReference r:id="rId9" w:type="default"/>
      <w:headerReference w:type="default" r:id="rId10"/>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Founder Operating System | Next Dependencies and Cross-Phase Refactoring Plan | Version 3.0</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491"/>
        <w:sz w:val="15"/>
      </w:rPr>
      <w:t>FOS-DEPENDENCIES-1-6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Aptos"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60"/>
      <w:outlineLvl w:val="0"/>
    </w:pPr>
    <w:rPr>
      <w:rFonts w:ascii="Aptos Display" w:asciiTheme="majorHAnsi" w:cstheme="majorBidi" w:eastAsiaTheme="majorEastAsia" w:hAnsi="Aptos Display" w:hAnsiTheme="majorHAnsi"/>
      <w:b/>
      <w:bCs/>
      <w:color w:val="10213A"/>
      <w:sz w:val="36"/>
      <w:szCs w:val="28"/>
    </w:rPr>
  </w:style>
  <w:style w:styleId="Heading2" w:type="paragraph">
    <w:name w:val="heading 2"/>
    <w:basedOn w:val="Normal"/>
    <w:next w:val="Normal"/>
    <w:link w:val="Heading2Char"/>
    <w:uiPriority w:val="9"/>
    <w:unhideWhenUsed/>
    <w:qFormat/>
    <w:rsid w:val="00FC693F"/>
    <w:pPr>
      <w:keepNext/>
      <w:keepLines/>
      <w:spacing w:after="100" w:before="280"/>
      <w:outlineLvl w:val="1"/>
    </w:pPr>
    <w:rPr>
      <w:rFonts w:ascii="Aptos Display" w:asciiTheme="majorHAnsi" w:cstheme="majorBidi" w:eastAsiaTheme="majorEastAsia" w:hAnsi="Aptos Display" w:hAnsiTheme="majorHAnsi"/>
      <w:b/>
      <w:bCs/>
      <w:color w:val="1A365D"/>
      <w:sz w:val="28"/>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Aptos" w:asciiTheme="majorHAnsi" w:cstheme="majorBidi" w:eastAsiaTheme="majorEastAsia" w:hAnsi="Aptos" w:hAnsiTheme="majorHAnsi"/>
      <w:b/>
      <w:bCs/>
      <w:color w:val="1A365D"/>
      <w:sz w:val="23"/>
    </w:rPr>
  </w:style>
  <w:style w:styleId="Heading4" w:type="paragraph">
    <w:name w:val="heading 4"/>
    <w:basedOn w:val="Normal"/>
    <w:next w:val="Normal"/>
    <w:link w:val="Heading4Char"/>
    <w:uiPriority w:val="9"/>
    <w:semiHidden/>
    <w:unhideWhenUsed/>
    <w:qFormat/>
    <w:rsid w:val="00FC693F"/>
    <w:pPr>
      <w:keepNext/>
      <w:keepLines/>
      <w:spacing w:after="60" w:before="160"/>
      <w:outlineLvl w:val="3"/>
    </w:pPr>
    <w:rPr>
      <w:rFonts w:ascii="Aptos" w:asciiTheme="majorHAnsi" w:cstheme="majorBidi" w:eastAsiaTheme="majorEastAsia" w:hAnsi="Aptos" w:hAnsiTheme="majorHAnsi"/>
      <w:b/>
      <w:bCs/>
      <w:i/>
      <w:iCs/>
      <w:color w:val="10213A"/>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40" w:before="0" w:line="240" w:lineRule="auto"/>
      <w:contextualSpacing/>
    </w:pPr>
    <w:rPr>
      <w:rFonts w:ascii="Aptos Display" w:asciiTheme="majorHAnsi" w:cstheme="majorBidi" w:eastAsiaTheme="majorEastAsia" w:hAnsi="Aptos Display" w:hAnsiTheme="majorHAnsi"/>
      <w:b/>
      <w:color w:val="10213A"/>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pPr>
    <w:rPr>
      <w:rFonts w:ascii="Aptos Display" w:asciiTheme="majorHAnsi" w:cstheme="majorBidi" w:eastAsiaTheme="majorEastAsia" w:hAnsi="Aptos Display" w:hAnsiTheme="majorHAnsi"/>
      <w:b/>
      <w:i/>
      <w:iCs/>
      <w:color w:val="1A365D"/>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contextualSpacing/>
    </w:pPr>
    <w:rPr>
      <w:rFonts w:ascii="Aptos" w:hAnsi="Aptos"/>
      <w:sz w:val="19"/>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contextualSpacing/>
    </w:pPr>
    <w:rPr>
      <w:rFonts w:ascii="Aptos" w:hAnsi="Aptos"/>
      <w:sz w:val="19"/>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ind w:left="360" w:right="216"/>
    </w:pPr>
    <w:rPr>
      <w:rFonts w:ascii="Aptos" w:hAnsi="Aptos"/>
      <w:i/>
      <w:iCs/>
      <w:color w:val="1A365D"/>
      <w:sz w:val="19"/>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360" w:right="216"/>
    </w:pPr>
    <w:rPr>
      <w:rFonts w:ascii="Aptos" w:hAnsi="Aptos"/>
      <w:b/>
      <w:bCs/>
      <w:i/>
      <w:iCs/>
      <w:color w:val="1A365D"/>
      <w:sz w:val="19"/>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2026-07-13T22:18:26Z</dcterms:created>
  <dcterms:modified xsi:type="dcterms:W3CDTF">2026-07-13T22:18:26Z</dcterms:modified>
</cp:coreProperties>
</file>

<file path=docProps/custom.xml><?xml version="1.0" encoding="utf-8"?>
<Properties xmlns="http://schemas.openxmlformats.org/officeDocument/2006/custom-properties" xmlns:vt="http://schemas.openxmlformats.org/officeDocument/2006/docPropsVTypes"/>
</file>