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1600"/>
        <w:jc w:val="center"/>
      </w:pPr>
      <w:r>
        <w:rPr>
          <w:rFonts w:ascii="Aptos Display" w:hAnsi="Aptos Display"/>
          <w:b/>
          <w:color w:val="10213A"/>
          <w:sz w:val="56"/>
        </w:rPr>
        <w:t>FOUNDER OPERATING SYSTEM</w:t>
      </w:r>
    </w:p>
    <w:p>
      <w:pPr>
        <w:spacing w:before="480"/>
        <w:jc w:val="center"/>
      </w:pPr>
      <w:r>
        <w:rPr>
          <w:rFonts w:ascii="Aptos Display" w:hAnsi="Aptos Display"/>
          <w:b/>
          <w:color w:val="1A365D"/>
          <w:sz w:val="42"/>
        </w:rPr>
        <w:t>Phase 2 - Beta Activation, Retention, Support, and Founder Editorial Cadence</w:t>
      </w:r>
    </w:p>
    <w:p>
      <w:pPr>
        <w:spacing w:before="240"/>
        <w:jc w:val="center"/>
      </w:pPr>
      <w:r>
        <w:rPr>
          <w:rFonts w:ascii="Aptos" w:hAnsi="Aptos"/>
          <w:color w:val="5B6573"/>
          <w:sz w:val="26"/>
        </w:rPr>
        <w:t>Complete Technical Specification and Implementation Plan</w:t>
      </w:r>
    </w:p>
    <w:p>
      <w:pPr>
        <w:spacing w:before="2200"/>
        <w:jc w:val="center"/>
      </w:pPr>
      <w:r>
        <w:rPr>
          <w:rFonts w:ascii="Aptos" w:hAnsi="Aptos"/>
          <w:color w:val="5B6573"/>
          <w:sz w:val="20"/>
        </w:rPr>
        <w:t>FOS-TECH-PHASE-2  |  Version 3.0  |  2026-07-13</w:t>
      </w:r>
    </w:p>
    <w:p>
      <w:r>
        <w:br w:type="page"/>
      </w:r>
    </w:p>
    <w:p>
      <w:pPr>
        <w:pStyle w:val="Heading1"/>
      </w:pPr>
      <w:r>
        <w:t>Contents</w:t>
      </w:r>
    </w:p>
    <w:p>
      <w:pPr>
        <w:spacing w:after="60"/>
        <w:ind w:left="259" w:hanging="259"/>
      </w:pPr>
      <w:r>
        <w:rPr>
          <w:rFonts w:ascii="Aptos" w:hAnsi="Aptos"/>
          <w:color w:val="1A365D"/>
          <w:sz w:val="18"/>
        </w:rPr>
        <w:t>0. Revision decision</w:t>
      </w:r>
    </w:p>
    <w:p>
      <w:pPr>
        <w:spacing w:after="60"/>
        <w:ind w:left="259" w:hanging="259"/>
      </w:pPr>
      <w:r>
        <w:rPr>
          <w:rFonts w:ascii="Aptos" w:hAnsi="Aptos"/>
          <w:color w:val="1A365D"/>
          <w:sz w:val="18"/>
        </w:rPr>
        <w:t>1. Implementation directive</w:t>
      </w:r>
    </w:p>
    <w:p>
      <w:pPr>
        <w:spacing w:after="60"/>
        <w:ind w:left="259" w:hanging="259"/>
      </w:pPr>
      <w:r>
        <w:rPr>
          <w:rFonts w:ascii="Aptos" w:hAnsi="Aptos"/>
          <w:color w:val="1A365D"/>
          <w:sz w:val="18"/>
        </w:rPr>
        <w:t>2. Objectives and success metrics</w:t>
      </w:r>
    </w:p>
    <w:p>
      <w:pPr>
        <w:spacing w:after="60"/>
        <w:ind w:left="259" w:hanging="259"/>
      </w:pPr>
      <w:r>
        <w:rPr>
          <w:rFonts w:ascii="Aptos" w:hAnsi="Aptos"/>
          <w:color w:val="1A365D"/>
          <w:sz w:val="18"/>
        </w:rPr>
        <w:t>3. Scope</w:t>
      </w:r>
    </w:p>
    <w:p>
      <w:pPr>
        <w:spacing w:after="60"/>
        <w:ind w:left="259" w:hanging="259"/>
      </w:pPr>
      <w:r>
        <w:rPr>
          <w:rFonts w:ascii="Aptos" w:hAnsi="Aptos"/>
          <w:color w:val="1A365D"/>
          <w:sz w:val="18"/>
        </w:rPr>
        <w:t>4. Domain model extensions</w:t>
      </w:r>
    </w:p>
    <w:p>
      <w:pPr>
        <w:spacing w:after="60"/>
        <w:ind w:left="259" w:hanging="259"/>
      </w:pPr>
      <w:r>
        <w:rPr>
          <w:rFonts w:ascii="Aptos" w:hAnsi="Aptos"/>
          <w:color w:val="1A365D"/>
          <w:sz w:val="18"/>
        </w:rPr>
        <w:t>5. Artifact types and Notion workspace</w:t>
      </w:r>
    </w:p>
    <w:p>
      <w:pPr>
        <w:spacing w:after="60"/>
        <w:ind w:left="259" w:hanging="259"/>
      </w:pPr>
      <w:r>
        <w:rPr>
          <w:rFonts w:ascii="Aptos" w:hAnsi="Aptos"/>
          <w:color w:val="1A365D"/>
          <w:sz w:val="18"/>
        </w:rPr>
        <w:t>6. Agents</w:t>
      </w:r>
    </w:p>
    <w:p>
      <w:pPr>
        <w:spacing w:after="60"/>
        <w:ind w:left="259" w:hanging="259"/>
      </w:pPr>
      <w:r>
        <w:rPr>
          <w:rFonts w:ascii="Aptos" w:hAnsi="Aptos"/>
          <w:color w:val="1A365D"/>
          <w:sz w:val="18"/>
        </w:rPr>
        <w:t>7. Workflows</w:t>
      </w:r>
    </w:p>
    <w:p>
      <w:pPr>
        <w:spacing w:after="60"/>
        <w:ind w:left="259" w:hanging="259"/>
      </w:pPr>
      <w:r>
        <w:rPr>
          <w:rFonts w:ascii="Aptos" w:hAnsi="Aptos"/>
          <w:color w:val="1A365D"/>
          <w:sz w:val="18"/>
        </w:rPr>
        <w:t>8. APIs and jobs</w:t>
      </w:r>
    </w:p>
    <w:p>
      <w:pPr>
        <w:spacing w:after="60"/>
        <w:ind w:left="259" w:hanging="259"/>
      </w:pPr>
      <w:r>
        <w:rPr>
          <w:rFonts w:ascii="Aptos" w:hAnsi="Aptos"/>
          <w:color w:val="1A365D"/>
          <w:sz w:val="18"/>
        </w:rPr>
        <w:t>9. Deterministic safeguards</w:t>
      </w:r>
    </w:p>
    <w:p>
      <w:pPr>
        <w:spacing w:after="60"/>
        <w:ind w:left="259" w:hanging="259"/>
      </w:pPr>
      <w:r>
        <w:rPr>
          <w:rFonts w:ascii="Aptos" w:hAnsi="Aptos"/>
          <w:color w:val="1A365D"/>
          <w:sz w:val="18"/>
        </w:rPr>
        <w:t>10. Tests</w:t>
      </w:r>
    </w:p>
    <w:p>
      <w:pPr>
        <w:spacing w:after="60"/>
        <w:ind w:left="259" w:hanging="259"/>
      </w:pPr>
      <w:r>
        <w:rPr>
          <w:rFonts w:ascii="Aptos" w:hAnsi="Aptos"/>
          <w:color w:val="1A365D"/>
          <w:sz w:val="18"/>
        </w:rPr>
        <w:t>11. Work packages</w:t>
      </w:r>
    </w:p>
    <w:p>
      <w:pPr>
        <w:spacing w:after="60"/>
        <w:ind w:left="259" w:hanging="259"/>
      </w:pPr>
      <w:r>
        <w:rPr>
          <w:rFonts w:ascii="Aptos" w:hAnsi="Aptos"/>
          <w:color w:val="1A365D"/>
          <w:sz w:val="18"/>
        </w:rPr>
        <w:t>12. Definition of done</w:t>
      </w:r>
    </w:p>
    <w:p>
      <w:pPr>
        <w:spacing w:after="60"/>
        <w:ind w:left="259" w:hanging="259"/>
      </w:pPr>
      <w:r>
        <w:rPr>
          <w:rFonts w:ascii="Aptos" w:hAnsi="Aptos"/>
          <w:color w:val="1A365D"/>
          <w:sz w:val="18"/>
        </w:rPr>
        <w:t>Shared architectural invariants</w:t>
      </w:r>
    </w:p>
    <w:p>
      <w:pPr>
        <w:spacing w:after="60"/>
        <w:ind w:left="259" w:hanging="259"/>
      </w:pPr>
      <w:r>
        <w:rPr>
          <w:rFonts w:ascii="Aptos" w:hAnsi="Aptos"/>
          <w:color w:val="1A365D"/>
          <w:sz w:val="18"/>
        </w:rPr>
        <w:t>Agent runtime requirements</w:t>
      </w:r>
    </w:p>
    <w:p>
      <w:pPr>
        <w:spacing w:after="60"/>
        <w:ind w:left="259" w:hanging="259"/>
      </w:pPr>
      <w:r>
        <w:rPr>
          <w:rFonts w:ascii="Aptos" w:hAnsi="Aptos"/>
          <w:color w:val="1A365D"/>
          <w:sz w:val="18"/>
        </w:rPr>
        <w:t>Security, privacy, and governance</w:t>
      </w:r>
    </w:p>
    <w:p>
      <w:pPr>
        <w:spacing w:after="60"/>
        <w:ind w:left="259" w:hanging="259"/>
      </w:pPr>
      <w:r>
        <w:rPr>
          <w:rFonts w:ascii="Aptos" w:hAnsi="Aptos"/>
          <w:color w:val="1A365D"/>
          <w:sz w:val="18"/>
        </w:rPr>
        <w:t>Observability and cost controls</w:t>
      </w:r>
    </w:p>
    <w:p>
      <w:pPr>
        <w:spacing w:after="60"/>
        <w:ind w:left="259" w:hanging="259"/>
      </w:pPr>
      <w:r>
        <w:rPr>
          <w:rFonts w:ascii="Aptos" w:hAnsi="Aptos"/>
          <w:color w:val="1A365D"/>
          <w:sz w:val="18"/>
        </w:rPr>
        <w:t>Deployment and activation model</w:t>
      </w:r>
    </w:p>
    <w:p>
      <w:r>
        <w:br w:type="page"/>
      </w:r>
    </w:p>
    <w:p>
      <w:pPr>
        <w:pStyle w:val="BlockText"/>
      </w:pPr>
      <w:r>
        <w:t xml:space="preserve">This specification is written against the revised Phase 0 canonical-state, generic-artifact, controlled-command, and Founder Workspace Adapter contracts. Any implementation based on the earlier native-admin assumptions must be refactored as identified in the dependency plan.</w:t>
      </w:r>
    </w:p>
    <w:p>
      <w:r>
        <w:pict>
          <v:rect style="width:0;height:1.5pt" o:hralign="center" o:hrstd="t" o:hr="t"/>
        </w:pict>
      </w:r>
    </w:p>
    <w:bookmarkStart w:id="20" w:name="X023bf7650b08d130681bb7787814761baa22d06"/>
    <w:p>
      <w:pPr>
        <w:pStyle w:val="Heading1"/>
      </w:pPr>
      <w:r>
        <w:t xml:space="preserve">0. Revision decision</w:t>
      </w:r>
    </w:p>
    <w:p>
      <w:pPr>
        <w:pStyle w:val="FirstParagraph"/>
      </w:pPr>
      <w:r>
        <w:t xml:space="preserve">Phase 2 now combines beta operations with the founder's recurring editorial cadence. These functions share the same raw material: beta questions, onboarding friction, support patterns, learning milestones, founder observations, and emerging outcomes.</w:t>
      </w:r>
    </w:p>
    <w:p>
      <w:pPr>
        <w:pStyle w:val="BodyText"/>
      </w:pPr>
      <w:r>
        <w:t xml:space="preserve">The phase must protect private beta data while turning approved aggregate learning into useful LinkedIn and Substack communication. Beta operations remain canonical; editorial working copies live in Notion.</w:t>
      </w:r>
    </w:p>
    <w:bookmarkEnd w:id="20"/>
    <w:bookmarkStart w:id="21" w:name="X890bcc7cb2a90e542cc76ac8259480bbf61c337"/>
    <w:p>
      <w:pPr>
        <w:pStyle w:val="Heading1"/>
      </w:pPr>
      <w:r>
        <w:t xml:space="preserve">1. Implementation directive</w:t>
      </w:r>
    </w:p>
    <w:p>
      <w:pPr>
        <w:pStyle w:val="FirstParagraph"/>
      </w:pPr>
      <w:r>
        <w:t xml:space="preserve">Build the operating system that moves each enrolled beta user from enrollment to first value, detects risk, triages support, captures verified outcomes and referrals, and maintains a sustainable weekly founder publishing workflow.</w:t>
      </w:r>
    </w:p>
    <w:bookmarkEnd w:id="21"/>
    <w:bookmarkStart w:id="25" w:name="X62866ceb0f6d6337252e49b8709436ff392b0bb"/>
    <w:p>
      <w:pPr>
        <w:pStyle w:val="Heading1"/>
      </w:pPr>
      <w:r>
        <w:t xml:space="preserve">2. Objectives and success metrics</w:t>
      </w:r>
    </w:p>
    <w:bookmarkStart w:id="22" w:name="beta-objectives"/>
    <w:p>
      <w:pPr>
        <w:pStyle w:val="Heading2"/>
      </w:pPr>
      <w:r>
        <w:t xml:space="preserve">Beta objectives</w:t>
      </w:r>
    </w:p>
    <w:p>
      <w:pPr>
        <w:pStyle w:val="Compact"/>
        <w:numPr>
          <w:ilvl w:val="0"/>
          <w:numId w:val="1001"/>
        </w:numPr>
      </w:pPr>
      <w:r>
        <w:t xml:space="preserve">Every active beta user has an approved onboarding plan and first-value milestone.</w:t>
      </w:r>
    </w:p>
    <w:p>
      <w:pPr>
        <w:pStyle w:val="Compact"/>
        <w:numPr>
          <w:ilvl w:val="0"/>
          <w:numId w:val="1001"/>
        </w:numPr>
      </w:pPr>
      <w:r>
        <w:t xml:space="preserve">At-risk users are identified with explainable factors.</w:t>
      </w:r>
    </w:p>
    <w:p>
      <w:pPr>
        <w:pStyle w:val="Compact"/>
        <w:numPr>
          <w:ilvl w:val="0"/>
          <w:numId w:val="1001"/>
        </w:numPr>
      </w:pPr>
      <w:r>
        <w:t xml:space="preserve">Support is classified, answered, and converted into product signals.</w:t>
      </w:r>
    </w:p>
    <w:p>
      <w:pPr>
        <w:pStyle w:val="Compact"/>
        <w:numPr>
          <w:ilvl w:val="0"/>
          <w:numId w:val="1001"/>
        </w:numPr>
      </w:pPr>
      <w:r>
        <w:t xml:space="preserve">Outcomes and referral opportunities are captured with consent.</w:t>
      </w:r>
    </w:p>
    <w:bookmarkEnd w:id="22"/>
    <w:bookmarkStart w:id="23" w:name="editorial-objectives"/>
    <w:p>
      <w:pPr>
        <w:pStyle w:val="Heading2"/>
      </w:pPr>
      <w:r>
        <w:t xml:space="preserve">Editorial objectives</w:t>
      </w:r>
    </w:p>
    <w:p>
      <w:pPr>
        <w:pStyle w:val="Compact"/>
        <w:numPr>
          <w:ilvl w:val="0"/>
          <w:numId w:val="1002"/>
        </w:numPr>
      </w:pPr>
      <w:r>
        <w:t xml:space="preserve">Maintain a reliable LinkedIn cadence and recurring Substack workflow.</w:t>
      </w:r>
    </w:p>
    <w:p>
      <w:pPr>
        <w:pStyle w:val="Compact"/>
        <w:numPr>
          <w:ilvl w:val="0"/>
          <w:numId w:val="1002"/>
        </w:numPr>
      </w:pPr>
      <w:r>
        <w:t xml:space="preserve">Produce build logs, learning reports, and educational posts from approved sources.</w:t>
      </w:r>
    </w:p>
    <w:p>
      <w:pPr>
        <w:pStyle w:val="Compact"/>
        <w:numPr>
          <w:ilvl w:val="0"/>
          <w:numId w:val="1002"/>
        </w:numPr>
      </w:pPr>
      <w:r>
        <w:t xml:space="preserve">Reduce founder blank-page writing while preserving voice and judgment.</w:t>
      </w:r>
    </w:p>
    <w:bookmarkEnd w:id="23"/>
    <w:bookmarkStart w:id="24" w:name="metrics"/>
    <w:p>
      <w:pPr>
        <w:pStyle w:val="Heading2"/>
      </w:pPr>
      <w:r>
        <w:t xml:space="preserve">Metrics</w:t>
      </w:r>
    </w:p>
    <w:p>
      <w:pPr>
        <w:pStyle w:val="Compact"/>
        <w:numPr>
          <w:ilvl w:val="0"/>
          <w:numId w:val="1003"/>
        </w:numPr>
      </w:pPr>
      <w:r>
        <w:t xml:space="preserve">Onboarding completion</w:t>
      </w:r>
    </w:p>
    <w:p>
      <w:pPr>
        <w:pStyle w:val="Compact"/>
        <w:numPr>
          <w:ilvl w:val="0"/>
          <w:numId w:val="1003"/>
        </w:numPr>
      </w:pPr>
      <w:r>
        <w:t xml:space="preserve">Time to first value</w:t>
      </w:r>
    </w:p>
    <w:p>
      <w:pPr>
        <w:pStyle w:val="Compact"/>
        <w:numPr>
          <w:ilvl w:val="0"/>
          <w:numId w:val="1003"/>
        </w:numPr>
      </w:pPr>
      <w:r>
        <w:t xml:space="preserve">Week-one and cohort retention</w:t>
      </w:r>
    </w:p>
    <w:p>
      <w:pPr>
        <w:pStyle w:val="Compact"/>
        <w:numPr>
          <w:ilvl w:val="0"/>
          <w:numId w:val="1003"/>
        </w:numPr>
      </w:pPr>
      <w:r>
        <w:t xml:space="preserve">Support volume and resolution time</w:t>
      </w:r>
    </w:p>
    <w:p>
      <w:pPr>
        <w:pStyle w:val="Compact"/>
        <w:numPr>
          <w:ilvl w:val="0"/>
          <w:numId w:val="1003"/>
        </w:numPr>
      </w:pPr>
      <w:r>
        <w:t xml:space="preserve">Founder support minutes</w:t>
      </w:r>
    </w:p>
    <w:p>
      <w:pPr>
        <w:pStyle w:val="Compact"/>
        <w:numPr>
          <w:ilvl w:val="0"/>
          <w:numId w:val="1003"/>
        </w:numPr>
      </w:pPr>
      <w:r>
        <w:t xml:space="preserve">At-risk recovery</w:t>
      </w:r>
    </w:p>
    <w:p>
      <w:pPr>
        <w:pStyle w:val="Compact"/>
        <w:numPr>
          <w:ilvl w:val="0"/>
          <w:numId w:val="1003"/>
        </w:numPr>
      </w:pPr>
      <w:r>
        <w:t xml:space="preserve">Verified outcomes, referral invitations, referral enrollments</w:t>
      </w:r>
    </w:p>
    <w:p>
      <w:pPr>
        <w:pStyle w:val="Compact"/>
        <w:numPr>
          <w:ilvl w:val="0"/>
          <w:numId w:val="1003"/>
        </w:numPr>
      </w:pPr>
      <w:r>
        <w:t xml:space="preserve">Weekly content cadence</w:t>
      </w:r>
    </w:p>
    <w:p>
      <w:pPr>
        <w:pStyle w:val="Compact"/>
        <w:numPr>
          <w:ilvl w:val="0"/>
          <w:numId w:val="1003"/>
        </w:numPr>
      </w:pPr>
      <w:r>
        <w:t xml:space="preserve">Founder content-production minutes</w:t>
      </w:r>
    </w:p>
    <w:p>
      <w:pPr>
        <w:pStyle w:val="Compact"/>
        <w:numPr>
          <w:ilvl w:val="0"/>
          <w:numId w:val="1003"/>
        </w:numPr>
      </w:pPr>
      <w:r>
        <w:t xml:space="preserve">Content-assisted applications and enrollments</w:t>
      </w:r>
    </w:p>
    <w:bookmarkEnd w:id="24"/>
    <w:bookmarkEnd w:id="25"/>
    <w:bookmarkStart w:id="26" w:name="X25d0be9279514911651d99fd74a027e3892227a"/>
    <w:p>
      <w:pPr>
        <w:pStyle w:val="Heading1"/>
      </w:pPr>
      <w:r>
        <w:t xml:space="preserve">3. Scope</w:t>
      </w:r>
    </w:p>
    <w:p>
      <w:pPr>
        <w:pStyle w:val="FirstParagraph"/>
      </w:pPr>
      <w:r>
        <w:t xml:space="preserve">Included:</w:t>
      </w:r>
    </w:p>
    <w:p>
      <w:pPr>
        <w:pStyle w:val="Compact"/>
        <w:numPr>
          <w:ilvl w:val="0"/>
          <w:numId w:val="1004"/>
        </w:numPr>
      </w:pPr>
      <w:r>
        <w:t xml:space="preserve">Beta enrollment conversion</w:t>
      </w:r>
    </w:p>
    <w:p>
      <w:pPr>
        <w:pStyle w:val="Compact"/>
        <w:numPr>
          <w:ilvl w:val="0"/>
          <w:numId w:val="1004"/>
        </w:numPr>
      </w:pPr>
      <w:r>
        <w:t xml:space="preserve">Personalized onboarding</w:t>
      </w:r>
    </w:p>
    <w:p>
      <w:pPr>
        <w:pStyle w:val="Compact"/>
        <w:numPr>
          <w:ilvl w:val="0"/>
          <w:numId w:val="1004"/>
        </w:numPr>
      </w:pPr>
      <w:r>
        <w:t xml:space="preserve">Milestones and first-value detection</w:t>
      </w:r>
    </w:p>
    <w:p>
      <w:pPr>
        <w:pStyle w:val="Compact"/>
        <w:numPr>
          <w:ilvl w:val="0"/>
          <w:numId w:val="1004"/>
        </w:numPr>
      </w:pPr>
      <w:r>
        <w:t xml:space="preserve">Explainable beta-health snapshots</w:t>
      </w:r>
    </w:p>
    <w:p>
      <w:pPr>
        <w:pStyle w:val="Compact"/>
        <w:numPr>
          <w:ilvl w:val="0"/>
          <w:numId w:val="1004"/>
        </w:numPr>
      </w:pPr>
      <w:r>
        <w:t xml:space="preserve">Intervention recommendations</w:t>
      </w:r>
    </w:p>
    <w:p>
      <w:pPr>
        <w:pStyle w:val="Compact"/>
        <w:numPr>
          <w:ilvl w:val="0"/>
          <w:numId w:val="1004"/>
        </w:numPr>
      </w:pPr>
      <w:r>
        <w:t xml:space="preserve">Support cases and response drafts</w:t>
      </w:r>
    </w:p>
    <w:p>
      <w:pPr>
        <w:pStyle w:val="Compact"/>
        <w:numPr>
          <w:ilvl w:val="0"/>
          <w:numId w:val="1004"/>
        </w:numPr>
      </w:pPr>
      <w:r>
        <w:t xml:space="preserve">Outcome evidence and consent</w:t>
      </w:r>
    </w:p>
    <w:p>
      <w:pPr>
        <w:pStyle w:val="Compact"/>
        <w:numPr>
          <w:ilvl w:val="0"/>
          <w:numId w:val="1004"/>
        </w:numPr>
      </w:pPr>
      <w:r>
        <w:t xml:space="preserve">Referral opportunities</w:t>
      </w:r>
    </w:p>
    <w:p>
      <w:pPr>
        <w:pStyle w:val="Compact"/>
        <w:numPr>
          <w:ilvl w:val="0"/>
          <w:numId w:val="1004"/>
        </w:numPr>
      </w:pPr>
      <w:r>
        <w:t xml:space="preserve">Weekly editorial planning</w:t>
      </w:r>
    </w:p>
    <w:p>
      <w:pPr>
        <w:pStyle w:val="Compact"/>
        <w:numPr>
          <w:ilvl w:val="0"/>
          <w:numId w:val="1004"/>
        </w:numPr>
      </w:pPr>
      <w:r>
        <w:t xml:space="preserve">Recurring LinkedIn post generation</w:t>
      </w:r>
    </w:p>
    <w:p>
      <w:pPr>
        <w:pStyle w:val="Compact"/>
        <w:numPr>
          <w:ilvl w:val="0"/>
          <w:numId w:val="1004"/>
        </w:numPr>
      </w:pPr>
      <w:r>
        <w:t xml:space="preserve">Substack research/essay workflow</w:t>
      </w:r>
    </w:p>
    <w:p>
      <w:pPr>
        <w:pStyle w:val="Compact"/>
        <w:numPr>
          <w:ilvl w:val="0"/>
          <w:numId w:val="1004"/>
        </w:numPr>
      </w:pPr>
      <w:r>
        <w:t xml:space="preserve">Build-log generation</w:t>
      </w:r>
    </w:p>
    <w:p>
      <w:pPr>
        <w:pStyle w:val="Compact"/>
        <w:numPr>
          <w:ilvl w:val="0"/>
          <w:numId w:val="1004"/>
        </w:numPr>
      </w:pPr>
      <w:r>
        <w:t xml:space="preserve">Comment/question clustering for future content</w:t>
      </w:r>
    </w:p>
    <w:p>
      <w:pPr>
        <w:pStyle w:val="FirstParagraph"/>
      </w:pPr>
      <w:r>
        <w:t xml:space="preserve">Excluded:</w:t>
      </w:r>
    </w:p>
    <w:p>
      <w:pPr>
        <w:pStyle w:val="Compact"/>
        <w:numPr>
          <w:ilvl w:val="0"/>
          <w:numId w:val="1005"/>
        </w:numPr>
      </w:pPr>
      <w:r>
        <w:t xml:space="preserve">Autonomous support sending</w:t>
      </w:r>
    </w:p>
    <w:p>
      <w:pPr>
        <w:pStyle w:val="Compact"/>
        <w:numPr>
          <w:ilvl w:val="0"/>
          <w:numId w:val="1005"/>
        </w:numPr>
      </w:pPr>
      <w:r>
        <w:t xml:space="preserve">Psychological or protected-attribute scoring</w:t>
      </w:r>
    </w:p>
    <w:p>
      <w:pPr>
        <w:pStyle w:val="Compact"/>
        <w:numPr>
          <w:ilvl w:val="0"/>
          <w:numId w:val="1005"/>
        </w:numPr>
      </w:pPr>
      <w:r>
        <w:t xml:space="preserve">Public use of outcomes without consent</w:t>
      </w:r>
    </w:p>
    <w:p>
      <w:pPr>
        <w:pStyle w:val="Compact"/>
        <w:numPr>
          <w:ilvl w:val="0"/>
          <w:numId w:val="1005"/>
        </w:numPr>
      </w:pPr>
      <w:r>
        <w:t xml:space="preserve">Full campaign automation</w:t>
      </w:r>
    </w:p>
    <w:p>
      <w:pPr>
        <w:pStyle w:val="Compact"/>
        <w:numPr>
          <w:ilvl w:val="0"/>
          <w:numId w:val="1005"/>
        </w:numPr>
      </w:pPr>
      <w:r>
        <w:t xml:space="preserve">Product specification and release QA</w:t>
      </w:r>
    </w:p>
    <w:p>
      <w:pPr>
        <w:pStyle w:val="Compact"/>
        <w:numPr>
          <w:ilvl w:val="0"/>
          <w:numId w:val="1005"/>
        </w:numPr>
      </w:pPr>
      <w:r>
        <w:t xml:space="preserve">Autonomous social engagement</w:t>
      </w:r>
    </w:p>
    <w:bookmarkEnd w:id="26"/>
    <w:bookmarkStart w:id="38" w:name="Xf5e87f8bdd8745c6bdd0d85e09b4b05b065eef1"/>
    <w:p>
      <w:pPr>
        <w:pStyle w:val="Heading1"/>
      </w:pPr>
      <w:r>
        <w:t xml:space="preserve">4. Domain model extensions</w:t>
      </w:r>
    </w:p>
    <w:bookmarkStart w:id="27" w:name="X293e8bc68c002fc0fe38d405c53d52170dd1196"/>
    <w:p>
      <w:pPr>
        <w:pStyle w:val="Heading2"/>
      </w:pPr>
      <w:r>
        <w:t xml:space="preserve">4.1 BetaEnrollment</w:t>
      </w:r>
    </w:p>
    <w:p>
      <w:pPr>
        <w:pStyle w:val="FirstParagraph"/>
      </w:pPr>
      <w:r>
        <w:t xml:space="preserve">Canonical fields include status, primary goal, pathway, start/end, onboarding status, first-value status, last activity, health status, risk level, founder owner, and version.</w:t>
      </w:r>
    </w:p>
    <w:bookmarkEnd w:id="27"/>
    <w:bookmarkStart w:id="28" w:name="X8b95a6dd2a769008ed3f47699c507fedb14fa30"/>
    <w:p>
      <w:pPr>
        <w:pStyle w:val="Heading2"/>
      </w:pPr>
      <w:r>
        <w:t xml:space="preserve">4.2 OnboardingPlan</w:t>
      </w:r>
    </w:p>
    <w:p>
      <w:pPr>
        <w:pStyle w:val="FirstParagraph"/>
      </w:pPr>
      <w:r>
        <w:t xml:space="preserve">References an</w:t>
      </w:r>
      <w:r>
        <w:t xml:space="preserve"> </w:t>
      </w:r>
      <w:r>
        <w:rPr>
          <w:rStyle w:val="VerbatimChar"/>
        </w:rPr>
        <w:t xml:space="preserve">ArtifactRecord</w:t>
      </w:r>
      <w:r>
        <w:t xml:space="preserve">. Canonical fields store objective, first-value milestone, status, approval, active version, and user-visible release state.</w:t>
      </w:r>
    </w:p>
    <w:bookmarkEnd w:id="28"/>
    <w:bookmarkStart w:id="29" w:name="X0681fd7ff7ab92112bfc09eb28d6164591d3e9c"/>
    <w:p>
      <w:pPr>
        <w:pStyle w:val="Heading2"/>
      </w:pPr>
      <w:r>
        <w:t xml:space="preserve">4.3 BetaMilestone</w:t>
      </w:r>
    </w:p>
    <w:p>
      <w:pPr>
        <w:pStyle w:val="FirstParagraph"/>
      </w:pPr>
      <w:r>
        <w:t xml:space="preserve">Stores type, success criteria, target date, completion evidence, status, blocking reason, and dependencies.</w:t>
      </w:r>
    </w:p>
    <w:bookmarkEnd w:id="29"/>
    <w:bookmarkStart w:id="30" w:name="X24c98b403600291c60086ce1bb8491f57bbb6bd"/>
    <w:p>
      <w:pPr>
        <w:pStyle w:val="Heading2"/>
      </w:pPr>
      <w:r>
        <w:t xml:space="preserve">4.4 BetaActivityEvent</w:t>
      </w:r>
    </w:p>
    <w:p>
      <w:pPr>
        <w:pStyle w:val="FirstParagraph"/>
      </w:pPr>
      <w:r>
        <w:t xml:space="preserve">Append-only product and operational activity used for milestone and health calculations.</w:t>
      </w:r>
    </w:p>
    <w:bookmarkEnd w:id="30"/>
    <w:bookmarkStart w:id="31" w:name="X7206ade587e1f62dd47a6d25e4825c0574abb0d"/>
    <w:p>
      <w:pPr>
        <w:pStyle w:val="Heading2"/>
      </w:pPr>
      <w:r>
        <w:t xml:space="preserve">4.5 BetaHealthSnapshot</w:t>
      </w:r>
    </w:p>
    <w:p>
      <w:pPr>
        <w:pStyle w:val="FirstParagraph"/>
      </w:pPr>
      <w:r>
        <w:t xml:space="preserve">Stores score, status, risk, observed factors with source IDs, missing data, confidence, and recommended intervention. It is an operational indicator, not a factual characterization of the person.</w:t>
      </w:r>
    </w:p>
    <w:bookmarkEnd w:id="31"/>
    <w:bookmarkStart w:id="32" w:name="X6819e157a0e211e9bf13647f7ba5371a473b789"/>
    <w:p>
      <w:pPr>
        <w:pStyle w:val="Heading2"/>
      </w:pPr>
      <w:r>
        <w:t xml:space="preserve">4.6 SupportCase</w:t>
      </w:r>
    </w:p>
    <w:p>
      <w:pPr>
        <w:pStyle w:val="FirstParagraph"/>
      </w:pPr>
      <w:r>
        <w:t xml:space="preserve">Stores source interaction, case type, severity, product area, status, assigned owner, linked signals/defects, response artifact, and resolution.</w:t>
      </w:r>
    </w:p>
    <w:bookmarkEnd w:id="32"/>
    <w:bookmarkStart w:id="33" w:name="X215eb25245a4205cdd40df901fb87b3fc70687b"/>
    <w:p>
      <w:pPr>
        <w:pStyle w:val="Heading2"/>
      </w:pPr>
      <w:r>
        <w:t xml:space="preserve">4.7 InterventionRecommendation</w:t>
      </w:r>
    </w:p>
    <w:p>
      <w:pPr>
        <w:pStyle w:val="FirstParagraph"/>
      </w:pPr>
      <w:r>
        <w:t xml:space="preserve">Stores intervention type, rationale, urgency, confidence, due date, artifact, approval, status, and outcome.</w:t>
      </w:r>
    </w:p>
    <w:bookmarkEnd w:id="33"/>
    <w:bookmarkStart w:id="34" w:name="X1073f37c27ea5ec9d8340181e2dd146752f4c90"/>
    <w:p>
      <w:pPr>
        <w:pStyle w:val="Heading2"/>
      </w:pPr>
      <w:r>
        <w:t xml:space="preserve">4.8 OutcomeEvidence</w:t>
      </w:r>
    </w:p>
    <w:p>
      <w:pPr>
        <w:pStyle w:val="FirstParagraph"/>
      </w:pPr>
      <w:r>
        <w:t xml:space="preserve">Stores outcome type, statement, classification, source, verification, before/after measures where available, consent references, and permitted use.</w:t>
      </w:r>
    </w:p>
    <w:bookmarkEnd w:id="34"/>
    <w:bookmarkStart w:id="35" w:name="X19f4ae4df7648b385e3e48627b7f73c513bf59d"/>
    <w:p>
      <w:pPr>
        <w:pStyle w:val="Heading2"/>
      </w:pPr>
      <w:r>
        <w:t xml:space="preserve">4.9 ReferralOpportunity</w:t>
      </w:r>
    </w:p>
    <w:p>
      <w:pPr>
        <w:pStyle w:val="FirstParagraph"/>
      </w:pPr>
      <w:r>
        <w:t xml:space="preserve">Stores eligibility reason, request type, artifact, approval, request/result timestamps, referred person, and resulting opportunity.</w:t>
      </w:r>
    </w:p>
    <w:bookmarkEnd w:id="35"/>
    <w:bookmarkStart w:id="36" w:name="X5fefdbe0c90a1464ccd90777bbc5e684237ab21"/>
    <w:p>
      <w:pPr>
        <w:pStyle w:val="Heading2"/>
      </w:pPr>
      <w:r>
        <w:t xml:space="preserve">4.10 EditorialCycle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workspace_id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period_start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period_end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business_priority_ids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content_pillar_ids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source_signal_ids</w:t>
      </w:r>
      <w:r>
        <w:t xml:space="preserve">,</w:t>
      </w:r>
      <w:r>
        <w:t xml:space="preserve"> </w:t>
      </w:r>
      <w:r>
        <w:rPr>
          <w:rStyle w:val="VerbatimChar"/>
        </w:rPr>
        <w:t xml:space="preserve">planned_asset_count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review_artifact_id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updated_at</w:t>
      </w:r>
    </w:p>
    <w:bookmarkEnd w:id="36"/>
    <w:bookmarkStart w:id="37" w:name="Xaf4f22bd780f783bfb03a279960b981107516e6"/>
    <w:p>
      <w:pPr>
        <w:pStyle w:val="Heading2"/>
      </w:pPr>
      <w:r>
        <w:t xml:space="preserve">4.11 AudienceQuestionCluster</w:t>
      </w:r>
    </w:p>
    <w:p>
      <w:pPr>
        <w:pStyle w:val="FirstParagraph"/>
      </w:pPr>
      <w:r>
        <w:t xml:space="preserve">Stores recurring questions from applications, support, calls, comments, and webinars, with privacy-safe summaries and content opportunity ranking.</w:t>
      </w:r>
    </w:p>
    <w:bookmarkEnd w:id="37"/>
    <w:bookmarkEnd w:id="38"/>
    <w:bookmarkStart w:id="45" w:name="Xcc474cb3daabcc19c09dd7e3ed6f90fa05067e5"/>
    <w:p>
      <w:pPr>
        <w:pStyle w:val="Heading1"/>
      </w:pPr>
      <w:r>
        <w:t xml:space="preserve">5. Artifact types and Notion workspace</w:t>
      </w:r>
    </w:p>
    <w:bookmarkStart w:id="39" w:name="artifact-types"/>
    <w:p>
      <w:pPr>
        <w:pStyle w:val="Heading2"/>
      </w:pPr>
      <w:r>
        <w:t xml:space="preserve">Artifact types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onboarding_plan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beta_check_in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support_response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intervention_plan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testimonial_request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referral_request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weekly_editorial_plan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linkedin_post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linkedin_carousel_script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substack_research_brief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substack_paper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build_log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beta_learning_note</w:t>
      </w:r>
    </w:p>
    <w:bookmarkEnd w:id="39"/>
    <w:bookmarkStart w:id="44" w:name="notion-collections"/>
    <w:p>
      <w:pPr>
        <w:pStyle w:val="Heading2"/>
      </w:pPr>
      <w:r>
        <w:t xml:space="preserve">Notion collections</w:t>
      </w:r>
    </w:p>
    <w:bookmarkStart w:id="40" w:name="beta-operations"/>
    <w:p>
      <w:pPr>
        <w:pStyle w:val="Heading3"/>
      </w:pPr>
      <w:r>
        <w:t xml:space="preserve">Beta Operations</w:t>
      </w:r>
    </w:p>
    <w:p>
      <w:pPr>
        <w:pStyle w:val="FirstParagraph"/>
      </w:pPr>
      <w:r>
        <w:t xml:space="preserve">Projects goal, onboarding, first value, health summary, support status, intervention, outcome/referral candidates, and next founder action. Raw activity and sensitive source detail remain canonical.</w:t>
      </w:r>
    </w:p>
    <w:bookmarkEnd w:id="40"/>
    <w:bookmarkStart w:id="41" w:name="support-queue"/>
    <w:p>
      <w:pPr>
        <w:pStyle w:val="Heading3"/>
      </w:pPr>
      <w:r>
        <w:t xml:space="preserve">Support Queue</w:t>
      </w:r>
    </w:p>
    <w:p>
      <w:pPr>
        <w:pStyle w:val="FirstParagraph"/>
      </w:pPr>
      <w:r>
        <w:t xml:space="preserve">Projects case summary, severity, type, age, owner, response artifact, and resolution state.</w:t>
      </w:r>
    </w:p>
    <w:bookmarkEnd w:id="41"/>
    <w:bookmarkStart w:id="42" w:name="editorial-calendar"/>
    <w:p>
      <w:pPr>
        <w:pStyle w:val="Heading3"/>
      </w:pPr>
      <w:r>
        <w:t xml:space="preserve">Editorial Calendar</w:t>
      </w:r>
    </w:p>
    <w:p>
      <w:pPr>
        <w:pStyle w:val="FirstParagraph"/>
      </w:pPr>
      <w:r>
        <w:t xml:space="preserve">Projects the weekly cycle, audience, pillar, source evidence, channel, status, planned publication, CTA, and performance summary.</w:t>
      </w:r>
    </w:p>
    <w:bookmarkEnd w:id="42"/>
    <w:bookmarkStart w:id="43" w:name="linkedin-pipeline-and-substack-papers"/>
    <w:p>
      <w:pPr>
        <w:pStyle w:val="Heading3"/>
      </w:pPr>
      <w:r>
        <w:t xml:space="preserve">LinkedIn Pipeline and Substack Papers</w:t>
      </w:r>
    </w:p>
    <w:p>
      <w:pPr>
        <w:pStyle w:val="FirstParagraph"/>
      </w:pPr>
      <w:r>
        <w:t xml:space="preserve">Provide founder editing and approval. Canonical evidence and consent gates remain in FOS.</w:t>
      </w:r>
    </w:p>
    <w:bookmarkEnd w:id="43"/>
    <w:bookmarkEnd w:id="44"/>
    <w:bookmarkEnd w:id="45"/>
    <w:bookmarkStart w:id="55" w:name="X1bcad50d3ab90a6d1f19bd91566b0757bed01a7"/>
    <w:p>
      <w:pPr>
        <w:pStyle w:val="Heading1"/>
      </w:pPr>
      <w:r>
        <w:t xml:space="preserve">6. Agents</w:t>
      </w:r>
    </w:p>
    <w:bookmarkStart w:id="46" w:name="X941095b150abafc508bce54667d010cdb27e4db"/>
    <w:p>
      <w:pPr>
        <w:pStyle w:val="Heading2"/>
      </w:pPr>
      <w:r>
        <w:t xml:space="preserve">Beta Onboarding Concierge -</w:t>
      </w:r>
      <w:r>
        <w:t xml:space="preserve"> </w:t>
      </w:r>
      <w:r>
        <w:rPr>
          <w:rStyle w:val="VerbatimChar"/>
        </w:rPr>
        <w:t xml:space="preserve">fos.beta_onboarding_concierge</w:t>
      </w:r>
    </w:p>
    <w:p>
      <w:pPr>
        <w:pStyle w:val="FirstParagraph"/>
      </w:pPr>
      <w:r>
        <w:t xml:space="preserve">Creates a feasible onboarding plan and observable first-value milestone using only available capabilities.</w:t>
      </w:r>
    </w:p>
    <w:bookmarkEnd w:id="46"/>
    <w:bookmarkStart w:id="47" w:name="beta-health-agent---fosbeta_health"/>
    <w:p>
      <w:pPr>
        <w:pStyle w:val="Heading2"/>
      </w:pPr>
      <w:r>
        <w:t xml:space="preserve">Beta Health Agent -</w:t>
      </w:r>
      <w:r>
        <w:t xml:space="preserve"> </w:t>
      </w:r>
      <w:r>
        <w:rPr>
          <w:rStyle w:val="VerbatimChar"/>
        </w:rPr>
        <w:t xml:space="preserve">fos.beta_health</w:t>
      </w:r>
    </w:p>
    <w:p>
      <w:pPr>
        <w:pStyle w:val="FirstParagraph"/>
      </w:pPr>
      <w:r>
        <w:t xml:space="preserve">Synthesizes deterministic indicators into an explainable health recommendation. Missing telemetry lowers confidence.</w:t>
      </w:r>
    </w:p>
    <w:bookmarkEnd w:id="47"/>
    <w:bookmarkStart w:id="48" w:name="support-triage-agent---fossupport_triage"/>
    <w:p>
      <w:pPr>
        <w:pStyle w:val="Heading2"/>
      </w:pPr>
      <w:r>
        <w:t xml:space="preserve">Support Triage Agent -</w:t>
      </w:r>
      <w:r>
        <w:t xml:space="preserve"> </w:t>
      </w:r>
      <w:r>
        <w:rPr>
          <w:rStyle w:val="VerbatimChar"/>
        </w:rPr>
        <w:t xml:space="preserve">fos.support_triage</w:t>
      </w:r>
    </w:p>
    <w:p>
      <w:pPr>
        <w:pStyle w:val="FirstParagraph"/>
      </w:pPr>
      <w:r>
        <w:t xml:space="preserve">Classifies issue, severity, product area, likely cause, owner, response brief, and product signals.</w:t>
      </w:r>
    </w:p>
    <w:bookmarkEnd w:id="48"/>
    <w:bookmarkStart w:id="49" w:name="Xecb49de9b9025e57780099acefeb6d8b3c7c7c0"/>
    <w:p>
      <w:pPr>
        <w:pStyle w:val="Heading2"/>
      </w:pPr>
      <w:r>
        <w:t xml:space="preserve">Outcome Evidence Agent -</w:t>
      </w:r>
      <w:r>
        <w:t xml:space="preserve"> </w:t>
      </w:r>
      <w:r>
        <w:rPr>
          <w:rStyle w:val="VerbatimChar"/>
        </w:rPr>
        <w:t xml:space="preserve">fos.outcome_evidence</w:t>
      </w:r>
    </w:p>
    <w:p>
      <w:pPr>
        <w:pStyle w:val="FirstParagraph"/>
      </w:pPr>
      <w:r>
        <w:t xml:space="preserve">Identifies candidate outcomes and required consent without overstating causality.</w:t>
      </w:r>
    </w:p>
    <w:bookmarkEnd w:id="49"/>
    <w:bookmarkStart w:id="50" w:name="X896db5f46fc1697dbd550db4d93864b64d62797"/>
    <w:p>
      <w:pPr>
        <w:pStyle w:val="Heading2"/>
      </w:pPr>
      <w:r>
        <w:t xml:space="preserve">Referral Readiness Agent -</w:t>
      </w:r>
      <w:r>
        <w:t xml:space="preserve"> </w:t>
      </w:r>
      <w:r>
        <w:rPr>
          <w:rStyle w:val="VerbatimChar"/>
        </w:rPr>
        <w:t xml:space="preserve">fos.referral_readiness</w:t>
      </w:r>
    </w:p>
    <w:p>
      <w:pPr>
        <w:pStyle w:val="FirstParagraph"/>
      </w:pPr>
      <w:r>
        <w:t xml:space="preserve">Recommends referral timing only after a verified success or explicit positive signal.</w:t>
      </w:r>
    </w:p>
    <w:bookmarkEnd w:id="50"/>
    <w:bookmarkStart w:id="51" w:name="Xc0dce1447ca7e6aaa8b56f37c05dd844236a881"/>
    <w:p>
      <w:pPr>
        <w:pStyle w:val="Heading2"/>
      </w:pPr>
      <w:r>
        <w:t xml:space="preserve">Weekly Editorial Strategist -</w:t>
      </w:r>
      <w:r>
        <w:t xml:space="preserve"> </w:t>
      </w:r>
      <w:r>
        <w:rPr>
          <w:rStyle w:val="VerbatimChar"/>
        </w:rPr>
        <w:t xml:space="preserve">fos.weekly_editorial_strategist</w:t>
      </w:r>
    </w:p>
    <w:p>
      <w:pPr>
        <w:pStyle w:val="FirstParagraph"/>
      </w:pPr>
      <w:r>
        <w:t xml:space="preserve">Creates a weekly content plan aligned to current enrollment goals, beta learning, founder time, content pillars, and channel policies.</w:t>
      </w:r>
    </w:p>
    <w:bookmarkEnd w:id="51"/>
    <w:bookmarkStart w:id="52" w:name="X1da6d2ff10ebe5e6f0ff943252faa286ab96074"/>
    <w:p>
      <w:pPr>
        <w:pStyle w:val="Heading2"/>
      </w:pPr>
      <w:r>
        <w:t xml:space="preserve">LinkedIn Drafting Agent -</w:t>
      </w:r>
      <w:r>
        <w:t xml:space="preserve"> </w:t>
      </w:r>
      <w:r>
        <w:rPr>
          <w:rStyle w:val="VerbatimChar"/>
        </w:rPr>
        <w:t xml:space="preserve">fos.linkedin_drafting</w:t>
      </w:r>
    </w:p>
    <w:p>
      <w:pPr>
        <w:pStyle w:val="FirstParagraph"/>
      </w:pPr>
      <w:r>
        <w:t xml:space="preserve">Creates evidence-led posts and carousel scripts in the approved founder voice; avoids generic influencer language.</w:t>
      </w:r>
    </w:p>
    <w:bookmarkEnd w:id="52"/>
    <w:bookmarkStart w:id="53" w:name="X6dd9372f910247fcef96d6f43d7f392032f4aa7"/>
    <w:p>
      <w:pPr>
        <w:pStyle w:val="Heading2"/>
      </w:pPr>
      <w:r>
        <w:t xml:space="preserve">Substack Research and Essay Agent -</w:t>
      </w:r>
      <w:r>
        <w:t xml:space="preserve"> </w:t>
      </w:r>
      <w:r>
        <w:rPr>
          <w:rStyle w:val="VerbatimChar"/>
        </w:rPr>
        <w:t xml:space="preserve">fos.substack_essay</w:t>
      </w:r>
    </w:p>
    <w:p>
      <w:pPr>
        <w:pStyle w:val="FirstParagraph"/>
      </w:pPr>
      <w:r>
        <w:t xml:space="preserve">Creates research brief, evidence matrix, outline, counterarguments, draft, summary, and derivative plan.</w:t>
      </w:r>
    </w:p>
    <w:bookmarkEnd w:id="53"/>
    <w:bookmarkStart w:id="54" w:name="Xb7369145c6ca2297538f6808ad45e2b4c121961"/>
    <w:p>
      <w:pPr>
        <w:pStyle w:val="Heading2"/>
      </w:pPr>
      <w:r>
        <w:t xml:space="preserve">Engagement Intelligence Agent -</w:t>
      </w:r>
      <w:r>
        <w:t xml:space="preserve"> </w:t>
      </w:r>
      <w:r>
        <w:rPr>
          <w:rStyle w:val="VerbatimChar"/>
        </w:rPr>
        <w:t xml:space="preserve">fos.engagement_intelligence</w:t>
      </w:r>
    </w:p>
    <w:p>
      <w:pPr>
        <w:pStyle w:val="FirstParagraph"/>
      </w:pPr>
      <w:r>
        <w:t xml:space="preserve">Clusters privacy-safe audience questions and objections. It may draft responses but may not post as the founder.</w:t>
      </w:r>
    </w:p>
    <w:bookmarkEnd w:id="54"/>
    <w:bookmarkEnd w:id="55"/>
    <w:bookmarkStart w:id="61" w:name="Xcc80f3ab29aae5feb0f698eeae7d4788bff57ee"/>
    <w:p>
      <w:pPr>
        <w:pStyle w:val="Heading1"/>
      </w:pPr>
      <w:r>
        <w:t xml:space="preserve">7. Workflows</w:t>
      </w:r>
    </w:p>
    <w:bookmarkStart w:id="56" w:name="X998def11a59e2ceee3cf0b79646820effb7feac"/>
    <w:p>
      <w:pPr>
        <w:pStyle w:val="Heading2"/>
      </w:pPr>
      <w:r>
        <w:t xml:space="preserve">7.1 Enrollment to onboarding</w:t>
      </w:r>
    </w:p>
    <w:p>
      <w:pPr>
        <w:pStyle w:val="FirstParagraph"/>
      </w:pPr>
      <w:r>
        <w:t xml:space="preserve">Create BetaEnrollment, generate onboarding artifact, founder approves, create milestones, create welcome draft, and project safe summary to Notion.</w:t>
      </w:r>
    </w:p>
    <w:bookmarkEnd w:id="56"/>
    <w:bookmarkStart w:id="57" w:name="X2bb81b367ab1bfee1cfc1f9044cbcf3afb3be45"/>
    <w:p>
      <w:pPr>
        <w:pStyle w:val="Heading2"/>
      </w:pPr>
      <w:r>
        <w:t xml:space="preserve">7.2 Health and intervention</w:t>
      </w:r>
    </w:p>
    <w:p>
      <w:pPr>
        <w:pStyle w:val="FirstParagraph"/>
      </w:pPr>
      <w:r>
        <w:t xml:space="preserve">Calculate deterministic indicators daily and after key events, run health synthesis, compare with prior snapshot, create intervention only when threshold crossed, and require founder approval for communication.</w:t>
      </w:r>
    </w:p>
    <w:bookmarkEnd w:id="57"/>
    <w:bookmarkStart w:id="58" w:name="X669dbde6065adbdae805311d03aefb62a369254"/>
    <w:p>
      <w:pPr>
        <w:pStyle w:val="Heading2"/>
      </w:pPr>
      <w:r>
        <w:t xml:space="preserve">7.3 Support to product signal</w:t>
      </w:r>
    </w:p>
    <w:p>
      <w:pPr>
        <w:pStyle w:val="FirstParagraph"/>
      </w:pPr>
      <w:r>
        <w:t xml:space="preserve">Record support interaction, triage, create response artifact, route approval, resolve case, and create linked Phase 3 product signal candidate.</w:t>
      </w:r>
    </w:p>
    <w:bookmarkEnd w:id="58"/>
    <w:bookmarkStart w:id="59" w:name="X641e5eb5349dd23609c8618b9906dd662e7d512"/>
    <w:p>
      <w:pPr>
        <w:pStyle w:val="Heading2"/>
      </w:pPr>
      <w:r>
        <w:t xml:space="preserve">7.4 Outcome and referral</w:t>
      </w:r>
    </w:p>
    <w:p>
      <w:pPr>
        <w:pStyle w:val="FirstParagraph"/>
      </w:pPr>
      <w:r>
        <w:t xml:space="preserve">Detect success evidence, verify source, check consent, create founder review, and generate testimonial/referral artifacts only after approval.</w:t>
      </w:r>
    </w:p>
    <w:bookmarkEnd w:id="59"/>
    <w:bookmarkStart w:id="60" w:name="Xe02b40d4f1b3562fc1527ddd8672784287a503b"/>
    <w:p>
      <w:pPr>
        <w:pStyle w:val="Heading2"/>
      </w:pPr>
      <w:r>
        <w:t xml:space="preserve">7.5 Weekly editorial cycle</w:t>
      </w:r>
    </w:p>
    <w:p>
      <w:pPr>
        <w:pStyle w:val="Compact"/>
        <w:numPr>
          <w:ilvl w:val="0"/>
          <w:numId w:val="1008"/>
        </w:numPr>
      </w:pPr>
      <w:r>
        <w:t xml:space="preserve">Collect approved beta learning, product notes, audience questions, and business priorities.</w:t>
      </w:r>
    </w:p>
    <w:p>
      <w:pPr>
        <w:pStyle w:val="Compact"/>
        <w:numPr>
          <w:ilvl w:val="0"/>
          <w:numId w:val="1008"/>
        </w:numPr>
      </w:pPr>
      <w:r>
        <w:t xml:space="preserve">Generate a bounded weekly plan.</w:t>
      </w:r>
    </w:p>
    <w:p>
      <w:pPr>
        <w:pStyle w:val="Compact"/>
        <w:numPr>
          <w:ilvl w:val="0"/>
          <w:numId w:val="1008"/>
        </w:numPr>
      </w:pPr>
      <w:r>
        <w:t xml:space="preserve">Founder chooses topics in Notion.</w:t>
      </w:r>
    </w:p>
    <w:p>
      <w:pPr>
        <w:pStyle w:val="Compact"/>
        <w:numPr>
          <w:ilvl w:val="0"/>
          <w:numId w:val="1008"/>
        </w:numPr>
      </w:pPr>
      <w:r>
        <w:t xml:space="preserve">Generate LinkedIn/Substack artifacts.</w:t>
      </w:r>
    </w:p>
    <w:p>
      <w:pPr>
        <w:pStyle w:val="Compact"/>
        <w:numPr>
          <w:ilvl w:val="0"/>
          <w:numId w:val="1008"/>
        </w:numPr>
      </w:pPr>
      <w:r>
        <w:t xml:space="preserve">Verify claims, consent, and privacy.</w:t>
      </w:r>
    </w:p>
    <w:p>
      <w:pPr>
        <w:pStyle w:val="Compact"/>
        <w:numPr>
          <w:ilvl w:val="0"/>
          <w:numId w:val="1008"/>
        </w:numPr>
      </w:pPr>
      <w:r>
        <w:t xml:space="preserve">Founder edits and approves.</w:t>
      </w:r>
    </w:p>
    <w:p>
      <w:pPr>
        <w:pStyle w:val="Compact"/>
        <w:numPr>
          <w:ilvl w:val="0"/>
          <w:numId w:val="1008"/>
        </w:numPr>
      </w:pPr>
      <w:r>
        <w:t xml:space="preserve">Create platform drafts.</w:t>
      </w:r>
    </w:p>
    <w:p>
      <w:pPr>
        <w:pStyle w:val="Compact"/>
        <w:numPr>
          <w:ilvl w:val="0"/>
          <w:numId w:val="1008"/>
        </w:numPr>
      </w:pPr>
      <w:r>
        <w:t xml:space="preserve">Record publication and results.</w:t>
      </w:r>
    </w:p>
    <w:bookmarkEnd w:id="60"/>
    <w:bookmarkEnd w:id="61"/>
    <w:bookmarkStart w:id="62" w:name="X189263c7db12aaf9051e064bfd14d6dfd52eaf9"/>
    <w:p>
      <w:pPr>
        <w:pStyle w:val="Heading1"/>
      </w:pPr>
      <w:r>
        <w:t xml:space="preserve">8. APIs and jobs</w:t>
      </w:r>
    </w:p>
    <w:p>
      <w:pPr>
        <w:pStyle w:val="FirstParagraph"/>
      </w:pPr>
      <w:r>
        <w:t xml:space="preserve">API families: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/api/fos/beta-enrollments/*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/api/fos/onboarding-plans/*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/api/fos/beta-milestones/*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/api/fos/beta-health/*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/api/fos/support-cases/*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/api/fos/outcome-evidence/*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/api/fos/referral-opportunities/*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/api/fos/editorial-cycles/*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/api/fos/audience-question-clusters/*</w:t>
      </w:r>
    </w:p>
    <w:p>
      <w:pPr>
        <w:pStyle w:val="FirstParagraph"/>
      </w:pPr>
      <w:r>
        <w:t xml:space="preserve">Jobs: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generate-beta-onboarding-plan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detect-first-value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calculate-beta-health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detect-beta-inactivity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triage-support-case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extract-outcome-evidence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identify-referral-opportunities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generate-weekly-editorial-plan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generate-linkedin-artifact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generate-substack-artifact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cluster-audience-questions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reconcile-beta-and-editorial-projections</w:t>
      </w:r>
    </w:p>
    <w:bookmarkEnd w:id="62"/>
    <w:bookmarkStart w:id="63" w:name="Xa9693ef7332e58103ef5136b42778199e145b66"/>
    <w:p>
      <w:pPr>
        <w:pStyle w:val="Heading1"/>
      </w:pPr>
      <w:r>
        <w:t xml:space="preserve">9. Deterministic safeguards</w:t>
      </w:r>
    </w:p>
    <w:p>
      <w:pPr>
        <w:pStyle w:val="Compact"/>
        <w:numPr>
          <w:ilvl w:val="0"/>
          <w:numId w:val="1011"/>
        </w:numPr>
      </w:pPr>
      <w:r>
        <w:t xml:space="preserve">Consent controls contact and public use.</w:t>
      </w:r>
    </w:p>
    <w:p>
      <w:pPr>
        <w:pStyle w:val="Compact"/>
        <w:numPr>
          <w:ilvl w:val="0"/>
          <w:numId w:val="1011"/>
        </w:numPr>
      </w:pPr>
      <w:r>
        <w:t xml:space="preserve">Health factors must be observable and source-linked.</w:t>
      </w:r>
    </w:p>
    <w:p>
      <w:pPr>
        <w:pStyle w:val="Compact"/>
        <w:numPr>
          <w:ilvl w:val="0"/>
          <w:numId w:val="1011"/>
        </w:numPr>
      </w:pPr>
      <w:r>
        <w:t xml:space="preserve">Low activity alone cannot be labeled dissatisfaction.</w:t>
      </w:r>
    </w:p>
    <w:p>
      <w:pPr>
        <w:pStyle w:val="Compact"/>
        <w:numPr>
          <w:ilvl w:val="0"/>
          <w:numId w:val="1011"/>
        </w:numPr>
      </w:pPr>
      <w:r>
        <w:t xml:space="preserve">Support response may not promise a product change.</w:t>
      </w:r>
    </w:p>
    <w:p>
      <w:pPr>
        <w:pStyle w:val="Compact"/>
        <w:numPr>
          <w:ilvl w:val="0"/>
          <w:numId w:val="1011"/>
        </w:numPr>
      </w:pPr>
      <w:r>
        <w:t xml:space="preserve">Editorial artifacts may use only anonymous aggregate learning unless stronger consent exists.</w:t>
      </w:r>
    </w:p>
    <w:p>
      <w:pPr>
        <w:pStyle w:val="Compact"/>
        <w:numPr>
          <w:ilvl w:val="0"/>
          <w:numId w:val="1011"/>
        </w:numPr>
      </w:pPr>
      <w:r>
        <w:t xml:space="preserve">Founder edits trigger claim and privacy revalidation.</w:t>
      </w:r>
    </w:p>
    <w:p>
      <w:pPr>
        <w:pStyle w:val="Compact"/>
        <w:numPr>
          <w:ilvl w:val="0"/>
          <w:numId w:val="1011"/>
        </w:numPr>
      </w:pPr>
      <w:r>
        <w:t xml:space="preserve">Platform adapters create drafts only.</w:t>
      </w:r>
    </w:p>
    <w:bookmarkEnd w:id="63"/>
    <w:bookmarkStart w:id="64" w:name="Xdf051a3f34748411eb837880f90435ba46f4801"/>
    <w:p>
      <w:pPr>
        <w:pStyle w:val="Heading1"/>
      </w:pPr>
      <w:r>
        <w:t xml:space="preserve">10. Tests</w:t>
      </w:r>
    </w:p>
    <w:p>
      <w:pPr>
        <w:pStyle w:val="FirstParagraph"/>
      </w:pPr>
      <w:r>
        <w:t xml:space="preserve">Unit tests cover milestone dependencies, consent, health indicators, support severity, referral eligibility, privacy-safe aggregation, and editorial source eligibility.</w:t>
      </w:r>
    </w:p>
    <w:p>
      <w:pPr>
        <w:pStyle w:val="BodyText"/>
      </w:pPr>
      <w:r>
        <w:t xml:space="preserve">Integration tests cover enrollment-to-onboarding, inactivity intervention, support-to-product-signal, consent revocation, outcome verification, weekly plan generation, and founder Notion edits.</w:t>
      </w:r>
    </w:p>
    <w:p>
      <w:pPr>
        <w:pStyle w:val="BodyText"/>
      </w:pPr>
      <w:r>
        <w:t xml:space="preserve">Agent fixtures include engaged user, low activity with known absence, product-defect block, onboarding confusion, first-value success, unsupported outcome claim, testimonial without consent, and malicious imported text.</w:t>
      </w:r>
    </w:p>
    <w:p>
      <w:pPr>
        <w:pStyle w:val="BodyText"/>
      </w:pPr>
      <w:r>
        <w:t xml:space="preserve">End-to-end tests cover enrollment to first value, at-risk recovery, support resolution, outcome/referral approval, and weekly editorial plan to approved publication draft.</w:t>
      </w:r>
    </w:p>
    <w:bookmarkEnd w:id="64"/>
    <w:bookmarkStart w:id="65" w:name="Xb30ae5ad1a7f7e0ad57932361d461105eec36b4"/>
    <w:p>
      <w:pPr>
        <w:pStyle w:val="Heading1"/>
      </w:pPr>
      <w:r>
        <w:t xml:space="preserve">11. Work packages</w:t>
      </w:r>
    </w:p>
    <w:tbl>
      <w:tblPr>
        <w:tblStyle w:val="TableGrid"/>
        <w:tblW w:type="auto" w:w="0"/>
        <w:jc w:val="center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vAlign w:val="center"/>
            <w:shd w:fill="E8EEF5"/>
          </w:tcPr>
          <w:p>
            <w:pPr>
              <w:pStyle w:val="Compact"/>
              <w:jc w:val="left"/>
            </w:pPr>
            <w:r>
              <w:rPr>
                <w:b/>
                <w:color w:val="10213A"/>
                <w:sz w:val="16"/>
              </w:rPr>
              <w:t xml:space="preserve">Package</w:t>
            </w:r>
          </w:p>
        </w:tc>
        <w:tc>
          <w:tcPr>
            <w:vAlign w:val="center"/>
            <w:shd w:fill="E8EEF5"/>
          </w:tcPr>
          <w:p>
            <w:pPr>
              <w:pStyle w:val="Compact"/>
              <w:jc w:val="left"/>
            </w:pPr>
            <w:r>
              <w:rPr>
                <w:b/>
                <w:color w:val="10213A"/>
                <w:sz w:val="16"/>
              </w:rPr>
              <w:t xml:space="preserve">Deliverable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WP2.0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Phase 1 enrollment-to-beta handoff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WP2.1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Beta domain schema and migration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WP2.2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Onboarding artifacts and milestones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WP2.3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Product activity and first-value instrumentation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WP2.4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Explainable health engine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WP2.5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Support queue and triage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WP2.6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Outcome, consent, testimonial, and referral workflows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WP2.7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Weekly editorial-cycle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WP2.8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LinkedIn and Substack agents/workspaces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WP2.9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Engagement intelligence and question clustering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WP2.10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Metrics, evaluation, and activation</w:t>
            </w:r>
          </w:p>
        </w:tc>
      </w:tr>
    </w:tbl>
    <w:bookmarkEnd w:id="65"/>
    <w:bookmarkStart w:id="66" w:name="Xb26b27c4408c599c1506b872edca348f0c0fbd4"/>
    <w:p>
      <w:pPr>
        <w:pStyle w:val="Heading1"/>
      </w:pPr>
      <w:r>
        <w:t xml:space="preserve">12. Definition of done</w:t>
      </w:r>
    </w:p>
    <w:p>
      <w:pPr>
        <w:pStyle w:val="Compact"/>
        <w:numPr>
          <w:ilvl w:val="0"/>
          <w:numId w:val="1012"/>
        </w:numPr>
      </w:pPr>
      <w:r>
        <w:t xml:space="preserve">Every active beta user has an approved first-value path.</w:t>
      </w:r>
    </w:p>
    <w:p>
      <w:pPr>
        <w:pStyle w:val="Compact"/>
        <w:numPr>
          <w:ilvl w:val="0"/>
          <w:numId w:val="1012"/>
        </w:numPr>
      </w:pPr>
      <w:r>
        <w:t xml:space="preserve">Health and intervention recommendations are explainable.</w:t>
      </w:r>
    </w:p>
    <w:p>
      <w:pPr>
        <w:pStyle w:val="Compact"/>
        <w:numPr>
          <w:ilvl w:val="0"/>
          <w:numId w:val="1012"/>
        </w:numPr>
      </w:pPr>
      <w:r>
        <w:t xml:space="preserve">Support interactions create reusable product signals.</w:t>
      </w:r>
    </w:p>
    <w:p>
      <w:pPr>
        <w:pStyle w:val="Compact"/>
        <w:numPr>
          <w:ilvl w:val="0"/>
          <w:numId w:val="1012"/>
        </w:numPr>
      </w:pPr>
      <w:r>
        <w:t xml:space="preserve">Outcome and referral workflows respect consent.</w:t>
      </w:r>
    </w:p>
    <w:p>
      <w:pPr>
        <w:pStyle w:val="Compact"/>
        <w:numPr>
          <w:ilvl w:val="0"/>
          <w:numId w:val="1012"/>
        </w:numPr>
      </w:pPr>
      <w:r>
        <w:t xml:space="preserve">The founder can operate beta support and weekly publishing from Notion.</w:t>
      </w:r>
    </w:p>
    <w:p>
      <w:pPr>
        <w:pStyle w:val="Compact"/>
        <w:numPr>
          <w:ilvl w:val="0"/>
          <w:numId w:val="1012"/>
        </w:numPr>
      </w:pPr>
      <w:r>
        <w:t xml:space="preserve">Private beta detail is not exposed in editorial projections.</w:t>
      </w:r>
    </w:p>
    <w:p>
      <w:pPr>
        <w:pStyle w:val="Compact"/>
        <w:numPr>
          <w:ilvl w:val="0"/>
          <w:numId w:val="1012"/>
        </w:numPr>
      </w:pPr>
      <w:r>
        <w:t xml:space="preserve">No autonomous support sending, social posting, or testimonial use is possible.</w:t>
      </w:r>
    </w:p>
    <w:bookmarkEnd w:id="66"/>
    <w:bookmarkStart w:id="71" w:name="shared-architectural-invariants"/>
    <w:p>
      <w:pPr>
        <w:pStyle w:val="Heading1"/>
      </w:pPr>
      <w:r>
        <w:t xml:space="preserve">Shared architectural invariants</w:t>
      </w:r>
    </w:p>
    <w:p>
      <w:pPr>
        <w:pStyle w:val="FirstParagraph"/>
      </w:pPr>
      <w:r>
        <w:t xml:space="preserve">The following rules are inherited from revised Phase 0 and are non-negotiable for this phase: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FOS owns canonical state and intelligence.</w:t>
      </w:r>
      <w:r>
        <w:t xml:space="preserve"> </w:t>
      </w:r>
      <w:r>
        <w:t xml:space="preserve">Notion is a founder-facing working environment and projection surface.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External workspace changes are commands, not direct mutations.</w:t>
      </w:r>
      <w:r>
        <w:t xml:space="preserve"> </w:t>
      </w:r>
      <w:r>
        <w:t xml:space="preserve">A Notion status change or button creates a validated</w:t>
      </w:r>
      <w:r>
        <w:t xml:space="preserve"> </w:t>
      </w:r>
      <w:r>
        <w:rPr>
          <w:rStyle w:val="VerbatimChar"/>
        </w:rPr>
        <w:t xml:space="preserve">WorkspaceCommand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Artifacts are generic and versioned.</w:t>
      </w:r>
      <w:r>
        <w:t xml:space="preserve"> </w:t>
      </w:r>
      <w:r>
        <w:t xml:space="preserve">Enrollment messages, specifications, LinkedIn posts, Substack papers, reports, and reviews use</w:t>
      </w:r>
      <w:r>
        <w:t xml:space="preserve"> </w:t>
      </w:r>
      <w:r>
        <w:rPr>
          <w:rStyle w:val="VerbatimChar"/>
        </w:rPr>
        <w:t xml:space="preserve">ArtifactRecord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ArtifactVersion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Approvals are interface-independent.</w:t>
      </w:r>
      <w:r>
        <w:t xml:space="preserve"> </w:t>
      </w:r>
      <w:r>
        <w:t xml:space="preserve">Approval state is canonical and may be requested from Notion, a native interface, or an API.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Evidence, claims, consent, and product availability are deterministic gates.</w:t>
      </w:r>
      <w:r>
        <w:t xml:space="preserve"> </w:t>
      </w:r>
      <w:r>
        <w:t xml:space="preserve">Models may recommend; they may not waive these controls.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Every projection has an ownership policy.</w:t>
      </w:r>
      <w:r>
        <w:t xml:space="preserve"> </w:t>
      </w:r>
      <w:r>
        <w:t xml:space="preserve">Fields are</w:t>
      </w:r>
      <w:r>
        <w:t xml:space="preserve"> </w:t>
      </w:r>
      <w:r>
        <w:rPr>
          <w:rStyle w:val="VerbatimChar"/>
        </w:rPr>
        <w:t xml:space="preserve">canonical_read_only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working_copy_editable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controlled_command</w:t>
      </w:r>
      <w:r>
        <w:t xml:space="preserve">, or</w:t>
      </w:r>
      <w:r>
        <w:t xml:space="preserve"> </w:t>
      </w:r>
      <w:r>
        <w:rPr>
          <w:rStyle w:val="VerbatimChar"/>
        </w:rPr>
        <w:t xml:space="preserve">not_projectable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Raw events are immutable.</w:t>
      </w:r>
      <w:r>
        <w:t xml:space="preserve"> </w:t>
      </w:r>
      <w:r>
        <w:t xml:space="preserve">Derived summaries may be superseded but not silently overwrite source history.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Every agent is bounded.</w:t>
      </w:r>
      <w:r>
        <w:t xml:space="preserve"> </w:t>
      </w:r>
      <w:r>
        <w:t xml:space="preserve">Each agent has a versioned objective, input schema, output schema, permitted tools, permitted memory scopes, evaluation policy, and autonomy ceiling.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 autonomous publishing, sending, pricing change, contractual commitment, or production deployment</w:t>
      </w:r>
      <w:r>
        <w:t xml:space="preserve"> </w:t>
      </w:r>
      <w:r>
        <w:t xml:space="preserve">is permitted unless a later founder-approved governance decision explicitly changes the rule.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FOS must remain operational if Notion or another workspace provider is unavailable.</w:t>
      </w:r>
    </w:p>
    <w:bookmarkStart w:id="70" w:name="founder-workspace-integration-contract"/>
    <w:p>
      <w:pPr>
        <w:pStyle w:val="Heading2"/>
      </w:pPr>
      <w:r>
        <w:t xml:space="preserve">Founder Workspace integration contract</w:t>
      </w:r>
    </w:p>
    <w:p>
      <w:pPr>
        <w:pStyle w:val="FirstParagraph"/>
      </w:pPr>
      <w:r>
        <w:t xml:space="preserve">All founder-facing work for this phase must use the Phase 0 workspace adapter.</w:t>
      </w:r>
    </w:p>
    <w:bookmarkStart w:id="67" w:name="projection-pattern"/>
    <w:p>
      <w:pPr>
        <w:pStyle w:val="Heading3"/>
      </w:pPr>
      <w:r>
        <w:t xml:space="preserve">Projection pattern</w:t>
      </w:r>
    </w:p>
    <w:p>
      <w:pPr>
        <w:pStyle w:val="SourceCode"/>
      </w:pPr>
      <w:r>
        <w:rPr>
          <w:rStyle w:val="VerbatimChar"/>
        </w:rPr>
        <w:t xml:space="preserve">Canonical record or artifact created</w:t>
      </w:r>
      <w:r>
        <w:br/>
      </w:r>
      <w:r>
        <w:rPr>
          <w:rStyle w:val="VerbatimChar"/>
        </w:rPr>
        <w:t xml:space="preserve">        -&gt; operational event emitted</w:t>
      </w:r>
      <w:r>
        <w:br/>
      </w:r>
      <w:r>
        <w:rPr>
          <w:rStyle w:val="VerbatimChar"/>
        </w:rPr>
        <w:t xml:space="preserve">        -&gt; projection policy evaluated</w:t>
      </w:r>
      <w:r>
        <w:br/>
      </w:r>
      <w:r>
        <w:rPr>
          <w:rStyle w:val="VerbatimChar"/>
        </w:rPr>
        <w:t xml:space="preserve">        -&gt; safe working copy created or updated in Notion</w:t>
      </w:r>
      <w:r>
        <w:br/>
      </w:r>
      <w:r>
        <w:rPr>
          <w:rStyle w:val="VerbatimChar"/>
        </w:rPr>
        <w:t xml:space="preserve">        -&gt; canonical ID and version stored on the provider page</w:t>
      </w:r>
      <w:r>
        <w:br/>
      </w:r>
      <w:r>
        <w:rPr>
          <w:rStyle w:val="VerbatimChar"/>
        </w:rPr>
        <w:t xml:space="preserve">        -&gt; founder edits or commands captured</w:t>
      </w:r>
      <w:r>
        <w:br/>
      </w:r>
      <w:r>
        <w:rPr>
          <w:rStyle w:val="VerbatimChar"/>
        </w:rPr>
        <w:t xml:space="preserve">        -&gt; FOS validates and executes canonical change</w:t>
      </w:r>
      <w:r>
        <w:br/>
      </w:r>
      <w:r>
        <w:rPr>
          <w:rStyle w:val="VerbatimChar"/>
        </w:rPr>
        <w:t xml:space="preserve">        -&gt; projection is reconciled</w:t>
      </w:r>
    </w:p>
    <w:bookmarkEnd w:id="67"/>
    <w:bookmarkStart w:id="68" w:name="required-hidden-projection-properties"/>
    <w:p>
      <w:pPr>
        <w:pStyle w:val="Heading3"/>
      </w:pPr>
      <w:r>
        <w:t xml:space="preserve">Required hidden projection properties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FOS Record ID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FOS Entity Type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FOS Version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FOS Workspace ID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Projection Status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Last Synced At</w:t>
      </w:r>
    </w:p>
    <w:bookmarkEnd w:id="68"/>
    <w:bookmarkStart w:id="69" w:name="conflict-rule"/>
    <w:p>
      <w:pPr>
        <w:pStyle w:val="Heading3"/>
      </w:pPr>
      <w:r>
        <w:t xml:space="preserve">Conflict rule</w:t>
      </w:r>
    </w:p>
    <w:p>
      <w:pPr>
        <w:pStyle w:val="FirstParagraph"/>
      </w:pPr>
      <w:r>
        <w:t xml:space="preserve">A controlled command may execute only when the provider's</w:t>
      </w:r>
      <w:r>
        <w:t xml:space="preserve"> </w:t>
      </w:r>
      <w:r>
        <w:rPr>
          <w:rStyle w:val="VerbatimChar"/>
        </w:rPr>
        <w:t xml:space="preserve">FOS Version</w:t>
      </w:r>
      <w:r>
        <w:t xml:space="preserve"> </w:t>
      </w:r>
      <w:r>
        <w:t xml:space="preserve">matches the current canonical version. Otherwise the command is placed in</w:t>
      </w:r>
      <w:r>
        <w:t xml:space="preserve"> </w:t>
      </w:r>
      <w:r>
        <w:rPr>
          <w:rStyle w:val="VerbatimChar"/>
        </w:rPr>
        <w:t xml:space="preserve">conflict</w:t>
      </w:r>
      <w:r>
        <w:t xml:space="preserve"> </w:t>
      </w:r>
      <w:r>
        <w:t xml:space="preserve">status and the founder receives a reconciliation item.</w:t>
      </w:r>
    </w:p>
    <w:bookmarkEnd w:id="69"/>
    <w:bookmarkEnd w:id="70"/>
    <w:bookmarkEnd w:id="71"/>
    <w:bookmarkStart w:id="72" w:name="agent-runtime-requirements"/>
    <w:p>
      <w:pPr>
        <w:pStyle w:val="Heading1"/>
      </w:pPr>
      <w:r>
        <w:t xml:space="preserve">Agent runtime requirements</w:t>
      </w:r>
    </w:p>
    <w:p>
      <w:pPr>
        <w:pStyle w:val="FirstParagraph"/>
      </w:pPr>
      <w:r>
        <w:t xml:space="preserve">Every agent run must execute the following stages:</w:t>
      </w:r>
    </w:p>
    <w:p>
      <w:pPr>
        <w:pStyle w:val="Compact"/>
        <w:numPr>
          <w:ilvl w:val="0"/>
          <w:numId w:val="1015"/>
        </w:numPr>
      </w:pPr>
      <w:r>
        <w:t xml:space="preserve">Trigger validation</w:t>
      </w:r>
    </w:p>
    <w:p>
      <w:pPr>
        <w:pStyle w:val="Compact"/>
        <w:numPr>
          <w:ilvl w:val="0"/>
          <w:numId w:val="1015"/>
        </w:numPr>
      </w:pPr>
      <w:r>
        <w:t xml:space="preserve">Authorization and feature-flag validation</w:t>
      </w:r>
    </w:p>
    <w:p>
      <w:pPr>
        <w:pStyle w:val="Compact"/>
        <w:numPr>
          <w:ilvl w:val="0"/>
          <w:numId w:val="1015"/>
        </w:numPr>
      </w:pPr>
      <w:r>
        <w:t xml:space="preserve">Context assembly and minimization</w:t>
      </w:r>
    </w:p>
    <w:p>
      <w:pPr>
        <w:pStyle w:val="Compact"/>
        <w:numPr>
          <w:ilvl w:val="0"/>
          <w:numId w:val="1015"/>
        </w:numPr>
      </w:pPr>
      <w:r>
        <w:t xml:space="preserve">Prompt construction from a versioned agent definition</w:t>
      </w:r>
    </w:p>
    <w:p>
      <w:pPr>
        <w:pStyle w:val="Compact"/>
        <w:numPr>
          <w:ilvl w:val="0"/>
          <w:numId w:val="1015"/>
        </w:numPr>
      </w:pPr>
      <w:r>
        <w:t xml:space="preserve">Model execution</w:t>
      </w:r>
    </w:p>
    <w:p>
      <w:pPr>
        <w:pStyle w:val="Compact"/>
        <w:numPr>
          <w:ilvl w:val="0"/>
          <w:numId w:val="1015"/>
        </w:numPr>
      </w:pPr>
      <w:r>
        <w:t xml:space="preserve">Structured-output validation</w:t>
      </w:r>
    </w:p>
    <w:p>
      <w:pPr>
        <w:pStyle w:val="Compact"/>
        <w:numPr>
          <w:ilvl w:val="0"/>
          <w:numId w:val="1015"/>
        </w:numPr>
      </w:pPr>
      <w:r>
        <w:t xml:space="preserve">Deterministic policy evaluation</w:t>
      </w:r>
    </w:p>
    <w:p>
      <w:pPr>
        <w:pStyle w:val="Compact"/>
        <w:numPr>
          <w:ilvl w:val="0"/>
          <w:numId w:val="1015"/>
        </w:numPr>
      </w:pPr>
      <w:r>
        <w:t xml:space="preserve">Secondary quality evaluation where configured</w:t>
      </w:r>
    </w:p>
    <w:p>
      <w:pPr>
        <w:pStyle w:val="Compact"/>
        <w:numPr>
          <w:ilvl w:val="0"/>
          <w:numId w:val="1015"/>
        </w:numPr>
      </w:pPr>
      <w:r>
        <w:t xml:space="preserve">Canonical persistence</w:t>
      </w:r>
    </w:p>
    <w:p>
      <w:pPr>
        <w:pStyle w:val="Compact"/>
        <w:numPr>
          <w:ilvl w:val="0"/>
          <w:numId w:val="1015"/>
        </w:numPr>
      </w:pPr>
      <w:r>
        <w:t xml:space="preserve">Approval routing or reversible execution</w:t>
      </w:r>
    </w:p>
    <w:p>
      <w:pPr>
        <w:pStyle w:val="Compact"/>
        <w:numPr>
          <w:ilvl w:val="0"/>
          <w:numId w:val="1015"/>
        </w:numPr>
      </w:pPr>
      <w:r>
        <w:t xml:space="preserve">Projection update</w:t>
      </w:r>
    </w:p>
    <w:p>
      <w:pPr>
        <w:pStyle w:val="Compact"/>
        <w:numPr>
          <w:ilvl w:val="0"/>
          <w:numId w:val="1015"/>
        </w:numPr>
      </w:pPr>
      <w:r>
        <w:t xml:space="preserve">Metrics and audit emission</w:t>
      </w:r>
    </w:p>
    <w:p>
      <w:pPr>
        <w:pStyle w:val="FirstParagraph"/>
      </w:pPr>
      <w:r>
        <w:t xml:space="preserve">If structured output fails, retry once with a repair prompt. If repair fails, mark the run</w:t>
      </w:r>
      <w:r>
        <w:t xml:space="preserve"> </w:t>
      </w:r>
      <w:r>
        <w:rPr>
          <w:rStyle w:val="VerbatimChar"/>
        </w:rPr>
        <w:t xml:space="preserve">evaluation_failed</w:t>
      </w:r>
      <w:r>
        <w:t xml:space="preserve">, create a founder-visible operational item, and do not create an approval-ready artifact.</w:t>
      </w:r>
    </w:p>
    <w:bookmarkEnd w:id="72"/>
    <w:bookmarkStart w:id="77" w:name="security-privacy-and-governance"/>
    <w:p>
      <w:pPr>
        <w:pStyle w:val="Heading1"/>
      </w:pPr>
      <w:r>
        <w:t xml:space="preserve">Security, privacy, and governance</w:t>
      </w:r>
    </w:p>
    <w:bookmarkStart w:id="73" w:name="least-privilege"/>
    <w:p>
      <w:pPr>
        <w:pStyle w:val="Heading2"/>
      </w:pPr>
      <w:r>
        <w:t xml:space="preserve">Least privilege</w:t>
      </w:r>
    </w:p>
    <w:p>
      <w:pPr>
        <w:pStyle w:val="Compact"/>
        <w:numPr>
          <w:ilvl w:val="0"/>
          <w:numId w:val="1016"/>
        </w:numPr>
      </w:pPr>
      <w:r>
        <w:t xml:space="preserve">Agents receive only the records required for the current run.</w:t>
      </w:r>
    </w:p>
    <w:p>
      <w:pPr>
        <w:pStyle w:val="Compact"/>
        <w:numPr>
          <w:ilvl w:val="0"/>
          <w:numId w:val="1016"/>
        </w:numPr>
      </w:pPr>
      <w:r>
        <w:t xml:space="preserve">Workspace projections contain summaries unless full working content is required.</w:t>
      </w:r>
    </w:p>
    <w:p>
      <w:pPr>
        <w:pStyle w:val="Compact"/>
        <w:numPr>
          <w:ilvl w:val="0"/>
          <w:numId w:val="1016"/>
        </w:numPr>
      </w:pPr>
      <w:r>
        <w:t xml:space="preserve">Private source documents, raw model prompts, credentials, payment details, and exploitable security findings are</w:t>
      </w:r>
      <w:r>
        <w:t xml:space="preserve"> </w:t>
      </w:r>
      <w:r>
        <w:rPr>
          <w:rStyle w:val="VerbatimChar"/>
        </w:rPr>
        <w:t xml:space="preserve">not_projectable</w:t>
      </w:r>
      <w:r>
        <w:t xml:space="preserve"> </w:t>
      </w:r>
      <w:r>
        <w:t xml:space="preserve">by default.</w:t>
      </w:r>
    </w:p>
    <w:p>
      <w:pPr>
        <w:pStyle w:val="Compact"/>
        <w:numPr>
          <w:ilvl w:val="0"/>
          <w:numId w:val="1016"/>
        </w:numPr>
      </w:pPr>
      <w:r>
        <w:t xml:space="preserve">Marketing and research agents may not access unrestricted applicant or beta-user records.</w:t>
      </w:r>
    </w:p>
    <w:bookmarkEnd w:id="73"/>
    <w:bookmarkStart w:id="74" w:name="prompt-injection-defense"/>
    <w:p>
      <w:pPr>
        <w:pStyle w:val="Heading2"/>
      </w:pPr>
      <w:r>
        <w:t xml:space="preserve">Prompt-injection defense</w:t>
      </w:r>
    </w:p>
    <w:p>
      <w:pPr>
        <w:pStyle w:val="FirstParagraph"/>
      </w:pPr>
      <w:r>
        <w:t xml:space="preserve">Applications, resumes, email, transcripts, web pages, competitor pages, imported notes, and workspace page content are untrusted data. They may not modify system policy, tool permissions, approval requirements, or data-access scope.</w:t>
      </w:r>
    </w:p>
    <w:bookmarkEnd w:id="74"/>
    <w:bookmarkStart w:id="75" w:name="audit"/>
    <w:p>
      <w:pPr>
        <w:pStyle w:val="Heading2"/>
      </w:pPr>
      <w:r>
        <w:t xml:space="preserve">Audit</w:t>
      </w:r>
    </w:p>
    <w:p>
      <w:pPr>
        <w:pStyle w:val="FirstParagraph"/>
      </w:pPr>
      <w:r>
        <w:t xml:space="preserve">The system must reconstruct every consequential outcome from:</w:t>
      </w:r>
    </w:p>
    <w:p>
      <w:pPr>
        <w:pStyle w:val="Compact"/>
        <w:numPr>
          <w:ilvl w:val="0"/>
          <w:numId w:val="1017"/>
        </w:numPr>
      </w:pPr>
      <w:r>
        <w:t xml:space="preserve">Trigger</w:t>
      </w:r>
    </w:p>
    <w:p>
      <w:pPr>
        <w:pStyle w:val="Compact"/>
        <w:numPr>
          <w:ilvl w:val="0"/>
          <w:numId w:val="1017"/>
        </w:numPr>
      </w:pPr>
      <w:r>
        <w:t xml:space="preserve">Actor</w:t>
      </w:r>
    </w:p>
    <w:p>
      <w:pPr>
        <w:pStyle w:val="Compact"/>
        <w:numPr>
          <w:ilvl w:val="0"/>
          <w:numId w:val="1017"/>
        </w:numPr>
      </w:pPr>
      <w:r>
        <w:t xml:space="preserve">Source records</w:t>
      </w:r>
    </w:p>
    <w:p>
      <w:pPr>
        <w:pStyle w:val="Compact"/>
        <w:numPr>
          <w:ilvl w:val="0"/>
          <w:numId w:val="1017"/>
        </w:numPr>
      </w:pPr>
      <w:r>
        <w:t xml:space="preserve">Retrieved context manifest</w:t>
      </w:r>
    </w:p>
    <w:p>
      <w:pPr>
        <w:pStyle w:val="Compact"/>
        <w:numPr>
          <w:ilvl w:val="0"/>
          <w:numId w:val="1017"/>
        </w:numPr>
      </w:pPr>
      <w:r>
        <w:t xml:space="preserve">Agent and prompt version</w:t>
      </w:r>
    </w:p>
    <w:p>
      <w:pPr>
        <w:pStyle w:val="Compact"/>
        <w:numPr>
          <w:ilvl w:val="0"/>
          <w:numId w:val="1017"/>
        </w:numPr>
      </w:pPr>
      <w:r>
        <w:t xml:space="preserve">Output</w:t>
      </w:r>
    </w:p>
    <w:p>
      <w:pPr>
        <w:pStyle w:val="Compact"/>
        <w:numPr>
          <w:ilvl w:val="0"/>
          <w:numId w:val="1017"/>
        </w:numPr>
      </w:pPr>
      <w:r>
        <w:t xml:space="preserve">Deterministic evaluation</w:t>
      </w:r>
    </w:p>
    <w:p>
      <w:pPr>
        <w:pStyle w:val="Compact"/>
        <w:numPr>
          <w:ilvl w:val="0"/>
          <w:numId w:val="1017"/>
        </w:numPr>
      </w:pPr>
      <w:r>
        <w:t xml:space="preserve">Founder edits</w:t>
      </w:r>
    </w:p>
    <w:p>
      <w:pPr>
        <w:pStyle w:val="Compact"/>
        <w:numPr>
          <w:ilvl w:val="0"/>
          <w:numId w:val="1017"/>
        </w:numPr>
      </w:pPr>
      <w:r>
        <w:t xml:space="preserve">Approval or rejection</w:t>
      </w:r>
    </w:p>
    <w:p>
      <w:pPr>
        <w:pStyle w:val="Compact"/>
        <w:numPr>
          <w:ilvl w:val="0"/>
          <w:numId w:val="1017"/>
        </w:numPr>
      </w:pPr>
      <w:r>
        <w:t xml:space="preserve">External action</w:t>
      </w:r>
    </w:p>
    <w:p>
      <w:pPr>
        <w:pStyle w:val="Compact"/>
        <w:numPr>
          <w:ilvl w:val="0"/>
          <w:numId w:val="1017"/>
        </w:numPr>
      </w:pPr>
      <w:r>
        <w:t xml:space="preserve">Resulting business outcome</w:t>
      </w:r>
    </w:p>
    <w:bookmarkEnd w:id="75"/>
    <w:bookmarkStart w:id="76" w:name="failure-posture"/>
    <w:p>
      <w:pPr>
        <w:pStyle w:val="Heading2"/>
      </w:pPr>
      <w:r>
        <w:t xml:space="preserve">Failure posture</w:t>
      </w:r>
    </w:p>
    <w:p>
      <w:pPr>
        <w:pStyle w:val="FirstParagraph"/>
      </w:pPr>
      <w:r>
        <w:t xml:space="preserve">Failures must preserve canonical state, create a visible retry or manual-work item, and never imply that an external action succeeded when it did not.</w:t>
      </w:r>
    </w:p>
    <w:bookmarkEnd w:id="76"/>
    <w:bookmarkEnd w:id="77"/>
    <w:bookmarkStart w:id="78" w:name="observability-and-cost-controls"/>
    <w:p>
      <w:pPr>
        <w:pStyle w:val="Heading1"/>
      </w:pPr>
      <w:r>
        <w:t xml:space="preserve">Observability and cost controls</w:t>
      </w:r>
    </w:p>
    <w:p>
      <w:pPr>
        <w:pStyle w:val="FirstParagraph"/>
      </w:pPr>
      <w:r>
        <w:t xml:space="preserve">Each workflow must emit structured logs and traces with: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workspace_id</w:t>
      </w:r>
    </w:p>
    <w:p>
      <w:pPr>
        <w:pStyle w:val="Compact"/>
        <w:numPr>
          <w:ilvl w:val="0"/>
          <w:numId w:val="1018"/>
        </w:numPr>
      </w:pPr>
      <w:r>
        <w:t xml:space="preserve">Correlation and causation IDs</w:t>
      </w:r>
    </w:p>
    <w:p>
      <w:pPr>
        <w:pStyle w:val="Compact"/>
        <w:numPr>
          <w:ilvl w:val="0"/>
          <w:numId w:val="1018"/>
        </w:numPr>
      </w:pPr>
      <w:r>
        <w:t xml:space="preserve">Phase and workflow key</w:t>
      </w:r>
    </w:p>
    <w:p>
      <w:pPr>
        <w:pStyle w:val="Compact"/>
        <w:numPr>
          <w:ilvl w:val="0"/>
          <w:numId w:val="1018"/>
        </w:numPr>
      </w:pPr>
      <w:r>
        <w:t xml:space="preserve">Agent key and version</w:t>
      </w:r>
    </w:p>
    <w:p>
      <w:pPr>
        <w:pStyle w:val="Compact"/>
        <w:numPr>
          <w:ilvl w:val="0"/>
          <w:numId w:val="1018"/>
        </w:numPr>
      </w:pPr>
      <w:r>
        <w:t xml:space="preserve">Canonical entity IDs</w:t>
      </w:r>
    </w:p>
    <w:p>
      <w:pPr>
        <w:pStyle w:val="Compact"/>
        <w:numPr>
          <w:ilvl w:val="0"/>
          <w:numId w:val="1018"/>
        </w:numPr>
      </w:pPr>
      <w:r>
        <w:t xml:space="preserve">Provider projection IDs where applicable</w:t>
      </w:r>
    </w:p>
    <w:p>
      <w:pPr>
        <w:pStyle w:val="Compact"/>
        <w:numPr>
          <w:ilvl w:val="0"/>
          <w:numId w:val="1018"/>
        </w:numPr>
      </w:pPr>
      <w:r>
        <w:t xml:space="preserve">Latency</w:t>
      </w:r>
    </w:p>
    <w:p>
      <w:pPr>
        <w:pStyle w:val="Compact"/>
        <w:numPr>
          <w:ilvl w:val="0"/>
          <w:numId w:val="1018"/>
        </w:numPr>
      </w:pPr>
      <w:r>
        <w:t xml:space="preserve">Model and tool cost</w:t>
      </w:r>
    </w:p>
    <w:p>
      <w:pPr>
        <w:pStyle w:val="Compact"/>
        <w:numPr>
          <w:ilvl w:val="0"/>
          <w:numId w:val="1018"/>
        </w:numPr>
      </w:pPr>
      <w:r>
        <w:t xml:space="preserve">Validation and evaluation result</w:t>
      </w:r>
    </w:p>
    <w:p>
      <w:pPr>
        <w:pStyle w:val="Compact"/>
        <w:numPr>
          <w:ilvl w:val="0"/>
          <w:numId w:val="1018"/>
        </w:numPr>
      </w:pPr>
      <w:r>
        <w:t xml:space="preserve">Retry count</w:t>
      </w:r>
    </w:p>
    <w:p>
      <w:pPr>
        <w:pStyle w:val="Compact"/>
        <w:numPr>
          <w:ilvl w:val="0"/>
          <w:numId w:val="1018"/>
        </w:numPr>
      </w:pPr>
      <w:r>
        <w:t xml:space="preserve">Approval result</w:t>
      </w:r>
    </w:p>
    <w:p>
      <w:pPr>
        <w:pStyle w:val="Compact"/>
        <w:numPr>
          <w:ilvl w:val="0"/>
          <w:numId w:val="1018"/>
        </w:numPr>
      </w:pPr>
      <w:r>
        <w:t xml:space="preserve">External action result</w:t>
      </w:r>
    </w:p>
    <w:p>
      <w:pPr>
        <w:pStyle w:val="FirstParagraph"/>
      </w:pPr>
      <w:r>
        <w:t xml:space="preserve">Required phase dashboards must distinguish system activity from accepted business value. Agent-run volume is not itself a success metric.</w:t>
      </w:r>
    </w:p>
    <w:bookmarkEnd w:id="78"/>
    <w:bookmarkStart w:id="79" w:name="deployment-and-activation-model"/>
    <w:p>
      <w:pPr>
        <w:pStyle w:val="Heading1"/>
      </w:pPr>
      <w:r>
        <w:t xml:space="preserve">Deployment and activation model</w:t>
      </w:r>
    </w:p>
    <w:p>
      <w:pPr>
        <w:pStyle w:val="FirstParagraph"/>
      </w:pPr>
      <w:r>
        <w:t xml:space="preserve">Each major capability must progress through:</w:t>
      </w:r>
    </w:p>
    <w:p>
      <w:pPr>
        <w:pStyle w:val="Compact"/>
        <w:numPr>
          <w:ilvl w:val="0"/>
          <w:numId w:val="1019"/>
        </w:numPr>
      </w:pPr>
      <w:r>
        <w:t xml:space="preserve">Local development</w:t>
      </w:r>
    </w:p>
    <w:p>
      <w:pPr>
        <w:pStyle w:val="Compact"/>
        <w:numPr>
          <w:ilvl w:val="0"/>
          <w:numId w:val="1019"/>
        </w:numPr>
      </w:pPr>
      <w:r>
        <w:t xml:space="preserve">Automated tests</w:t>
      </w:r>
    </w:p>
    <w:p>
      <w:pPr>
        <w:pStyle w:val="Compact"/>
        <w:numPr>
          <w:ilvl w:val="0"/>
          <w:numId w:val="1019"/>
        </w:numPr>
      </w:pPr>
      <w:r>
        <w:t xml:space="preserve">Staging with synthetic fixtures</w:t>
      </w:r>
    </w:p>
    <w:p>
      <w:pPr>
        <w:pStyle w:val="Compact"/>
        <w:numPr>
          <w:ilvl w:val="0"/>
          <w:numId w:val="1019"/>
        </w:numPr>
      </w:pPr>
      <w:r>
        <w:t xml:space="preserve">Production with feature flag disabled</w:t>
      </w:r>
    </w:p>
    <w:p>
      <w:pPr>
        <w:pStyle w:val="Compact"/>
        <w:numPr>
          <w:ilvl w:val="0"/>
          <w:numId w:val="1019"/>
        </w:numPr>
      </w:pPr>
      <w:r>
        <w:t xml:space="preserve">Production shadow mode</w:t>
      </w:r>
    </w:p>
    <w:p>
      <w:pPr>
        <w:pStyle w:val="Compact"/>
        <w:numPr>
          <w:ilvl w:val="0"/>
          <w:numId w:val="1019"/>
        </w:numPr>
      </w:pPr>
      <w:r>
        <w:t xml:space="preserve">Founder-only review mode</w:t>
      </w:r>
    </w:p>
    <w:p>
      <w:pPr>
        <w:pStyle w:val="Compact"/>
        <w:numPr>
          <w:ilvl w:val="0"/>
          <w:numId w:val="1019"/>
        </w:numPr>
      </w:pPr>
      <w:r>
        <w:t xml:space="preserve">Limited live activation</w:t>
      </w:r>
    </w:p>
    <w:p>
      <w:pPr>
        <w:pStyle w:val="Compact"/>
        <w:numPr>
          <w:ilvl w:val="0"/>
          <w:numId w:val="1019"/>
        </w:numPr>
      </w:pPr>
      <w:r>
        <w:t xml:space="preserve">Measured promotion or rollback</w:t>
      </w:r>
    </w:p>
    <w:p>
      <w:pPr>
        <w:pStyle w:val="FirstParagraph"/>
      </w:pPr>
      <w:r>
        <w:t xml:space="preserve">Every agent and workspace workflow requires an independent feature flag and version rollback path.</w:t>
      </w:r>
      <w:r>
        <w:t xml:space="preserve"> </w:t>
      </w:r>
      <w:r>
        <w:t xml:space="preserve"># Coding-agent execution instruction</w:t>
      </w:r>
    </w:p>
    <w:p>
      <w:pPr>
        <w:pStyle w:val="SourceCode"/>
      </w:pPr>
      <w:r>
        <w:rPr>
          <w:rStyle w:val="VerbatimChar"/>
        </w:rPr>
        <w:t xml:space="preserve">&gt; Implement Phase 2 - Beta Activation, Retention, Support, and Founder Editorial Cadence according to this specification.</w:t>
      </w:r>
      <w:r>
        <w:br/>
      </w:r>
      <w:r>
        <w:rPr>
          <w:rStyle w:val="VerbatimChar"/>
        </w:rPr>
        <w:t xml:space="preserve">&gt;</w:t>
      </w:r>
      <w:r>
        <w:br/>
      </w:r>
      <w:r>
        <w:rPr>
          <w:rStyle w:val="VerbatimChar"/>
        </w:rPr>
        <w:t xml:space="preserve">&gt; Begin by verifying that revised Phase 0 is operational: canonical records, generic artifacts, approvals, workspace commands, projection policies, evidence, claims, consent, event audit, feature flags, and the Notion provider adapter.</w:t>
      </w:r>
      <w:r>
        <w:br/>
      </w:r>
      <w:r>
        <w:rPr>
          <w:rStyle w:val="VerbatimChar"/>
        </w:rPr>
        <w:t xml:space="preserve">&gt;</w:t>
      </w:r>
      <w:r>
        <w:br/>
      </w:r>
      <w:r>
        <w:rPr>
          <w:rStyle w:val="VerbatimChar"/>
        </w:rPr>
        <w:t xml:space="preserve">&gt; Produce an architecture decision record and a repository-to-requirement implementation map before migrations. Reuse Phase 0 services rather than creating parallel document, approval, consent, or workspace systems.</w:t>
      </w:r>
      <w:r>
        <w:br/>
      </w:r>
      <w:r>
        <w:rPr>
          <w:rStyle w:val="VerbatimChar"/>
        </w:rPr>
        <w:t xml:space="preserve">&gt;</w:t>
      </w:r>
      <w:r>
        <w:br/>
      </w:r>
      <w:r>
        <w:rPr>
          <w:rStyle w:val="VerbatimChar"/>
        </w:rPr>
        <w:t xml:space="preserve">&gt; Maintain a live traceability matrix linking every requirement to implementation files, migrations, automated tests, feature flags, and operational metrics.</w:t>
      </w:r>
      <w:r>
        <w:br/>
      </w:r>
      <w:r>
        <w:rPr>
          <w:rStyle w:val="VerbatimChar"/>
        </w:rPr>
        <w:t xml:space="preserve">&gt;</w:t>
      </w:r>
      <w:r>
        <w:br/>
      </w:r>
      <w:r>
        <w:rPr>
          <w:rStyle w:val="VerbatimChar"/>
        </w:rPr>
        <w:t xml:space="preserve">&gt; Preserve these phase-specific non-negotiable rules:</w:t>
      </w:r>
      <w:r>
        <w:br/>
      </w:r>
      <w:r>
        <w:rPr>
          <w:rStyle w:val="VerbatimChar"/>
        </w:rPr>
        <w:t xml:space="preserve">&gt;</w:t>
      </w:r>
      <w:r>
        <w:br/>
      </w:r>
      <w:r>
        <w:rPr>
          <w:rStyle w:val="VerbatimChar"/>
        </w:rPr>
        <w:t xml:space="preserve">&gt; 1. Reuse Phase 0 consent, artifact, approval, event, and workspace contracts.</w:t>
      </w:r>
    </w:p>
    <w:p>
      <w:pPr>
        <w:pStyle w:val="Compact"/>
        <w:numPr>
          <w:ilvl w:val="0"/>
          <w:numId w:val="1020"/>
        </w:numPr>
      </w:pPr>
      <w:r>
        <w:t xml:space="preserve">Project beta summaries, not unrestricted private source data.</w:t>
      </w:r>
    </w:p>
    <w:p>
      <w:pPr>
        <w:pStyle w:val="Compact"/>
        <w:numPr>
          <w:ilvl w:val="0"/>
          <w:numId w:val="1020"/>
        </w:numPr>
      </w:pPr>
      <w:r>
        <w:t xml:space="preserve">Health is explainable operational guidance, not a psychological assessment.</w:t>
      </w:r>
    </w:p>
    <w:p>
      <w:pPr>
        <w:pStyle w:val="Compact"/>
        <w:numPr>
          <w:ilvl w:val="0"/>
          <w:numId w:val="1020"/>
        </w:numPr>
      </w:pPr>
      <w:r>
        <w:t xml:space="preserve">Recurring LinkedIn and Substack work must begin from approved evidence or editorial briefs.</w:t>
      </w:r>
    </w:p>
    <w:p>
      <w:pPr>
        <w:pStyle w:val="Compact"/>
        <w:numPr>
          <w:ilvl w:val="0"/>
          <w:numId w:val="1020"/>
        </w:numPr>
      </w:pPr>
      <w:r>
        <w:t xml:space="preserve">All communication and public-use actions require founder approval.</w:t>
      </w:r>
      <w:r>
        <w:t xml:space="preserve"> </w:t>
      </w:r>
      <w:r>
        <w:t xml:space="preserve">&gt;</w:t>
      </w:r>
      <w:r>
        <w:t xml:space="preserve"> </w:t>
      </w:r>
      <w:r>
        <w:t xml:space="preserve">&gt; Implement work packages in dependency order. Activate each agent in shadow mode before founder-review mode. Treat Notion as a projection and controlled working surface, not as the source of canonical lifecycle, consent, claim, test, pricing, or deployment state.</w:t>
      </w:r>
    </w:p>
    <w:bookmarkEnd w:id="79"/>
    <w:sectPr w:rsidR="00FC693F" w:rsidRPr="0006063C" w:rsidSect="00034616">
      <w:footerReference r:id="rId9" w:type="default"/>
      <w:headerReference w:type="default" r:id="rId10"/>
      <w:pgSz w:h="15840" w:w="12240"/>
      <w:pgMar w:bottom="1008" w:footer="720" w:gutter="0" w:header="720" w:left="1152" w:right="1152" w:top="1008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B6573"/>
        <w:sz w:val="16"/>
      </w:rPr>
      <w:t>Founder Operating System | Phase 2 - Beta Activation, Retention, Support, and Founder Editorial Cadence | Version 3.0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7A8491"/>
        <w:sz w:val="15"/>
      </w:rPr>
      <w:t>FOS-TECH-PHASE-2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00" w:line="259" w:lineRule="auto"/>
    </w:pPr>
    <w:rPr>
      <w:rFonts w:ascii="Aptos" w:hAnsi="Aptos"/>
      <w:sz w:val="19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40" w:before="360"/>
      <w:outlineLvl w:val="0"/>
    </w:pPr>
    <w:rPr>
      <w:rFonts w:ascii="Aptos Display" w:asciiTheme="majorHAnsi" w:cstheme="majorBidi" w:eastAsiaTheme="majorEastAsia" w:hAnsi="Aptos Display" w:hAnsiTheme="majorHAnsi"/>
      <w:b/>
      <w:bCs/>
      <w:color w:val="10213A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00" w:before="280"/>
      <w:outlineLvl w:val="1"/>
    </w:pPr>
    <w:rPr>
      <w:rFonts w:ascii="Aptos Display" w:asciiTheme="majorHAnsi" w:cstheme="majorBidi" w:eastAsiaTheme="majorEastAsia" w:hAnsi="Aptos Display" w:hAnsiTheme="majorHAnsi"/>
      <w:b/>
      <w:bCs/>
      <w:color w:val="1A365D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200"/>
      <w:outlineLvl w:val="2"/>
    </w:pPr>
    <w:rPr>
      <w:rFonts w:ascii="Aptos" w:asciiTheme="majorHAnsi" w:cstheme="majorBidi" w:eastAsiaTheme="majorEastAsia" w:hAnsi="Aptos" w:hAnsiTheme="majorHAnsi"/>
      <w:b/>
      <w:bCs/>
      <w:color w:val="1A365D"/>
      <w:sz w:val="23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60" w:before="160"/>
      <w:outlineLvl w:val="3"/>
    </w:pPr>
    <w:rPr>
      <w:rFonts w:ascii="Aptos" w:asciiTheme="majorHAnsi" w:cstheme="majorBidi" w:eastAsiaTheme="majorEastAsia" w:hAnsi="Aptos" w:hAnsiTheme="majorHAnsi"/>
      <w:b/>
      <w:bCs/>
      <w:i/>
      <w:iCs/>
      <w:color w:val="10213A"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240" w:before="0" w:line="240" w:lineRule="auto"/>
      <w:contextualSpacing/>
    </w:pPr>
    <w:rPr>
      <w:rFonts w:ascii="Aptos Display" w:asciiTheme="majorHAnsi" w:cstheme="majorBidi" w:eastAsiaTheme="majorEastAsia" w:hAnsi="Aptos Display" w:hAnsiTheme="majorHAnsi"/>
      <w:b/>
      <w:color w:val="10213A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200" w:before="0"/>
    </w:pPr>
    <w:rPr>
      <w:rFonts w:ascii="Aptos Display" w:asciiTheme="majorHAnsi" w:cstheme="majorBidi" w:eastAsiaTheme="majorEastAsia" w:hAnsi="Aptos Display" w:hAnsiTheme="majorHAnsi"/>
      <w:b/>
      <w:i/>
      <w:iCs/>
      <w:color w:val="1A365D"/>
      <w:spacing w:val="15"/>
      <w:sz w:val="30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Aptos" w:hAnsi="Aptos"/>
      <w:sz w:val="19"/>
    </w:r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Aptos" w:hAnsi="Aptos"/>
      <w:sz w:val="19"/>
    </w:r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ind w:left="360" w:right="216"/>
    </w:pPr>
    <w:rPr>
      <w:rFonts w:ascii="Aptos" w:hAnsi="Aptos"/>
      <w:i/>
      <w:iCs/>
      <w:color w:val="1A365D"/>
      <w:sz w:val="19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360" w:right="216"/>
    </w:pPr>
    <w:rPr>
      <w:rFonts w:ascii="Aptos" w:hAnsi="Aptos"/>
      <w:b/>
      <w:bCs/>
      <w:i/>
      <w:iCs/>
      <w:color w:val="1A365D"/>
      <w:sz w:val="19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2026-07-13T22:18:39Z</dcterms:created>
  <dcterms:modified xsi:type="dcterms:W3CDTF">2026-07-13T22:18:39Z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