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00"/>
        <w:jc w:val="center"/>
      </w:pPr>
      <w:r>
        <w:rPr>
          <w:rFonts w:ascii="Aptos Display" w:hAnsi="Aptos Display"/>
          <w:b/>
          <w:color w:val="10213A"/>
          <w:sz w:val="56"/>
        </w:rPr>
        <w:t>FOUNDER OPERATING SYSTEM</w:t>
      </w:r>
    </w:p>
    <w:p>
      <w:pPr>
        <w:spacing w:before="480"/>
        <w:jc w:val="center"/>
      </w:pPr>
      <w:r>
        <w:rPr>
          <w:rFonts w:ascii="Aptos Display" w:hAnsi="Aptos Display"/>
          <w:b/>
          <w:color w:val="1A365D"/>
          <w:sz w:val="42"/>
        </w:rPr>
        <w:t>Phase 3 - Product Learning, QA, Release, and Customer Proof</w:t>
      </w:r>
    </w:p>
    <w:p>
      <w:pPr>
        <w:spacing w:before="240"/>
        <w:jc w:val="center"/>
      </w:pPr>
      <w:r>
        <w:rPr>
          <w:rFonts w:ascii="Aptos" w:hAnsi="Aptos"/>
          <w:color w:val="5B6573"/>
          <w:sz w:val="26"/>
        </w:rPr>
        <w:t>Complete Technical Specification and Implementation Plan</w:t>
      </w:r>
    </w:p>
    <w:p>
      <w:pPr>
        <w:spacing w:before="2200"/>
        <w:jc w:val="center"/>
      </w:pPr>
      <w:r>
        <w:rPr>
          <w:rFonts w:ascii="Aptos" w:hAnsi="Aptos"/>
          <w:color w:val="5B6573"/>
          <w:sz w:val="20"/>
        </w:rPr>
        <w:t>FOS-TECH-PHASE-3  |  Version 3.0  |  2026-07-13</w:t>
      </w:r>
    </w:p>
    <w:p>
      <w:r>
        <w:br w:type="page"/>
      </w:r>
    </w:p>
    <w:p>
      <w:pPr>
        <w:pStyle w:val="Heading1"/>
      </w:pPr>
      <w:r>
        <w:t>Contents</w:t>
      </w:r>
    </w:p>
    <w:p>
      <w:pPr>
        <w:spacing w:after="60"/>
        <w:ind w:left="259" w:hanging="259"/>
      </w:pPr>
      <w:r>
        <w:rPr>
          <w:rFonts w:ascii="Aptos" w:hAnsi="Aptos"/>
          <w:color w:val="1A365D"/>
          <w:sz w:val="18"/>
        </w:rPr>
        <w:t>0. Revision decision</w:t>
      </w:r>
    </w:p>
    <w:p>
      <w:pPr>
        <w:spacing w:after="60"/>
        <w:ind w:left="259" w:hanging="259"/>
      </w:pPr>
      <w:r>
        <w:rPr>
          <w:rFonts w:ascii="Aptos" w:hAnsi="Aptos"/>
          <w:color w:val="1A365D"/>
          <w:sz w:val="18"/>
        </w:rPr>
        <w:t>1. Implementation directive</w:t>
      </w:r>
    </w:p>
    <w:p>
      <w:pPr>
        <w:spacing w:after="60"/>
        <w:ind w:left="259" w:hanging="259"/>
      </w:pPr>
      <w:r>
        <w:rPr>
          <w:rFonts w:ascii="Aptos" w:hAnsi="Aptos"/>
          <w:color w:val="1A365D"/>
          <w:sz w:val="18"/>
        </w:rPr>
        <w:t>2. Objectives and metrics</w:t>
      </w:r>
    </w:p>
    <w:p>
      <w:pPr>
        <w:spacing w:after="60"/>
        <w:ind w:left="259" w:hanging="259"/>
      </w:pPr>
      <w:r>
        <w:rPr>
          <w:rFonts w:ascii="Aptos" w:hAnsi="Aptos"/>
          <w:color w:val="1A365D"/>
          <w:sz w:val="18"/>
        </w:rPr>
        <w:t>3. Scope</w:t>
      </w:r>
    </w:p>
    <w:p>
      <w:pPr>
        <w:spacing w:after="60"/>
        <w:ind w:left="259" w:hanging="259"/>
      </w:pPr>
      <w:r>
        <w:rPr>
          <w:rFonts w:ascii="Aptos" w:hAnsi="Aptos"/>
          <w:color w:val="1A365D"/>
          <w:sz w:val="18"/>
        </w:rPr>
        <w:t>4. Domain model</w:t>
      </w:r>
    </w:p>
    <w:p>
      <w:pPr>
        <w:spacing w:after="60"/>
        <w:ind w:left="259" w:hanging="259"/>
      </w:pPr>
      <w:r>
        <w:rPr>
          <w:rFonts w:ascii="Aptos" w:hAnsi="Aptos"/>
          <w:color w:val="1A365D"/>
          <w:sz w:val="18"/>
        </w:rPr>
        <w:t>5. Workspace projections</w:t>
      </w:r>
    </w:p>
    <w:p>
      <w:pPr>
        <w:spacing w:after="60"/>
        <w:ind w:left="259" w:hanging="259"/>
      </w:pPr>
      <w:r>
        <w:rPr>
          <w:rFonts w:ascii="Aptos" w:hAnsi="Aptos"/>
          <w:color w:val="1A365D"/>
          <w:sz w:val="18"/>
        </w:rPr>
        <w:t>6. Agents</w:t>
      </w:r>
    </w:p>
    <w:p>
      <w:pPr>
        <w:spacing w:after="60"/>
        <w:ind w:left="259" w:hanging="259"/>
      </w:pPr>
      <w:r>
        <w:rPr>
          <w:rFonts w:ascii="Aptos" w:hAnsi="Aptos"/>
          <w:color w:val="1A365D"/>
          <w:sz w:val="18"/>
        </w:rPr>
        <w:t>7. Required test suites</w:t>
      </w:r>
    </w:p>
    <w:p>
      <w:pPr>
        <w:spacing w:after="60"/>
        <w:ind w:left="259" w:hanging="259"/>
      </w:pPr>
      <w:r>
        <w:rPr>
          <w:rFonts w:ascii="Aptos" w:hAnsi="Aptos"/>
          <w:color w:val="1A365D"/>
          <w:sz w:val="18"/>
        </w:rPr>
        <w:t>8. Core workflows</w:t>
      </w:r>
    </w:p>
    <w:p>
      <w:pPr>
        <w:spacing w:after="60"/>
        <w:ind w:left="259" w:hanging="259"/>
      </w:pPr>
      <w:r>
        <w:rPr>
          <w:rFonts w:ascii="Aptos" w:hAnsi="Aptos"/>
          <w:color w:val="1A365D"/>
          <w:sz w:val="18"/>
        </w:rPr>
        <w:t>9. APIs and jobs</w:t>
      </w:r>
    </w:p>
    <w:p>
      <w:pPr>
        <w:spacing w:after="60"/>
        <w:ind w:left="259" w:hanging="259"/>
      </w:pPr>
      <w:r>
        <w:rPr>
          <w:rFonts w:ascii="Aptos" w:hAnsi="Aptos"/>
          <w:color w:val="1A365D"/>
          <w:sz w:val="18"/>
        </w:rPr>
        <w:t>10. Deterministic gates</w:t>
      </w:r>
    </w:p>
    <w:p>
      <w:pPr>
        <w:spacing w:after="60"/>
        <w:ind w:left="259" w:hanging="259"/>
      </w:pPr>
      <w:r>
        <w:rPr>
          <w:rFonts w:ascii="Aptos" w:hAnsi="Aptos"/>
          <w:color w:val="1A365D"/>
          <w:sz w:val="18"/>
        </w:rPr>
        <w:t>11. Tests</w:t>
      </w:r>
    </w:p>
    <w:p>
      <w:pPr>
        <w:spacing w:after="60"/>
        <w:ind w:left="259" w:hanging="259"/>
      </w:pPr>
      <w:r>
        <w:rPr>
          <w:rFonts w:ascii="Aptos" w:hAnsi="Aptos"/>
          <w:color w:val="1A365D"/>
          <w:sz w:val="18"/>
        </w:rPr>
        <w:t>12. Work packages</w:t>
      </w:r>
    </w:p>
    <w:p>
      <w:pPr>
        <w:spacing w:after="60"/>
        <w:ind w:left="259" w:hanging="259"/>
      </w:pPr>
      <w:r>
        <w:rPr>
          <w:rFonts w:ascii="Aptos" w:hAnsi="Aptos"/>
          <w:color w:val="1A365D"/>
          <w:sz w:val="18"/>
        </w:rPr>
        <w:t>13. Definition of done</w:t>
      </w:r>
    </w:p>
    <w:p>
      <w:pPr>
        <w:spacing w:after="60"/>
        <w:ind w:left="259" w:hanging="259"/>
      </w:pPr>
      <w:r>
        <w:rPr>
          <w:rFonts w:ascii="Aptos" w:hAnsi="Aptos"/>
          <w:color w:val="1A365D"/>
          <w:sz w:val="18"/>
        </w:rPr>
        <w:t>Shared architectural invariants</w:t>
      </w:r>
    </w:p>
    <w:p>
      <w:pPr>
        <w:spacing w:after="60"/>
        <w:ind w:left="259" w:hanging="259"/>
      </w:pPr>
      <w:r>
        <w:rPr>
          <w:rFonts w:ascii="Aptos" w:hAnsi="Aptos"/>
          <w:color w:val="1A365D"/>
          <w:sz w:val="18"/>
        </w:rPr>
        <w:t>Agent runtime requirements</w:t>
      </w:r>
    </w:p>
    <w:p>
      <w:pPr>
        <w:spacing w:after="60"/>
        <w:ind w:left="259" w:hanging="259"/>
      </w:pPr>
      <w:r>
        <w:rPr>
          <w:rFonts w:ascii="Aptos" w:hAnsi="Aptos"/>
          <w:color w:val="1A365D"/>
          <w:sz w:val="18"/>
        </w:rPr>
        <w:t>Security, privacy, and governance</w:t>
      </w:r>
    </w:p>
    <w:p>
      <w:pPr>
        <w:spacing w:after="60"/>
        <w:ind w:left="259" w:hanging="259"/>
      </w:pPr>
      <w:r>
        <w:rPr>
          <w:rFonts w:ascii="Aptos" w:hAnsi="Aptos"/>
          <w:color w:val="1A365D"/>
          <w:sz w:val="18"/>
        </w:rPr>
        <w:t>Observability and cost controls</w:t>
      </w:r>
    </w:p>
    <w:p>
      <w:pPr>
        <w:spacing w:after="60"/>
        <w:ind w:left="259" w:hanging="259"/>
      </w:pPr>
      <w:r>
        <w:rPr>
          <w:rFonts w:ascii="Aptos" w:hAnsi="Aptos"/>
          <w:color w:val="1A365D"/>
          <w:sz w:val="18"/>
        </w:rPr>
        <w:t>Deployment and activation model</w:t>
      </w:r>
    </w:p>
    <w:p>
      <w:r>
        <w:br w:type="page"/>
      </w:r>
    </w:p>
    <w:p>
      <w:pPr>
        <w:pStyle w:val="BlockText"/>
      </w:pPr>
      <w:r>
        <w:t xml:space="preserve">This specification is written against the revised Phase 0 canonical-state, generic-artifact, controlled-command, and Founder Workspace Adapter contracts. Any implementation based on the earlier native-admin assumptions must be refactored as identified in the dependency plan.</w:t>
      </w:r>
    </w:p>
    <w:p>
      <w:r>
        <w:pict>
          <v:rect style="width:0;height:1.5pt" o:hralign="center" o:hrstd="t" o:hr="t"/>
        </w:pict>
      </w:r>
    </w:p>
    <w:bookmarkStart w:id="20" w:name="X023bf7650b08d130681bb7787814761baa22d06"/>
    <w:p>
      <w:pPr>
        <w:pStyle w:val="Heading1"/>
      </w:pPr>
      <w:r>
        <w:t xml:space="preserve">0. Revision decision</w:t>
      </w:r>
    </w:p>
    <w:p>
      <w:pPr>
        <w:pStyle w:val="FirstParagraph"/>
      </w:pPr>
      <w:r>
        <w:t xml:space="preserve">Phase 3 retains product learning and release governance while adding the customer-proof and release-communications layer that marketing needs. Product signals, requirements, tests, defects, and release gates remain canonical. Editable specification prose, release narratives, case studies, and technical papers use generic artifacts and Notion working copies.</w:t>
      </w:r>
    </w:p>
    <w:bookmarkEnd w:id="20"/>
    <w:bookmarkStart w:id="21" w:name="X890bcc7cb2a90e542cc76ac8259480bbf61c337"/>
    <w:p>
      <w:pPr>
        <w:pStyle w:val="Heading1"/>
      </w:pPr>
      <w:r>
        <w:t xml:space="preserve">1. Implementation directive</w:t>
      </w:r>
    </w:p>
    <w:p>
      <w:pPr>
        <w:pStyle w:val="FirstParagraph"/>
      </w:pPr>
      <w:r>
        <w:t xml:space="preserve">Build a traceable signal-to-release system that converts beta evidence into prioritized problems, implementation specifications, tests, release decisions, and approved customer proof.</w:t>
      </w:r>
    </w:p>
    <w:bookmarkEnd w:id="21"/>
    <w:bookmarkStart w:id="22" w:name="X584d8f695d390f9d84f1095ee0ecc7311a80e71"/>
    <w:p>
      <w:pPr>
        <w:pStyle w:val="Heading1"/>
      </w:pPr>
      <w:r>
        <w:t xml:space="preserve">2. Objectives and metrics</w:t>
      </w:r>
    </w:p>
    <w:p>
      <w:pPr>
        <w:pStyle w:val="Compact"/>
        <w:numPr>
          <w:ilvl w:val="0"/>
          <w:numId w:val="1001"/>
        </w:numPr>
      </w:pPr>
      <w:r>
        <w:t xml:space="preserve">Reduce time from repeated beta problem to approved change decision.</w:t>
      </w:r>
    </w:p>
    <w:p>
      <w:pPr>
        <w:pStyle w:val="Compact"/>
        <w:numPr>
          <w:ilvl w:val="0"/>
          <w:numId w:val="1001"/>
        </w:numPr>
      </w:pPr>
      <w:r>
        <w:t xml:space="preserve">Maintain requirement-to-test traceability.</w:t>
      </w:r>
    </w:p>
    <w:p>
      <w:pPr>
        <w:pStyle w:val="Compact"/>
        <w:numPr>
          <w:ilvl w:val="0"/>
          <w:numId w:val="1001"/>
        </w:numPr>
      </w:pPr>
      <w:r>
        <w:t xml:space="preserve">Detect regressions, cross-user memory leakage, prompt injection, and approval failures.</w:t>
      </w:r>
    </w:p>
    <w:p>
      <w:pPr>
        <w:pStyle w:val="Compact"/>
        <w:numPr>
          <w:ilvl w:val="0"/>
          <w:numId w:val="1001"/>
        </w:numPr>
      </w:pPr>
      <w:r>
        <w:t xml:space="preserve">Produce evidence-backed release-readiness reports.</w:t>
      </w:r>
    </w:p>
    <w:p>
      <w:pPr>
        <w:pStyle w:val="Compact"/>
        <w:numPr>
          <w:ilvl w:val="0"/>
          <w:numId w:val="1001"/>
        </w:numPr>
      </w:pPr>
      <w:r>
        <w:t xml:space="preserve">Revalidate product and marketing claims after releases.</w:t>
      </w:r>
    </w:p>
    <w:p>
      <w:pPr>
        <w:pStyle w:val="Compact"/>
        <w:numPr>
          <w:ilvl w:val="0"/>
          <w:numId w:val="1001"/>
        </w:numPr>
      </w:pPr>
      <w:r>
        <w:t xml:space="preserve">Convert verified releases and outcomes into approved release notes, case studies, and technical papers.</w:t>
      </w:r>
    </w:p>
    <w:p>
      <w:pPr>
        <w:pStyle w:val="FirstParagraph"/>
      </w:pPr>
      <w:r>
        <w:t xml:space="preserve">Metrics include signal-to-decision time, requirement coverage, regression detection, defect escape, release cycle time, blocked-release precision, QA cost, verified proof assets, and founder review time.</w:t>
      </w:r>
    </w:p>
    <w:bookmarkEnd w:id="22"/>
    <w:bookmarkStart w:id="23" w:name="X25d0be9279514911651d99fd74a027e3892227a"/>
    <w:p>
      <w:pPr>
        <w:pStyle w:val="Heading1"/>
      </w:pPr>
      <w:r>
        <w:t xml:space="preserve">3. Scope</w:t>
      </w:r>
    </w:p>
    <w:p>
      <w:pPr>
        <w:pStyle w:val="FirstParagraph"/>
      </w:pPr>
      <w:r>
        <w:t xml:space="preserve">Included:</w:t>
      </w:r>
    </w:p>
    <w:p>
      <w:pPr>
        <w:pStyle w:val="Compact"/>
        <w:numPr>
          <w:ilvl w:val="0"/>
          <w:numId w:val="1002"/>
        </w:numPr>
      </w:pPr>
      <w:r>
        <w:t xml:space="preserve">Product signals and clustering</w:t>
      </w:r>
    </w:p>
    <w:p>
      <w:pPr>
        <w:pStyle w:val="Compact"/>
        <w:numPr>
          <w:ilvl w:val="0"/>
          <w:numId w:val="1002"/>
        </w:numPr>
      </w:pPr>
      <w:r>
        <w:t xml:space="preserve">Product change proposals</w:t>
      </w:r>
    </w:p>
    <w:p>
      <w:pPr>
        <w:pStyle w:val="Compact"/>
        <w:numPr>
          <w:ilvl w:val="0"/>
          <w:numId w:val="1002"/>
        </w:numPr>
      </w:pPr>
      <w:r>
        <w:t xml:space="preserve">Versioned specification artifacts</w:t>
      </w:r>
    </w:p>
    <w:p>
      <w:pPr>
        <w:pStyle w:val="Compact"/>
        <w:numPr>
          <w:ilvl w:val="0"/>
          <w:numId w:val="1002"/>
        </w:numPr>
      </w:pPr>
      <w:r>
        <w:t xml:space="preserve">Canonical requirements and acceptance criteria</w:t>
      </w:r>
    </w:p>
    <w:p>
      <w:pPr>
        <w:pStyle w:val="Compact"/>
        <w:numPr>
          <w:ilvl w:val="0"/>
          <w:numId w:val="1002"/>
        </w:numPr>
      </w:pPr>
      <w:r>
        <w:t xml:space="preserve">Synthetic personas and tests</w:t>
      </w:r>
    </w:p>
    <w:p>
      <w:pPr>
        <w:pStyle w:val="Compact"/>
        <w:numPr>
          <w:ilvl w:val="0"/>
          <w:numId w:val="1002"/>
        </w:numPr>
      </w:pPr>
      <w:r>
        <w:t xml:space="preserve">Test execution and evidence</w:t>
      </w:r>
    </w:p>
    <w:p>
      <w:pPr>
        <w:pStyle w:val="Compact"/>
        <w:numPr>
          <w:ilvl w:val="0"/>
          <w:numId w:val="1002"/>
        </w:numPr>
      </w:pPr>
      <w:r>
        <w:t xml:space="preserve">Defects and regression investigation</w:t>
      </w:r>
    </w:p>
    <w:p>
      <w:pPr>
        <w:pStyle w:val="Compact"/>
        <w:numPr>
          <w:ilvl w:val="0"/>
          <w:numId w:val="1002"/>
        </w:numPr>
      </w:pPr>
      <w:r>
        <w:t xml:space="preserve">Release candidates and readiness reports</w:t>
      </w:r>
    </w:p>
    <w:p>
      <w:pPr>
        <w:pStyle w:val="Compact"/>
        <w:numPr>
          <w:ilvl w:val="0"/>
          <w:numId w:val="1002"/>
        </w:numPr>
      </w:pPr>
      <w:r>
        <w:t xml:space="preserve">Claim revalidation</w:t>
      </w:r>
    </w:p>
    <w:p>
      <w:pPr>
        <w:pStyle w:val="Compact"/>
        <w:numPr>
          <w:ilvl w:val="0"/>
          <w:numId w:val="1002"/>
        </w:numPr>
      </w:pPr>
      <w:r>
        <w:t xml:space="preserve">Release notes, case studies, beta-learning reports, and architecture papers</w:t>
      </w:r>
    </w:p>
    <w:p>
      <w:pPr>
        <w:pStyle w:val="FirstParagraph"/>
      </w:pPr>
      <w:r>
        <w:t xml:space="preserve">Excluded:</w:t>
      </w:r>
    </w:p>
    <w:p>
      <w:pPr>
        <w:pStyle w:val="Compact"/>
        <w:numPr>
          <w:ilvl w:val="0"/>
          <w:numId w:val="1003"/>
        </w:numPr>
      </w:pPr>
      <w:r>
        <w:t xml:space="preserve">Autonomous production deployment</w:t>
      </w:r>
    </w:p>
    <w:p>
      <w:pPr>
        <w:pStyle w:val="Compact"/>
        <w:numPr>
          <w:ilvl w:val="0"/>
          <w:numId w:val="1003"/>
        </w:numPr>
      </w:pPr>
      <w:r>
        <w:t xml:space="preserve">Agent waiver of critical gates</w:t>
      </w:r>
    </w:p>
    <w:p>
      <w:pPr>
        <w:pStyle w:val="Compact"/>
        <w:numPr>
          <w:ilvl w:val="0"/>
          <w:numId w:val="1003"/>
        </w:numPr>
      </w:pPr>
      <w:r>
        <w:t xml:space="preserve">Unsupported customer-causality claims</w:t>
      </w:r>
    </w:p>
    <w:p>
      <w:pPr>
        <w:pStyle w:val="Compact"/>
        <w:numPr>
          <w:ilvl w:val="0"/>
          <w:numId w:val="1003"/>
        </w:numPr>
      </w:pPr>
      <w:r>
        <w:t xml:space="preserve">Full scaled campaign orchestration</w:t>
      </w:r>
    </w:p>
    <w:bookmarkEnd w:id="23"/>
    <w:bookmarkStart w:id="35" w:name="Xd1b9add03baef002a6e0907c05a25a21f2cf155"/>
    <w:p>
      <w:pPr>
        <w:pStyle w:val="Heading1"/>
      </w:pPr>
      <w:r>
        <w:t xml:space="preserve">4. Domain model</w:t>
      </w:r>
    </w:p>
    <w:bookmarkStart w:id="24" w:name="productsignal"/>
    <w:p>
      <w:pPr>
        <w:pStyle w:val="Heading2"/>
      </w:pPr>
      <w:r>
        <w:t xml:space="preserve">ProductSignal</w:t>
      </w:r>
    </w:p>
    <w:p>
      <w:pPr>
        <w:pStyle w:val="FirstParagraph"/>
      </w:pPr>
      <w:r>
        <w:t xml:space="preserve">Stores product area, signal type, statement, classification, source, affected count, severity, business impact, confidence, and review status.</w:t>
      </w:r>
    </w:p>
    <w:bookmarkEnd w:id="24"/>
    <w:bookmarkStart w:id="25" w:name="signalcluster"/>
    <w:p>
      <w:pPr>
        <w:pStyle w:val="Heading2"/>
      </w:pPr>
      <w:r>
        <w:t xml:space="preserve">SignalCluster</w:t>
      </w:r>
    </w:p>
    <w:p>
      <w:pPr>
        <w:pStyle w:val="FirstParagraph"/>
      </w:pPr>
      <w:r>
        <w:t xml:space="preserve">Stores approved problem statement, signal links, affected segments, frequency, enrollment/retention/founder-time impact, confidence, and disposition.</w:t>
      </w:r>
    </w:p>
    <w:bookmarkEnd w:id="25"/>
    <w:bookmarkStart w:id="26" w:name="productchangeproposal"/>
    <w:p>
      <w:pPr>
        <w:pStyle w:val="Heading2"/>
      </w:pPr>
      <w:r>
        <w:t xml:space="preserve">ProductChangeProposal</w:t>
      </w:r>
    </w:p>
    <w:p>
      <w:pPr>
        <w:pStyle w:val="FirstParagraph"/>
      </w:pPr>
      <w:r>
        <w:t xml:space="preserve">Stores proposed change, scope/non-scope, expected value, risk, effort, priority, decision, and specification reference.</w:t>
      </w:r>
    </w:p>
    <w:bookmarkEnd w:id="26"/>
    <w:bookmarkStart w:id="27" w:name="specificationrecord"/>
    <w:p>
      <w:pPr>
        <w:pStyle w:val="Heading2"/>
      </w:pPr>
      <w:r>
        <w:t xml:space="preserve">SpecificationRecord</w:t>
      </w:r>
    </w:p>
    <w:p>
      <w:pPr>
        <w:pStyle w:val="FirstParagraph"/>
      </w:pPr>
      <w:r>
        <w:t xml:space="preserve">Stores canonical metadata and references an artifact for editable prose. Canonical fields include spec key, version, status, evidence manifest, approved goals/non-goals, requirement IDs, approval, and supersession.</w:t>
      </w:r>
    </w:p>
    <w:bookmarkEnd w:id="27"/>
    <w:bookmarkStart w:id="28" w:name="requirementrecord"/>
    <w:p>
      <w:pPr>
        <w:pStyle w:val="Heading2"/>
      </w:pPr>
      <w:r>
        <w:t xml:space="preserve">RequirementRecord</w:t>
      </w:r>
    </w:p>
    <w:p>
      <w:pPr>
        <w:pStyle w:val="FirstParagraph"/>
      </w:pPr>
      <w:r>
        <w:t xml:space="preserve">Stores key, type, description, priority, risk, acceptance criteria, implementation references, status, and tests.</w:t>
      </w:r>
    </w:p>
    <w:bookmarkEnd w:id="28"/>
    <w:bookmarkStart w:id="29" w:name="syntheticpersona"/>
    <w:p>
      <w:pPr>
        <w:pStyle w:val="Heading2"/>
      </w:pPr>
      <w:r>
        <w:t xml:space="preserve">SyntheticPersona</w:t>
      </w:r>
    </w:p>
    <w:p>
      <w:pPr>
        <w:pStyle w:val="FirstParagraph"/>
      </w:pPr>
      <w:r>
        <w:t xml:space="preserve">Stores goals, constraints, starting data, behavior profile, adversarial traits, and expected boundaries.</w:t>
      </w:r>
    </w:p>
    <w:bookmarkEnd w:id="29"/>
    <w:bookmarkStart w:id="30" w:name="testcase-and-testrun"/>
    <w:p>
      <w:pPr>
        <w:pStyle w:val="Heading2"/>
      </w:pPr>
      <w:r>
        <w:t xml:space="preserve">TestCase and TestRun</w:t>
      </w:r>
    </w:p>
    <w:p>
      <w:pPr>
        <w:pStyle w:val="FirstParagraph"/>
      </w:pPr>
      <w:r>
        <w:t xml:space="preserve">Store requirement links, type, preconditions, steps, expected/evaluation rules, severity, automation, environment, actual result, failure classification, evidence, cost, and latency.</w:t>
      </w:r>
    </w:p>
    <w:bookmarkEnd w:id="30"/>
    <w:bookmarkStart w:id="31" w:name="defect"/>
    <w:p>
      <w:pPr>
        <w:pStyle w:val="Heading2"/>
      </w:pPr>
      <w:r>
        <w:t xml:space="preserve">Defect</w:t>
      </w:r>
    </w:p>
    <w:p>
      <w:pPr>
        <w:pStyle w:val="FirstParagraph"/>
      </w:pPr>
      <w:r>
        <w:t xml:space="preserve">Stores reproduction, expected/actual behavior, severity, source signals/runs, failure classification, fix reference, and verification.</w:t>
      </w:r>
    </w:p>
    <w:bookmarkEnd w:id="31"/>
    <w:bookmarkStart w:id="32" w:name="releasecandidate"/>
    <w:p>
      <w:pPr>
        <w:pStyle w:val="Heading2"/>
      </w:pPr>
      <w:r>
        <w:t xml:space="preserve">ReleaseCandidate</w:t>
      </w:r>
    </w:p>
    <w:p>
      <w:pPr>
        <w:pStyle w:val="FirstParagraph"/>
      </w:pPr>
      <w:r>
        <w:t xml:space="preserve">Stores version, specifications, requirements, implementation refs, model/prompt/memory/migration changes, known limitations, rollback, and status.</w:t>
      </w:r>
    </w:p>
    <w:bookmarkEnd w:id="32"/>
    <w:bookmarkStart w:id="33" w:name="releasereadinessreport"/>
    <w:p>
      <w:pPr>
        <w:pStyle w:val="Heading2"/>
      </w:pPr>
      <w:r>
        <w:t xml:space="preserve">ReleaseReadinessReport</w:t>
      </w:r>
    </w:p>
    <w:p>
      <w:pPr>
        <w:pStyle w:val="FirstParagraph"/>
      </w:pPr>
      <w:r>
        <w:t xml:space="preserve">References an artifact for the narrative and stores canonical requirements/test/defect/security summaries, recommendation, confidence, blockers, and approval.</w:t>
      </w:r>
    </w:p>
    <w:bookmarkEnd w:id="33"/>
    <w:bookmarkStart w:id="34" w:name="proofasset"/>
    <w:p>
      <w:pPr>
        <w:pStyle w:val="Heading2"/>
      </w:pPr>
      <w:r>
        <w:t xml:space="preserve">ProofAsset</w:t>
      </w:r>
    </w:p>
    <w:p>
      <w:pPr>
        <w:pStyle w:val="FirstParagraph"/>
      </w:pPr>
      <w:r>
        <w:t xml:space="preserve">Links a release, outcome evidence, claim set, consent, and a content artifact such as case study, release note, technical paper, or public beta-learning report.</w:t>
      </w:r>
    </w:p>
    <w:bookmarkEnd w:id="34"/>
    <w:bookmarkEnd w:id="35"/>
    <w:bookmarkStart w:id="40" w:name="X1f91855df356ce674af010fccfbdea01baf0f6a"/>
    <w:p>
      <w:pPr>
        <w:pStyle w:val="Heading1"/>
      </w:pPr>
      <w:r>
        <w:t xml:space="preserve">5. Workspace projections</w:t>
      </w:r>
    </w:p>
    <w:bookmarkStart w:id="36" w:name="product-signals"/>
    <w:p>
      <w:pPr>
        <w:pStyle w:val="Heading2"/>
      </w:pPr>
      <w:r>
        <w:t xml:space="preserve">Product Signals</w:t>
      </w:r>
    </w:p>
    <w:p>
      <w:pPr>
        <w:pStyle w:val="FirstParagraph"/>
      </w:pPr>
      <w:r>
        <w:t xml:space="preserve">Founder reviews clusters, evidence, impact, and disposition.</w:t>
      </w:r>
    </w:p>
    <w:bookmarkEnd w:id="36"/>
    <w:bookmarkStart w:id="37" w:name="product-specifications"/>
    <w:p>
      <w:pPr>
        <w:pStyle w:val="Heading2"/>
      </w:pPr>
      <w:r>
        <w:t xml:space="preserve">Product Specifications</w:t>
      </w:r>
    </w:p>
    <w:p>
      <w:pPr>
        <w:pStyle w:val="FirstParagraph"/>
      </w:pPr>
      <w:r>
        <w:t xml:space="preserve">Artifact body is editable in Notion. Requirement IDs, test coverage, approval, and version remain canonical.</w:t>
      </w:r>
    </w:p>
    <w:bookmarkEnd w:id="37"/>
    <w:bookmarkStart w:id="38" w:name="qa-and-release-center"/>
    <w:p>
      <w:pPr>
        <w:pStyle w:val="Heading2"/>
      </w:pPr>
      <w:r>
        <w:t xml:space="preserve">QA and Release Center</w:t>
      </w:r>
    </w:p>
    <w:p>
      <w:pPr>
        <w:pStyle w:val="FirstParagraph"/>
      </w:pPr>
      <w:r>
        <w:t xml:space="preserve">Projects suite summaries, blockers, known limitations, claim impact, release narrative, and founder decision. Detailed test telemetry remains in FOS.</w:t>
      </w:r>
    </w:p>
    <w:bookmarkEnd w:id="38"/>
    <w:bookmarkStart w:id="39" w:name="customer-proof-queue"/>
    <w:p>
      <w:pPr>
        <w:pStyle w:val="Heading2"/>
      </w:pPr>
      <w:r>
        <w:t xml:space="preserve">Customer Proof Queue</w:t>
      </w:r>
    </w:p>
    <w:p>
      <w:pPr>
        <w:pStyle w:val="FirstParagraph"/>
      </w:pPr>
      <w:r>
        <w:t xml:space="preserve">Projects outcome/release evidence eligible for a case study, release note, or technical paper, including consent and claims status.</w:t>
      </w:r>
    </w:p>
    <w:bookmarkEnd w:id="39"/>
    <w:bookmarkEnd w:id="40"/>
    <w:bookmarkStart w:id="41" w:name="X1bcad50d3ab90a6d1f19bd91566b0757bed01a7"/>
    <w:p>
      <w:pPr>
        <w:pStyle w:val="Heading1"/>
      </w:pPr>
      <w:r>
        <w:t xml:space="preserve">6. Agents</w:t>
      </w:r>
    </w:p>
    <w:p>
      <w:pPr>
        <w:pStyle w:val="Compact"/>
        <w:numPr>
          <w:ilvl w:val="0"/>
          <w:numId w:val="1004"/>
        </w:numPr>
      </w:pPr>
      <w:r>
        <w:rPr>
          <w:rStyle w:val="VerbatimChar"/>
        </w:rPr>
        <w:t xml:space="preserve">fos.product_signal_synthesizer</w:t>
      </w:r>
    </w:p>
    <w:p>
      <w:pPr>
        <w:pStyle w:val="Compact"/>
        <w:numPr>
          <w:ilvl w:val="0"/>
          <w:numId w:val="1004"/>
        </w:numPr>
      </w:pPr>
      <w:r>
        <w:rPr>
          <w:rStyle w:val="VerbatimChar"/>
        </w:rPr>
        <w:t xml:space="preserve">fos.change_proposal</w:t>
      </w:r>
    </w:p>
    <w:p>
      <w:pPr>
        <w:pStyle w:val="Compact"/>
        <w:numPr>
          <w:ilvl w:val="0"/>
          <w:numId w:val="1004"/>
        </w:numPr>
      </w:pPr>
      <w:r>
        <w:rPr>
          <w:rStyle w:val="VerbatimChar"/>
        </w:rPr>
        <w:t xml:space="preserve">fos.beta_change_spec_compiler</w:t>
      </w:r>
    </w:p>
    <w:p>
      <w:pPr>
        <w:pStyle w:val="Compact"/>
        <w:numPr>
          <w:ilvl w:val="0"/>
          <w:numId w:val="1004"/>
        </w:numPr>
      </w:pPr>
      <w:r>
        <w:rPr>
          <w:rStyle w:val="VerbatimChar"/>
        </w:rPr>
        <w:t xml:space="preserve">fos.specification_critic</w:t>
      </w:r>
    </w:p>
    <w:p>
      <w:pPr>
        <w:pStyle w:val="Compact"/>
        <w:numPr>
          <w:ilvl w:val="0"/>
          <w:numId w:val="1004"/>
        </w:numPr>
      </w:pPr>
      <w:r>
        <w:rPr>
          <w:rStyle w:val="VerbatimChar"/>
        </w:rPr>
        <w:t xml:space="preserve">fos.test_planner</w:t>
      </w:r>
    </w:p>
    <w:p>
      <w:pPr>
        <w:pStyle w:val="Compact"/>
        <w:numPr>
          <w:ilvl w:val="0"/>
          <w:numId w:val="1004"/>
        </w:numPr>
      </w:pPr>
      <w:r>
        <w:rPr>
          <w:rStyle w:val="VerbatimChar"/>
        </w:rPr>
        <w:t xml:space="preserve">fos.synthetic_user</w:t>
      </w:r>
    </w:p>
    <w:p>
      <w:pPr>
        <w:pStyle w:val="Compact"/>
        <w:numPr>
          <w:ilvl w:val="0"/>
          <w:numId w:val="1004"/>
        </w:numPr>
      </w:pPr>
      <w:r>
        <w:rPr>
          <w:rStyle w:val="VerbatimChar"/>
        </w:rPr>
        <w:t xml:space="preserve">fos.regression_investigator</w:t>
      </w:r>
    </w:p>
    <w:p>
      <w:pPr>
        <w:pStyle w:val="Compact"/>
        <w:numPr>
          <w:ilvl w:val="0"/>
          <w:numId w:val="1004"/>
        </w:numPr>
      </w:pPr>
      <w:r>
        <w:rPr>
          <w:rStyle w:val="VerbatimChar"/>
        </w:rPr>
        <w:t xml:space="preserve">fos.release_readiness</w:t>
      </w:r>
    </w:p>
    <w:p>
      <w:pPr>
        <w:pStyle w:val="Compact"/>
        <w:numPr>
          <w:ilvl w:val="0"/>
          <w:numId w:val="1004"/>
        </w:numPr>
      </w:pPr>
      <w:r>
        <w:rPr>
          <w:rStyle w:val="VerbatimChar"/>
        </w:rPr>
        <w:t xml:space="preserve">fos.claim_impact_analyzer</w:t>
      </w:r>
    </w:p>
    <w:p>
      <w:pPr>
        <w:pStyle w:val="Compact"/>
        <w:numPr>
          <w:ilvl w:val="0"/>
          <w:numId w:val="1004"/>
        </w:numPr>
      </w:pPr>
      <w:r>
        <w:rPr>
          <w:rStyle w:val="VerbatimChar"/>
        </w:rPr>
        <w:t xml:space="preserve">fos.release_communications</w:t>
      </w:r>
    </w:p>
    <w:p>
      <w:pPr>
        <w:pStyle w:val="Compact"/>
        <w:numPr>
          <w:ilvl w:val="0"/>
          <w:numId w:val="1004"/>
        </w:numPr>
      </w:pPr>
      <w:r>
        <w:rPr>
          <w:rStyle w:val="VerbatimChar"/>
        </w:rPr>
        <w:t xml:space="preserve">fos.case_study_builder</w:t>
      </w:r>
    </w:p>
    <w:p>
      <w:pPr>
        <w:pStyle w:val="Compact"/>
        <w:numPr>
          <w:ilvl w:val="0"/>
          <w:numId w:val="1004"/>
        </w:numPr>
      </w:pPr>
      <w:r>
        <w:rPr>
          <w:rStyle w:val="VerbatimChar"/>
        </w:rPr>
        <w:t xml:space="preserve">fos.technical_paper_builder</w:t>
      </w:r>
    </w:p>
    <w:p>
      <w:pPr>
        <w:pStyle w:val="FirstParagraph"/>
      </w:pPr>
      <w:r>
        <w:t xml:space="preserve">The release and proof agents may draft narratives but may not change release gates, consent, or claim approval.</w:t>
      </w:r>
    </w:p>
    <w:bookmarkEnd w:id="41"/>
    <w:bookmarkStart w:id="45" w:name="X16d1e3e39d0aa670192c67072537bf8de1003fb"/>
    <w:p>
      <w:pPr>
        <w:pStyle w:val="Heading1"/>
      </w:pPr>
      <w:r>
        <w:t xml:space="preserve">7. Required test suites</w:t>
      </w:r>
    </w:p>
    <w:bookmarkStart w:id="42" w:name="critical-journeys"/>
    <w:p>
      <w:pPr>
        <w:pStyle w:val="Heading2"/>
      </w:pPr>
      <w:r>
        <w:t xml:space="preserve">Critical journeys</w:t>
      </w:r>
    </w:p>
    <w:p>
      <w:pPr>
        <w:pStyle w:val="FirstParagraph"/>
      </w:pPr>
      <w:r>
        <w:t xml:space="preserve">Application, enrollment, onboarding, first value, support, roadmap, resume/LinkedIn, portfolio, interview, shared memory, content approval, and workspace commands.</w:t>
      </w:r>
    </w:p>
    <w:bookmarkEnd w:id="42"/>
    <w:bookmarkStart w:id="43" w:name="cross-module-consistency"/>
    <w:p>
      <w:pPr>
        <w:pStyle w:val="Heading2"/>
      </w:pPr>
      <w:r>
        <w:t xml:space="preserve">Cross-module consistency</w:t>
      </w:r>
    </w:p>
    <w:p>
      <w:pPr>
        <w:pStyle w:val="Compact"/>
        <w:numPr>
          <w:ilvl w:val="0"/>
          <w:numId w:val="1005"/>
        </w:numPr>
      </w:pPr>
      <w:r>
        <w:t xml:space="preserve">Resume claims align with portfolio evidence.</w:t>
      </w:r>
    </w:p>
    <w:p>
      <w:pPr>
        <w:pStyle w:val="Compact"/>
        <w:numPr>
          <w:ilvl w:val="0"/>
          <w:numId w:val="1005"/>
        </w:numPr>
      </w:pPr>
      <w:r>
        <w:t xml:space="preserve">Interview coaching reflects demonstrated skills.</w:t>
      </w:r>
    </w:p>
    <w:p>
      <w:pPr>
        <w:pStyle w:val="Compact"/>
        <w:numPr>
          <w:ilvl w:val="0"/>
          <w:numId w:val="1005"/>
        </w:numPr>
      </w:pPr>
      <w:r>
        <w:t xml:space="preserve">Roadmap reflects assessment and updated goal.</w:t>
      </w:r>
    </w:p>
    <w:p>
      <w:pPr>
        <w:pStyle w:val="Compact"/>
        <w:numPr>
          <w:ilvl w:val="0"/>
          <w:numId w:val="1005"/>
        </w:numPr>
      </w:pPr>
      <w:r>
        <w:t xml:space="preserve">Enrollment promises match current capability.</w:t>
      </w:r>
    </w:p>
    <w:p>
      <w:pPr>
        <w:pStyle w:val="Compact"/>
        <w:numPr>
          <w:ilvl w:val="0"/>
          <w:numId w:val="1005"/>
        </w:numPr>
      </w:pPr>
      <w:r>
        <w:t xml:space="preserve">Marketing claims match deployed release.</w:t>
      </w:r>
    </w:p>
    <w:p>
      <w:pPr>
        <w:pStyle w:val="Compact"/>
        <w:numPr>
          <w:ilvl w:val="0"/>
          <w:numId w:val="1005"/>
        </w:numPr>
      </w:pPr>
      <w:r>
        <w:t xml:space="preserve">Public proof matches consent and evidence.</w:t>
      </w:r>
    </w:p>
    <w:bookmarkEnd w:id="43"/>
    <w:bookmarkStart w:id="44" w:name="security-and-memory"/>
    <w:p>
      <w:pPr>
        <w:pStyle w:val="Heading2"/>
      </w:pPr>
      <w:r>
        <w:t xml:space="preserve">Security and memory</w:t>
      </w:r>
    </w:p>
    <w:p>
      <w:pPr>
        <w:pStyle w:val="Compact"/>
        <w:numPr>
          <w:ilvl w:val="0"/>
          <w:numId w:val="1006"/>
        </w:numPr>
      </w:pPr>
      <w:r>
        <w:t xml:space="preserve">Cross-user isolation</w:t>
      </w:r>
    </w:p>
    <w:p>
      <w:pPr>
        <w:pStyle w:val="Compact"/>
        <w:numPr>
          <w:ilvl w:val="0"/>
          <w:numId w:val="1006"/>
        </w:numPr>
      </w:pPr>
      <w:r>
        <w:t xml:space="preserve">Inference versus confirmed memory</w:t>
      </w:r>
    </w:p>
    <w:p>
      <w:pPr>
        <w:pStyle w:val="Compact"/>
        <w:numPr>
          <w:ilvl w:val="0"/>
          <w:numId w:val="1006"/>
        </w:numPr>
      </w:pPr>
      <w:r>
        <w:t xml:space="preserve">Supersession and audit</w:t>
      </w:r>
    </w:p>
    <w:p>
      <w:pPr>
        <w:pStyle w:val="Compact"/>
        <w:numPr>
          <w:ilvl w:val="0"/>
          <w:numId w:val="1006"/>
        </w:numPr>
      </w:pPr>
      <w:r>
        <w:t xml:space="preserve">Prompt injection through applications, documents, support, workspace pages, and web content</w:t>
      </w:r>
    </w:p>
    <w:p>
      <w:pPr>
        <w:pStyle w:val="Compact"/>
        <w:numPr>
          <w:ilvl w:val="0"/>
          <w:numId w:val="1006"/>
        </w:numPr>
      </w:pPr>
      <w:r>
        <w:t xml:space="preserve">Unauthorized tool and approval attempts</w:t>
      </w:r>
    </w:p>
    <w:bookmarkEnd w:id="44"/>
    <w:bookmarkEnd w:id="45"/>
    <w:bookmarkStart w:id="50" w:name="X5159706cfab3c2fa7bd1557cc2c7f1b96275634"/>
    <w:p>
      <w:pPr>
        <w:pStyle w:val="Heading1"/>
      </w:pPr>
      <w:r>
        <w:t xml:space="preserve">8. Core workflows</w:t>
      </w:r>
    </w:p>
    <w:bookmarkStart w:id="46" w:name="signal-to-approved-change"/>
    <w:p>
      <w:pPr>
        <w:pStyle w:val="Heading2"/>
      </w:pPr>
      <w:r>
        <w:t xml:space="preserve">Signal to approved change</w:t>
      </w:r>
    </w:p>
    <w:p>
      <w:pPr>
        <w:pStyle w:val="FirstParagraph"/>
      </w:pPr>
      <w:r>
        <w:t xml:space="preserve">Collect signals, cluster, founder approves problem, create proposal, generate spec artifact, run critic, founder approves, create requirements/tests, and project implementation package.</w:t>
      </w:r>
    </w:p>
    <w:bookmarkEnd w:id="46"/>
    <w:bookmarkStart w:id="47" w:name="test-and-regression"/>
    <w:p>
      <w:pPr>
        <w:pStyle w:val="Heading2"/>
      </w:pPr>
      <w:r>
        <w:t xml:space="preserve">Test and regression</w:t>
      </w:r>
    </w:p>
    <w:p>
      <w:pPr>
        <w:pStyle w:val="FirstParagraph"/>
      </w:pPr>
      <w:r>
        <w:t xml:space="preserve">Create/run suite, store evidence, classify failures, create defects, verify fixes, compare model/prompt versions, and preserve baseline.</w:t>
      </w:r>
    </w:p>
    <w:bookmarkEnd w:id="47"/>
    <w:bookmarkStart w:id="48" w:name="release-decision"/>
    <w:p>
      <w:pPr>
        <w:pStyle w:val="Heading2"/>
      </w:pPr>
      <w:r>
        <w:t xml:space="preserve">Release decision</w:t>
      </w:r>
    </w:p>
    <w:p>
      <w:pPr>
        <w:pStyle w:val="FirstParagraph"/>
      </w:pPr>
      <w:r>
        <w:t xml:space="preserve">Create candidate, run required suites, generate readiness report, identify claim/content impact, founder approves or blocks, record deployment separately, and update projections.</w:t>
      </w:r>
    </w:p>
    <w:bookmarkEnd w:id="48"/>
    <w:bookmarkStart w:id="49" w:name="proof-generation"/>
    <w:p>
      <w:pPr>
        <w:pStyle w:val="Heading2"/>
      </w:pPr>
      <w:r>
        <w:t xml:space="preserve">Proof generation</w:t>
      </w:r>
    </w:p>
    <w:p>
      <w:pPr>
        <w:pStyle w:val="FirstParagraph"/>
      </w:pPr>
      <w:r>
        <w:t xml:space="preserve">After deployment and verified outcome/release evidence, create proof candidate, verify claim and consent, generate case study/release note/paper, founder approves, and hand approved artifact to Phase 4 campaign operations.</w:t>
      </w:r>
    </w:p>
    <w:bookmarkEnd w:id="49"/>
    <w:bookmarkEnd w:id="50"/>
    <w:bookmarkStart w:id="51" w:name="X7c6a837b7ab398ad39d56270a22000ab76226b6"/>
    <w:p>
      <w:pPr>
        <w:pStyle w:val="Heading1"/>
      </w:pPr>
      <w:r>
        <w:t xml:space="preserve">9. APIs and jobs</w:t>
      </w:r>
    </w:p>
    <w:p>
      <w:pPr>
        <w:pStyle w:val="FirstParagraph"/>
      </w:pPr>
      <w:r>
        <w:t xml:space="preserve">API families:</w:t>
      </w:r>
    </w:p>
    <w:p>
      <w:pPr>
        <w:pStyle w:val="Compact"/>
        <w:numPr>
          <w:ilvl w:val="0"/>
          <w:numId w:val="1007"/>
        </w:numPr>
      </w:pPr>
      <w:r>
        <w:rPr>
          <w:rStyle w:val="VerbatimChar"/>
        </w:rPr>
        <w:t xml:space="preserve">/api/fos/product-signals/*</w:t>
      </w:r>
    </w:p>
    <w:p>
      <w:pPr>
        <w:pStyle w:val="Compact"/>
        <w:numPr>
          <w:ilvl w:val="0"/>
          <w:numId w:val="1007"/>
        </w:numPr>
      </w:pPr>
      <w:r>
        <w:rPr>
          <w:rStyle w:val="VerbatimChar"/>
        </w:rPr>
        <w:t xml:space="preserve">/api/fos/signal-clusters/*</w:t>
      </w:r>
    </w:p>
    <w:p>
      <w:pPr>
        <w:pStyle w:val="Compact"/>
        <w:numPr>
          <w:ilvl w:val="0"/>
          <w:numId w:val="1007"/>
        </w:numPr>
      </w:pPr>
      <w:r>
        <w:rPr>
          <w:rStyle w:val="VerbatimChar"/>
        </w:rPr>
        <w:t xml:space="preserve">/api/fos/change-proposals/*</w:t>
      </w:r>
    </w:p>
    <w:p>
      <w:pPr>
        <w:pStyle w:val="Compact"/>
        <w:numPr>
          <w:ilvl w:val="0"/>
          <w:numId w:val="1007"/>
        </w:numPr>
      </w:pPr>
      <w:r>
        <w:rPr>
          <w:rStyle w:val="VerbatimChar"/>
        </w:rPr>
        <w:t xml:space="preserve">/api/fos/specifications/*</w:t>
      </w:r>
    </w:p>
    <w:p>
      <w:pPr>
        <w:pStyle w:val="Compact"/>
        <w:numPr>
          <w:ilvl w:val="0"/>
          <w:numId w:val="1007"/>
        </w:numPr>
      </w:pPr>
      <w:r>
        <w:rPr>
          <w:rStyle w:val="VerbatimChar"/>
        </w:rPr>
        <w:t xml:space="preserve">/api/fos/requirements/*</w:t>
      </w:r>
    </w:p>
    <w:p>
      <w:pPr>
        <w:pStyle w:val="Compact"/>
        <w:numPr>
          <w:ilvl w:val="0"/>
          <w:numId w:val="1007"/>
        </w:numPr>
      </w:pPr>
      <w:r>
        <w:rPr>
          <w:rStyle w:val="VerbatimChar"/>
        </w:rPr>
        <w:t xml:space="preserve">/api/fos/test-cases/*</w:t>
      </w:r>
    </w:p>
    <w:p>
      <w:pPr>
        <w:pStyle w:val="Compact"/>
        <w:numPr>
          <w:ilvl w:val="0"/>
          <w:numId w:val="1007"/>
        </w:numPr>
      </w:pPr>
      <w:r>
        <w:rPr>
          <w:rStyle w:val="VerbatimChar"/>
        </w:rPr>
        <w:t xml:space="preserve">/api/fos/test-runs/*</w:t>
      </w:r>
    </w:p>
    <w:p>
      <w:pPr>
        <w:pStyle w:val="Compact"/>
        <w:numPr>
          <w:ilvl w:val="0"/>
          <w:numId w:val="1007"/>
        </w:numPr>
      </w:pPr>
      <w:r>
        <w:rPr>
          <w:rStyle w:val="VerbatimChar"/>
        </w:rPr>
        <w:t xml:space="preserve">/api/fos/defects/*</w:t>
      </w:r>
    </w:p>
    <w:p>
      <w:pPr>
        <w:pStyle w:val="Compact"/>
        <w:numPr>
          <w:ilvl w:val="0"/>
          <w:numId w:val="1007"/>
        </w:numPr>
      </w:pPr>
      <w:r>
        <w:rPr>
          <w:rStyle w:val="VerbatimChar"/>
        </w:rPr>
        <w:t xml:space="preserve">/api/fos/release-candidates/*</w:t>
      </w:r>
    </w:p>
    <w:p>
      <w:pPr>
        <w:pStyle w:val="Compact"/>
        <w:numPr>
          <w:ilvl w:val="0"/>
          <w:numId w:val="1007"/>
        </w:numPr>
      </w:pPr>
      <w:r>
        <w:rPr>
          <w:rStyle w:val="VerbatimChar"/>
        </w:rPr>
        <w:t xml:space="preserve">/api/fos/proof-assets/*</w:t>
      </w:r>
    </w:p>
    <w:p>
      <w:pPr>
        <w:pStyle w:val="FirstParagraph"/>
      </w:pPr>
      <w:r>
        <w:t xml:space="preserve">Jobs:</w:t>
      </w:r>
    </w:p>
    <w:p>
      <w:pPr>
        <w:pStyle w:val="Compact"/>
        <w:numPr>
          <w:ilvl w:val="0"/>
          <w:numId w:val="1008"/>
        </w:numPr>
      </w:pPr>
      <w:r>
        <w:rPr>
          <w:rStyle w:val="VerbatimChar"/>
        </w:rPr>
        <w:t xml:space="preserve">cluster-product-signals</w:t>
      </w:r>
    </w:p>
    <w:p>
      <w:pPr>
        <w:pStyle w:val="Compact"/>
        <w:numPr>
          <w:ilvl w:val="0"/>
          <w:numId w:val="1008"/>
        </w:numPr>
      </w:pPr>
      <w:r>
        <w:rPr>
          <w:rStyle w:val="VerbatimChar"/>
        </w:rPr>
        <w:t xml:space="preserve">generate-change-proposal</w:t>
      </w:r>
    </w:p>
    <w:p>
      <w:pPr>
        <w:pStyle w:val="Compact"/>
        <w:numPr>
          <w:ilvl w:val="0"/>
          <w:numId w:val="1008"/>
        </w:numPr>
      </w:pPr>
      <w:r>
        <w:rPr>
          <w:rStyle w:val="VerbatimChar"/>
        </w:rPr>
        <w:t xml:space="preserve">generate-specification-artifact</w:t>
      </w:r>
    </w:p>
    <w:p>
      <w:pPr>
        <w:pStyle w:val="Compact"/>
        <w:numPr>
          <w:ilvl w:val="0"/>
          <w:numId w:val="1008"/>
        </w:numPr>
      </w:pPr>
      <w:r>
        <w:rPr>
          <w:rStyle w:val="VerbatimChar"/>
        </w:rPr>
        <w:t xml:space="preserve">generate-test-plan</w:t>
      </w:r>
    </w:p>
    <w:p>
      <w:pPr>
        <w:pStyle w:val="Compact"/>
        <w:numPr>
          <w:ilvl w:val="0"/>
          <w:numId w:val="1008"/>
        </w:numPr>
      </w:pPr>
      <w:r>
        <w:rPr>
          <w:rStyle w:val="VerbatimChar"/>
        </w:rPr>
        <w:t xml:space="preserve">run-regression-suite</w:t>
      </w:r>
    </w:p>
    <w:p>
      <w:pPr>
        <w:pStyle w:val="Compact"/>
        <w:numPr>
          <w:ilvl w:val="0"/>
          <w:numId w:val="1008"/>
        </w:numPr>
      </w:pPr>
      <w:r>
        <w:rPr>
          <w:rStyle w:val="VerbatimChar"/>
        </w:rPr>
        <w:t xml:space="preserve">run-memory-isolation-suite</w:t>
      </w:r>
    </w:p>
    <w:p>
      <w:pPr>
        <w:pStyle w:val="Compact"/>
        <w:numPr>
          <w:ilvl w:val="0"/>
          <w:numId w:val="1008"/>
        </w:numPr>
      </w:pPr>
      <w:r>
        <w:rPr>
          <w:rStyle w:val="VerbatimChar"/>
        </w:rPr>
        <w:t xml:space="preserve">run-prompt-injection-suite</w:t>
      </w:r>
    </w:p>
    <w:p>
      <w:pPr>
        <w:pStyle w:val="Compact"/>
        <w:numPr>
          <w:ilvl w:val="0"/>
          <w:numId w:val="1008"/>
        </w:numPr>
      </w:pPr>
      <w:r>
        <w:rPr>
          <w:rStyle w:val="VerbatimChar"/>
        </w:rPr>
        <w:t xml:space="preserve">investigate-regression</w:t>
      </w:r>
    </w:p>
    <w:p>
      <w:pPr>
        <w:pStyle w:val="Compact"/>
        <w:numPr>
          <w:ilvl w:val="0"/>
          <w:numId w:val="1008"/>
        </w:numPr>
      </w:pPr>
      <w:r>
        <w:rPr>
          <w:rStyle w:val="VerbatimChar"/>
        </w:rPr>
        <w:t xml:space="preserve">generate-release-readiness-report</w:t>
      </w:r>
    </w:p>
    <w:p>
      <w:pPr>
        <w:pStyle w:val="Compact"/>
        <w:numPr>
          <w:ilvl w:val="0"/>
          <w:numId w:val="1008"/>
        </w:numPr>
      </w:pPr>
      <w:r>
        <w:rPr>
          <w:rStyle w:val="VerbatimChar"/>
        </w:rPr>
        <w:t xml:space="preserve">analyze-release-claim-impact</w:t>
      </w:r>
    </w:p>
    <w:p>
      <w:pPr>
        <w:pStyle w:val="Compact"/>
        <w:numPr>
          <w:ilvl w:val="0"/>
          <w:numId w:val="1008"/>
        </w:numPr>
      </w:pPr>
      <w:r>
        <w:rPr>
          <w:rStyle w:val="VerbatimChar"/>
        </w:rPr>
        <w:t xml:space="preserve">generate-release-communications</w:t>
      </w:r>
    </w:p>
    <w:p>
      <w:pPr>
        <w:pStyle w:val="Compact"/>
        <w:numPr>
          <w:ilvl w:val="0"/>
          <w:numId w:val="1008"/>
        </w:numPr>
      </w:pPr>
      <w:r>
        <w:rPr>
          <w:rStyle w:val="VerbatimChar"/>
        </w:rPr>
        <w:t xml:space="preserve">generate-proof-asset</w:t>
      </w:r>
    </w:p>
    <w:bookmarkEnd w:id="51"/>
    <w:bookmarkStart w:id="52" w:name="Xb885e5e857d2c6213ce5133a1713563c328a112"/>
    <w:p>
      <w:pPr>
        <w:pStyle w:val="Heading1"/>
      </w:pPr>
      <w:r>
        <w:t xml:space="preserve">10. Deterministic gates</w:t>
      </w:r>
    </w:p>
    <w:p>
      <w:pPr>
        <w:pStyle w:val="Compact"/>
        <w:numPr>
          <w:ilvl w:val="0"/>
          <w:numId w:val="1009"/>
        </w:numPr>
      </w:pPr>
      <w:r>
        <w:t xml:space="preserve">Approved requirements must link to tests before release-ready status.</w:t>
      </w:r>
    </w:p>
    <w:p>
      <w:pPr>
        <w:pStyle w:val="Compact"/>
        <w:numPr>
          <w:ilvl w:val="0"/>
          <w:numId w:val="1009"/>
        </w:numPr>
      </w:pPr>
      <w:r>
        <w:t xml:space="preserve">Critical security, privacy, memory, or approval failures block release.</w:t>
      </w:r>
    </w:p>
    <w:p>
      <w:pPr>
        <w:pStyle w:val="Compact"/>
        <w:numPr>
          <w:ilvl w:val="0"/>
          <w:numId w:val="1009"/>
        </w:numPr>
      </w:pPr>
      <w:r>
        <w:t xml:space="preserve">Agents cannot mark tests accepted or waive blockers.</w:t>
      </w:r>
    </w:p>
    <w:p>
      <w:pPr>
        <w:pStyle w:val="Compact"/>
        <w:numPr>
          <w:ilvl w:val="0"/>
          <w:numId w:val="1009"/>
        </w:numPr>
      </w:pPr>
      <w:r>
        <w:t xml:space="preserve">Deployment is a separate founder-controlled action.</w:t>
      </w:r>
    </w:p>
    <w:p>
      <w:pPr>
        <w:pStyle w:val="Compact"/>
        <w:numPr>
          <w:ilvl w:val="0"/>
          <w:numId w:val="1009"/>
        </w:numPr>
      </w:pPr>
      <w:r>
        <w:t xml:space="preserve">Release changes invalidate or revalidate affected claims.</w:t>
      </w:r>
    </w:p>
    <w:p>
      <w:pPr>
        <w:pStyle w:val="Compact"/>
        <w:numPr>
          <w:ilvl w:val="0"/>
          <w:numId w:val="1009"/>
        </w:numPr>
      </w:pPr>
      <w:r>
        <w:t xml:space="preserve">Customer proof requires source verification and consent.</w:t>
      </w:r>
    </w:p>
    <w:p>
      <w:pPr>
        <w:pStyle w:val="Compact"/>
        <w:numPr>
          <w:ilvl w:val="0"/>
          <w:numId w:val="1009"/>
        </w:numPr>
      </w:pPr>
      <w:r>
        <w:t xml:space="preserve">Notion may edit narrative artifacts, not test results or release gates.</w:t>
      </w:r>
    </w:p>
    <w:bookmarkEnd w:id="52"/>
    <w:bookmarkStart w:id="53" w:name="Xde9003b03cff7c646c6997073c1fc344970566b"/>
    <w:p>
      <w:pPr>
        <w:pStyle w:val="Heading1"/>
      </w:pPr>
      <w:r>
        <w:t xml:space="preserve">11. Tests</w:t>
      </w:r>
    </w:p>
    <w:p>
      <w:pPr>
        <w:pStyle w:val="FirstParagraph"/>
      </w:pPr>
      <w:r>
        <w:t xml:space="preserve">Unit tests cover cluster scoring, requirement/test links, release-gate rules, claim impact, proof eligibility, artifact versioning, and workspace conflicts.</w:t>
      </w:r>
    </w:p>
    <w:p>
      <w:pPr>
        <w:pStyle w:val="BodyText"/>
      </w:pPr>
      <w:r>
        <w:t xml:space="preserve">Integration tests cover support signal to defect, approved problem to specification, test failure to defect, release block, claim invalidation, and consent block.</w:t>
      </w:r>
    </w:p>
    <w:p>
      <w:pPr>
        <w:pStyle w:val="BodyText"/>
      </w:pPr>
      <w:r>
        <w:t xml:space="preserve">End-to-end tests cover signal to release, prompt injection, cross-user memory isolation, founder-edited specification, release note generation, and case-study approval.</w:t>
      </w:r>
    </w:p>
    <w:bookmarkEnd w:id="53"/>
    <w:bookmarkStart w:id="54" w:name="X06a5456e709483c6fe1ce0edaab2a59fc506afd"/>
    <w:p>
      <w:pPr>
        <w:pStyle w:val="Heading1"/>
      </w:pPr>
      <w:r>
        <w:t xml:space="preserve">12. Work packages</w:t>
      </w:r>
    </w:p>
    <w:tbl>
      <w:tblPr>
        <w:tblStyle w:val="TableGrid"/>
        <w:tblW w:type="auto" w:w="0"/>
        <w:jc w:val="center"/>
        <w:tblLook w:firstRow="1" w:lastRow="0" w:firstColumn="0" w:lastColumn="0" w:noHBand="0" w:noVBand="0" w:val="0020"/>
      </w:tblPr>
      <w:tblGrid>
        <w:gridCol w:w="3960"/>
        <w:gridCol w:w="3960"/>
      </w:tblGrid>
      <w:tr>
        <w:trPr>
          <w:tblHeader w:val="on"/>
          <w:tblHeader w:val="true"/>
        </w:trPr>
        <w:tc>
          <w:tcPr>
            <w:vAlign w:val="center"/>
            <w:shd w:fill="E8EEF5"/>
          </w:tcPr>
          <w:p>
            <w:pPr>
              <w:pStyle w:val="Compact"/>
              <w:jc w:val="left"/>
            </w:pPr>
            <w:r>
              <w:rPr>
                <w:b/>
                <w:color w:val="10213A"/>
                <w:sz w:val="16"/>
              </w:rPr>
              <w:t xml:space="preserve">Package</w:t>
            </w:r>
          </w:p>
        </w:tc>
        <w:tc>
          <w:tcPr>
            <w:vAlign w:val="center"/>
            <w:shd w:fill="E8EEF5"/>
          </w:tcPr>
          <w:p>
            <w:pPr>
              <w:pStyle w:val="Compact"/>
              <w:jc w:val="left"/>
            </w:pPr>
            <w:r>
              <w:rPr>
                <w:b/>
                <w:color w:val="10213A"/>
                <w:sz w:val="16"/>
              </w:rPr>
              <w:t xml:space="preserve">Deliverable</w:t>
            </w:r>
          </w:p>
        </w:tc>
      </w:tr>
      <w:tr>
        <w:tc>
          <w:tcPr/>
          <w:p>
            <w:pPr>
              <w:pStyle w:val="Compact"/>
              <w:jc w:val="left"/>
            </w:pPr>
            <w:r>
              <w:rPr>
                <w:sz w:val="16"/>
              </w:rPr>
              <w:t xml:space="preserve">WP3.0</w:t>
            </w:r>
          </w:p>
        </w:tc>
        <w:tc>
          <w:tcPr/>
          <w:p>
            <w:pPr>
              <w:pStyle w:val="Compact"/>
              <w:jc w:val="left"/>
            </w:pPr>
            <w:r>
              <w:rPr>
                <w:sz w:val="16"/>
              </w:rPr>
              <w:t xml:space="preserve">Phase 2 signal and outcome handoff</w:t>
            </w:r>
          </w:p>
        </w:tc>
      </w:tr>
      <w:tr>
        <w:tc>
          <w:tcPr/>
          <w:p>
            <w:pPr>
              <w:pStyle w:val="Compact"/>
              <w:jc w:val="left"/>
            </w:pPr>
            <w:r>
              <w:rPr>
                <w:sz w:val="16"/>
              </w:rPr>
              <w:t xml:space="preserve">WP3.1</w:t>
            </w:r>
          </w:p>
        </w:tc>
        <w:tc>
          <w:tcPr/>
          <w:p>
            <w:pPr>
              <w:pStyle w:val="Compact"/>
              <w:jc w:val="left"/>
            </w:pPr>
            <w:r>
              <w:rPr>
                <w:sz w:val="16"/>
              </w:rPr>
              <w:t xml:space="preserve">Signal and cluster registry</w:t>
            </w:r>
          </w:p>
        </w:tc>
      </w:tr>
      <w:tr>
        <w:tc>
          <w:tcPr/>
          <w:p>
            <w:pPr>
              <w:pStyle w:val="Compact"/>
              <w:jc w:val="left"/>
            </w:pPr>
            <w:r>
              <w:rPr>
                <w:sz w:val="16"/>
              </w:rPr>
              <w:t xml:space="preserve">WP3.2</w:t>
            </w:r>
          </w:p>
        </w:tc>
        <w:tc>
          <w:tcPr/>
          <w:p>
            <w:pPr>
              <w:pStyle w:val="Compact"/>
              <w:jc w:val="left"/>
            </w:pPr>
            <w:r>
              <w:rPr>
                <w:sz w:val="16"/>
              </w:rPr>
              <w:t xml:space="preserve">Change proposals and decisions</w:t>
            </w:r>
          </w:p>
        </w:tc>
      </w:tr>
      <w:tr>
        <w:tc>
          <w:tcPr/>
          <w:p>
            <w:pPr>
              <w:pStyle w:val="Compact"/>
              <w:jc w:val="left"/>
            </w:pPr>
            <w:r>
              <w:rPr>
                <w:sz w:val="16"/>
              </w:rPr>
              <w:t xml:space="preserve">WP3.3</w:t>
            </w:r>
          </w:p>
        </w:tc>
        <w:tc>
          <w:tcPr/>
          <w:p>
            <w:pPr>
              <w:pStyle w:val="Compact"/>
              <w:jc w:val="left"/>
            </w:pPr>
            <w:r>
              <w:rPr>
                <w:sz w:val="16"/>
              </w:rPr>
              <w:t xml:space="preserve">Specification artifacts and canonical requirements</w:t>
            </w:r>
          </w:p>
        </w:tc>
      </w:tr>
      <w:tr>
        <w:tc>
          <w:tcPr/>
          <w:p>
            <w:pPr>
              <w:pStyle w:val="Compact"/>
              <w:jc w:val="left"/>
            </w:pPr>
            <w:r>
              <w:rPr>
                <w:sz w:val="16"/>
              </w:rPr>
              <w:t xml:space="preserve">WP3.4</w:t>
            </w:r>
          </w:p>
        </w:tc>
        <w:tc>
          <w:tcPr/>
          <w:p>
            <w:pPr>
              <w:pStyle w:val="Compact"/>
              <w:jc w:val="left"/>
            </w:pPr>
            <w:r>
              <w:rPr>
                <w:sz w:val="16"/>
              </w:rPr>
              <w:t xml:space="preserve">Synthetic personas and test registry</w:t>
            </w:r>
          </w:p>
        </w:tc>
      </w:tr>
      <w:tr>
        <w:tc>
          <w:tcPr/>
          <w:p>
            <w:pPr>
              <w:pStyle w:val="Compact"/>
              <w:jc w:val="left"/>
            </w:pPr>
            <w:r>
              <w:rPr>
                <w:sz w:val="16"/>
              </w:rPr>
              <w:t xml:space="preserve">WP3.5</w:t>
            </w:r>
          </w:p>
        </w:tc>
        <w:tc>
          <w:tcPr/>
          <w:p>
            <w:pPr>
              <w:pStyle w:val="Compact"/>
              <w:jc w:val="left"/>
            </w:pPr>
            <w:r>
              <w:rPr>
                <w:sz w:val="16"/>
              </w:rPr>
              <w:t xml:space="preserve">Test execution and evidence</w:t>
            </w:r>
          </w:p>
        </w:tc>
      </w:tr>
      <w:tr>
        <w:tc>
          <w:tcPr/>
          <w:p>
            <w:pPr>
              <w:pStyle w:val="Compact"/>
              <w:jc w:val="left"/>
            </w:pPr>
            <w:r>
              <w:rPr>
                <w:sz w:val="16"/>
              </w:rPr>
              <w:t xml:space="preserve">WP3.6</w:t>
            </w:r>
          </w:p>
        </w:tc>
        <w:tc>
          <w:tcPr/>
          <w:p>
            <w:pPr>
              <w:pStyle w:val="Compact"/>
              <w:jc w:val="left"/>
            </w:pPr>
            <w:r>
              <w:rPr>
                <w:sz w:val="16"/>
              </w:rPr>
              <w:t xml:space="preserve">Security, memory, and injection suites</w:t>
            </w:r>
          </w:p>
        </w:tc>
      </w:tr>
      <w:tr>
        <w:tc>
          <w:tcPr/>
          <w:p>
            <w:pPr>
              <w:pStyle w:val="Compact"/>
              <w:jc w:val="left"/>
            </w:pPr>
            <w:r>
              <w:rPr>
                <w:sz w:val="16"/>
              </w:rPr>
              <w:t xml:space="preserve">WP3.7</w:t>
            </w:r>
          </w:p>
        </w:tc>
        <w:tc>
          <w:tcPr/>
          <w:p>
            <w:pPr>
              <w:pStyle w:val="Compact"/>
              <w:jc w:val="left"/>
            </w:pPr>
            <w:r>
              <w:rPr>
                <w:sz w:val="16"/>
              </w:rPr>
              <w:t xml:space="preserve">Defects and regression investigation</w:t>
            </w:r>
          </w:p>
        </w:tc>
      </w:tr>
      <w:tr>
        <w:tc>
          <w:tcPr/>
          <w:p>
            <w:pPr>
              <w:pStyle w:val="Compact"/>
              <w:jc w:val="left"/>
            </w:pPr>
            <w:r>
              <w:rPr>
                <w:sz w:val="16"/>
              </w:rPr>
              <w:t xml:space="preserve">WP3.8</w:t>
            </w:r>
          </w:p>
        </w:tc>
        <w:tc>
          <w:tcPr/>
          <w:p>
            <w:pPr>
              <w:pStyle w:val="Compact"/>
              <w:jc w:val="left"/>
            </w:pPr>
            <w:r>
              <w:rPr>
                <w:sz w:val="16"/>
              </w:rPr>
              <w:t xml:space="preserve">Release candidates and readiness</w:t>
            </w:r>
          </w:p>
        </w:tc>
      </w:tr>
      <w:tr>
        <w:tc>
          <w:tcPr/>
          <w:p>
            <w:pPr>
              <w:pStyle w:val="Compact"/>
              <w:jc w:val="left"/>
            </w:pPr>
            <w:r>
              <w:rPr>
                <w:sz w:val="16"/>
              </w:rPr>
              <w:t xml:space="preserve">WP3.9</w:t>
            </w:r>
          </w:p>
        </w:tc>
        <w:tc>
          <w:tcPr/>
          <w:p>
            <w:pPr>
              <w:pStyle w:val="Compact"/>
              <w:jc w:val="left"/>
            </w:pPr>
            <w:r>
              <w:rPr>
                <w:sz w:val="16"/>
              </w:rPr>
              <w:t xml:space="preserve">Claim impact and revalidation</w:t>
            </w:r>
          </w:p>
        </w:tc>
      </w:tr>
      <w:tr>
        <w:tc>
          <w:tcPr/>
          <w:p>
            <w:pPr>
              <w:pStyle w:val="Compact"/>
              <w:jc w:val="left"/>
            </w:pPr>
            <w:r>
              <w:rPr>
                <w:sz w:val="16"/>
              </w:rPr>
              <w:t xml:space="preserve">WP3.10</w:t>
            </w:r>
          </w:p>
        </w:tc>
        <w:tc>
          <w:tcPr/>
          <w:p>
            <w:pPr>
              <w:pStyle w:val="Compact"/>
              <w:jc w:val="left"/>
            </w:pPr>
            <w:r>
              <w:rPr>
                <w:sz w:val="16"/>
              </w:rPr>
              <w:t xml:space="preserve">Release communications and customer proof</w:t>
            </w:r>
          </w:p>
        </w:tc>
      </w:tr>
      <w:tr>
        <w:tc>
          <w:tcPr/>
          <w:p>
            <w:pPr>
              <w:pStyle w:val="Compact"/>
              <w:jc w:val="left"/>
            </w:pPr>
            <w:r>
              <w:rPr>
                <w:sz w:val="16"/>
              </w:rPr>
              <w:t xml:space="preserve">WP3.11</w:t>
            </w:r>
          </w:p>
        </w:tc>
        <w:tc>
          <w:tcPr/>
          <w:p>
            <w:pPr>
              <w:pStyle w:val="Compact"/>
              <w:jc w:val="left"/>
            </w:pPr>
            <w:r>
              <w:rPr>
                <w:sz w:val="16"/>
              </w:rPr>
              <w:t xml:space="preserve">Product/QA/Release Notion workspaces</w:t>
            </w:r>
          </w:p>
        </w:tc>
      </w:tr>
    </w:tbl>
    <w:bookmarkEnd w:id="54"/>
    <w:bookmarkStart w:id="55" w:name="Xf29fdcd8c7ac6f12c159ba46cffb9c730748847"/>
    <w:p>
      <w:pPr>
        <w:pStyle w:val="Heading1"/>
      </w:pPr>
      <w:r>
        <w:t xml:space="preserve">13. Definition of done</w:t>
      </w:r>
    </w:p>
    <w:p>
      <w:pPr>
        <w:pStyle w:val="Compact"/>
        <w:numPr>
          <w:ilvl w:val="0"/>
          <w:numId w:val="1010"/>
        </w:numPr>
      </w:pPr>
      <w:r>
        <w:t xml:space="preserve">Product decisions are traceable to beta evidence.</w:t>
      </w:r>
    </w:p>
    <w:p>
      <w:pPr>
        <w:pStyle w:val="Compact"/>
        <w:numPr>
          <w:ilvl w:val="0"/>
          <w:numId w:val="1010"/>
        </w:numPr>
      </w:pPr>
      <w:r>
        <w:t xml:space="preserve">Specification prose is versioned while requirements/tests remain canonical.</w:t>
      </w:r>
    </w:p>
    <w:p>
      <w:pPr>
        <w:pStyle w:val="Compact"/>
        <w:numPr>
          <w:ilvl w:val="0"/>
          <w:numId w:val="1010"/>
        </w:numPr>
      </w:pPr>
      <w:r>
        <w:t xml:space="preserve">Critical journeys and security boundaries are tested.</w:t>
      </w:r>
    </w:p>
    <w:p>
      <w:pPr>
        <w:pStyle w:val="Compact"/>
        <w:numPr>
          <w:ilvl w:val="0"/>
          <w:numId w:val="1010"/>
        </w:numPr>
      </w:pPr>
      <w:r>
        <w:t xml:space="preserve">Agents cannot waive release gates or deploy.</w:t>
      </w:r>
    </w:p>
    <w:p>
      <w:pPr>
        <w:pStyle w:val="Compact"/>
        <w:numPr>
          <w:ilvl w:val="0"/>
          <w:numId w:val="1010"/>
        </w:numPr>
      </w:pPr>
      <w:r>
        <w:t xml:space="preserve">Release changes revalidate claims.</w:t>
      </w:r>
    </w:p>
    <w:p>
      <w:pPr>
        <w:pStyle w:val="Compact"/>
        <w:numPr>
          <w:ilvl w:val="0"/>
          <w:numId w:val="1010"/>
        </w:numPr>
      </w:pPr>
      <w:r>
        <w:t xml:space="preserve">Approved proof assets are evidence- and consent-backed.</w:t>
      </w:r>
    </w:p>
    <w:bookmarkEnd w:id="55"/>
    <w:bookmarkStart w:id="60" w:name="shared-architectural-invariants"/>
    <w:p>
      <w:pPr>
        <w:pStyle w:val="Heading1"/>
      </w:pPr>
      <w:r>
        <w:t xml:space="preserve">Shared architectural invariants</w:t>
      </w:r>
    </w:p>
    <w:p>
      <w:pPr>
        <w:pStyle w:val="FirstParagraph"/>
      </w:pPr>
      <w:r>
        <w:t xml:space="preserve">The following rules are inherited from revised Phase 0 and are non-negotiable for this phase:</w:t>
      </w:r>
    </w:p>
    <w:p>
      <w:pPr>
        <w:pStyle w:val="Compact"/>
        <w:numPr>
          <w:ilvl w:val="0"/>
          <w:numId w:val="1011"/>
        </w:numPr>
      </w:pPr>
      <w:r>
        <w:rPr>
          <w:b/>
          <w:bCs/>
        </w:rPr>
        <w:t xml:space="preserve">FOS owns canonical state and intelligence.</w:t>
      </w:r>
      <w:r>
        <w:t xml:space="preserve"> </w:t>
      </w:r>
      <w:r>
        <w:t xml:space="preserve">Notion is a founder-facing working environment and projection surface.</w:t>
      </w:r>
    </w:p>
    <w:p>
      <w:pPr>
        <w:pStyle w:val="Compact"/>
        <w:numPr>
          <w:ilvl w:val="0"/>
          <w:numId w:val="1011"/>
        </w:numPr>
      </w:pPr>
      <w:r>
        <w:rPr>
          <w:b/>
          <w:bCs/>
        </w:rPr>
        <w:t xml:space="preserve">External workspace changes are commands, not direct mutations.</w:t>
      </w:r>
      <w:r>
        <w:t xml:space="preserve"> </w:t>
      </w:r>
      <w:r>
        <w:t xml:space="preserve">A Notion status change or button creates a validated</w:t>
      </w:r>
      <w:r>
        <w:t xml:space="preserve"> </w:t>
      </w:r>
      <w:r>
        <w:rPr>
          <w:rStyle w:val="VerbatimChar"/>
        </w:rPr>
        <w:t xml:space="preserve">WorkspaceCommand</w:t>
      </w:r>
      <w:r>
        <w:t xml:space="preserve">.</w:t>
      </w:r>
    </w:p>
    <w:p>
      <w:pPr>
        <w:pStyle w:val="Compact"/>
        <w:numPr>
          <w:ilvl w:val="0"/>
          <w:numId w:val="1011"/>
        </w:numPr>
      </w:pPr>
      <w:r>
        <w:rPr>
          <w:b/>
          <w:bCs/>
        </w:rPr>
        <w:t xml:space="preserve">Artifacts are generic and versioned.</w:t>
      </w:r>
      <w:r>
        <w:t xml:space="preserve"> </w:t>
      </w:r>
      <w:r>
        <w:t xml:space="preserve">Enrollment messages, specifications, LinkedIn posts, Substack papers, reports, and reviews use</w:t>
      </w:r>
      <w:r>
        <w:t xml:space="preserve"> </w:t>
      </w:r>
      <w:r>
        <w:rPr>
          <w:rStyle w:val="VerbatimChar"/>
        </w:rPr>
        <w:t xml:space="preserve">ArtifactRecord</w:t>
      </w:r>
      <w:r>
        <w:t xml:space="preserve"> </w:t>
      </w:r>
      <w:r>
        <w:t xml:space="preserve">and</w:t>
      </w:r>
      <w:r>
        <w:t xml:space="preserve"> </w:t>
      </w:r>
      <w:r>
        <w:rPr>
          <w:rStyle w:val="VerbatimChar"/>
        </w:rPr>
        <w:t xml:space="preserve">ArtifactVersion</w:t>
      </w:r>
      <w:r>
        <w:t xml:space="preserve">.</w:t>
      </w:r>
    </w:p>
    <w:p>
      <w:pPr>
        <w:pStyle w:val="Compact"/>
        <w:numPr>
          <w:ilvl w:val="0"/>
          <w:numId w:val="1011"/>
        </w:numPr>
      </w:pPr>
      <w:r>
        <w:rPr>
          <w:b/>
          <w:bCs/>
        </w:rPr>
        <w:t xml:space="preserve">Approvals are interface-independent.</w:t>
      </w:r>
      <w:r>
        <w:t xml:space="preserve"> </w:t>
      </w:r>
      <w:r>
        <w:t xml:space="preserve">Approval state is canonical and may be requested from Notion, a native interface, or an API.</w:t>
      </w:r>
    </w:p>
    <w:p>
      <w:pPr>
        <w:pStyle w:val="Compact"/>
        <w:numPr>
          <w:ilvl w:val="0"/>
          <w:numId w:val="1011"/>
        </w:numPr>
      </w:pPr>
      <w:r>
        <w:rPr>
          <w:b/>
          <w:bCs/>
        </w:rPr>
        <w:t xml:space="preserve">Evidence, claims, consent, and product availability are deterministic gates.</w:t>
      </w:r>
      <w:r>
        <w:t xml:space="preserve"> </w:t>
      </w:r>
      <w:r>
        <w:t xml:space="preserve">Models may recommend; they may not waive these controls.</w:t>
      </w:r>
    </w:p>
    <w:p>
      <w:pPr>
        <w:pStyle w:val="Compact"/>
        <w:numPr>
          <w:ilvl w:val="0"/>
          <w:numId w:val="1011"/>
        </w:numPr>
      </w:pPr>
      <w:r>
        <w:rPr>
          <w:b/>
          <w:bCs/>
        </w:rPr>
        <w:t xml:space="preserve">Every projection has an ownership policy.</w:t>
      </w:r>
      <w:r>
        <w:t xml:space="preserve"> </w:t>
      </w:r>
      <w:r>
        <w:t xml:space="preserve">Fields are</w:t>
      </w:r>
      <w:r>
        <w:t xml:space="preserve"> </w:t>
      </w:r>
      <w:r>
        <w:rPr>
          <w:rStyle w:val="VerbatimChar"/>
        </w:rPr>
        <w:t xml:space="preserve">canonical_read_only</w:t>
      </w:r>
      <w:r>
        <w:t xml:space="preserve">,</w:t>
      </w:r>
      <w:r>
        <w:t xml:space="preserve"> </w:t>
      </w:r>
      <w:r>
        <w:rPr>
          <w:rStyle w:val="VerbatimChar"/>
        </w:rPr>
        <w:t xml:space="preserve">working_copy_editable</w:t>
      </w:r>
      <w:r>
        <w:t xml:space="preserve">,</w:t>
      </w:r>
      <w:r>
        <w:t xml:space="preserve"> </w:t>
      </w:r>
      <w:r>
        <w:rPr>
          <w:rStyle w:val="VerbatimChar"/>
        </w:rPr>
        <w:t xml:space="preserve">controlled_command</w:t>
      </w:r>
      <w:r>
        <w:t xml:space="preserve">, or</w:t>
      </w:r>
      <w:r>
        <w:t xml:space="preserve"> </w:t>
      </w:r>
      <w:r>
        <w:rPr>
          <w:rStyle w:val="VerbatimChar"/>
        </w:rPr>
        <w:t xml:space="preserve">not_projectable</w:t>
      </w:r>
      <w:r>
        <w:t xml:space="preserve">.</w:t>
      </w:r>
    </w:p>
    <w:p>
      <w:pPr>
        <w:pStyle w:val="Compact"/>
        <w:numPr>
          <w:ilvl w:val="0"/>
          <w:numId w:val="1011"/>
        </w:numPr>
      </w:pPr>
      <w:r>
        <w:rPr>
          <w:b/>
          <w:bCs/>
        </w:rPr>
        <w:t xml:space="preserve">Raw events are immutable.</w:t>
      </w:r>
      <w:r>
        <w:t xml:space="preserve"> </w:t>
      </w:r>
      <w:r>
        <w:t xml:space="preserve">Derived summaries may be superseded but not silently overwrite source history.</w:t>
      </w:r>
    </w:p>
    <w:p>
      <w:pPr>
        <w:pStyle w:val="Compact"/>
        <w:numPr>
          <w:ilvl w:val="0"/>
          <w:numId w:val="1011"/>
        </w:numPr>
      </w:pPr>
      <w:r>
        <w:rPr>
          <w:b/>
          <w:bCs/>
        </w:rPr>
        <w:t xml:space="preserve">Every agent is bounded.</w:t>
      </w:r>
      <w:r>
        <w:t xml:space="preserve"> </w:t>
      </w:r>
      <w:r>
        <w:t xml:space="preserve">Each agent has a versioned objective, input schema, output schema, permitted tools, permitted memory scopes, evaluation policy, and autonomy ceiling.</w:t>
      </w:r>
    </w:p>
    <w:p>
      <w:pPr>
        <w:pStyle w:val="Compact"/>
        <w:numPr>
          <w:ilvl w:val="0"/>
          <w:numId w:val="1011"/>
        </w:numPr>
      </w:pPr>
      <w:r>
        <w:rPr>
          <w:b/>
          <w:bCs/>
        </w:rPr>
        <w:t xml:space="preserve">No autonomous publishing, sending, pricing change, contractual commitment, or production deployment</w:t>
      </w:r>
      <w:r>
        <w:t xml:space="preserve"> </w:t>
      </w:r>
      <w:r>
        <w:t xml:space="preserve">is permitted unless a later founder-approved governance decision explicitly changes the rule.</w:t>
      </w:r>
    </w:p>
    <w:p>
      <w:pPr>
        <w:pStyle w:val="Compact"/>
        <w:numPr>
          <w:ilvl w:val="0"/>
          <w:numId w:val="1011"/>
        </w:numPr>
      </w:pPr>
      <w:r>
        <w:rPr>
          <w:b/>
          <w:bCs/>
        </w:rPr>
        <w:t xml:space="preserve">FOS must remain operational if Notion or another workspace provider is unavailable.</w:t>
      </w:r>
    </w:p>
    <w:bookmarkStart w:id="59" w:name="founder-workspace-integration-contract"/>
    <w:p>
      <w:pPr>
        <w:pStyle w:val="Heading2"/>
      </w:pPr>
      <w:r>
        <w:t xml:space="preserve">Founder Workspace integration contract</w:t>
      </w:r>
    </w:p>
    <w:p>
      <w:pPr>
        <w:pStyle w:val="FirstParagraph"/>
      </w:pPr>
      <w:r>
        <w:t xml:space="preserve">All founder-facing work for this phase must use the Phase 0 workspace adapter.</w:t>
      </w:r>
    </w:p>
    <w:bookmarkStart w:id="56" w:name="projection-pattern"/>
    <w:p>
      <w:pPr>
        <w:pStyle w:val="Heading3"/>
      </w:pPr>
      <w:r>
        <w:t xml:space="preserve">Projection pattern</w:t>
      </w:r>
    </w:p>
    <w:p>
      <w:pPr>
        <w:pStyle w:val="SourceCode"/>
      </w:pPr>
      <w:r>
        <w:rPr>
          <w:rStyle w:val="VerbatimChar"/>
        </w:rPr>
        <w:t xml:space="preserve">Canonical record or artifact created</w:t>
      </w:r>
      <w:r>
        <w:br/>
      </w:r>
      <w:r>
        <w:rPr>
          <w:rStyle w:val="VerbatimChar"/>
        </w:rPr>
        <w:t xml:space="preserve">        -&gt; operational event emitted</w:t>
      </w:r>
      <w:r>
        <w:br/>
      </w:r>
      <w:r>
        <w:rPr>
          <w:rStyle w:val="VerbatimChar"/>
        </w:rPr>
        <w:t xml:space="preserve">        -&gt; projection policy evaluated</w:t>
      </w:r>
      <w:r>
        <w:br/>
      </w:r>
      <w:r>
        <w:rPr>
          <w:rStyle w:val="VerbatimChar"/>
        </w:rPr>
        <w:t xml:space="preserve">        -&gt; safe working copy created or updated in Notion</w:t>
      </w:r>
      <w:r>
        <w:br/>
      </w:r>
      <w:r>
        <w:rPr>
          <w:rStyle w:val="VerbatimChar"/>
        </w:rPr>
        <w:t xml:space="preserve">        -&gt; canonical ID and version stored on the provider page</w:t>
      </w:r>
      <w:r>
        <w:br/>
      </w:r>
      <w:r>
        <w:rPr>
          <w:rStyle w:val="VerbatimChar"/>
        </w:rPr>
        <w:t xml:space="preserve">        -&gt; founder edits or commands captured</w:t>
      </w:r>
      <w:r>
        <w:br/>
      </w:r>
      <w:r>
        <w:rPr>
          <w:rStyle w:val="VerbatimChar"/>
        </w:rPr>
        <w:t xml:space="preserve">        -&gt; FOS validates and executes canonical change</w:t>
      </w:r>
      <w:r>
        <w:br/>
      </w:r>
      <w:r>
        <w:rPr>
          <w:rStyle w:val="VerbatimChar"/>
        </w:rPr>
        <w:t xml:space="preserve">        -&gt; projection is reconciled</w:t>
      </w:r>
    </w:p>
    <w:bookmarkEnd w:id="56"/>
    <w:bookmarkStart w:id="57" w:name="required-hidden-projection-properties"/>
    <w:p>
      <w:pPr>
        <w:pStyle w:val="Heading3"/>
      </w:pPr>
      <w:r>
        <w:t xml:space="preserve">Required hidden projection properties</w:t>
      </w:r>
    </w:p>
    <w:p>
      <w:pPr>
        <w:pStyle w:val="Compact"/>
        <w:numPr>
          <w:ilvl w:val="0"/>
          <w:numId w:val="1012"/>
        </w:numPr>
      </w:pPr>
      <w:r>
        <w:rPr>
          <w:rStyle w:val="VerbatimChar"/>
        </w:rPr>
        <w:t xml:space="preserve">FOS Record ID</w:t>
      </w:r>
    </w:p>
    <w:p>
      <w:pPr>
        <w:pStyle w:val="Compact"/>
        <w:numPr>
          <w:ilvl w:val="0"/>
          <w:numId w:val="1012"/>
        </w:numPr>
      </w:pPr>
      <w:r>
        <w:rPr>
          <w:rStyle w:val="VerbatimChar"/>
        </w:rPr>
        <w:t xml:space="preserve">FOS Entity Type</w:t>
      </w:r>
    </w:p>
    <w:p>
      <w:pPr>
        <w:pStyle w:val="Compact"/>
        <w:numPr>
          <w:ilvl w:val="0"/>
          <w:numId w:val="1012"/>
        </w:numPr>
      </w:pPr>
      <w:r>
        <w:rPr>
          <w:rStyle w:val="VerbatimChar"/>
        </w:rPr>
        <w:t xml:space="preserve">FOS Version</w:t>
      </w:r>
    </w:p>
    <w:p>
      <w:pPr>
        <w:pStyle w:val="Compact"/>
        <w:numPr>
          <w:ilvl w:val="0"/>
          <w:numId w:val="1012"/>
        </w:numPr>
      </w:pPr>
      <w:r>
        <w:rPr>
          <w:rStyle w:val="VerbatimChar"/>
        </w:rPr>
        <w:t xml:space="preserve">FOS Workspace ID</w:t>
      </w:r>
    </w:p>
    <w:p>
      <w:pPr>
        <w:pStyle w:val="Compact"/>
        <w:numPr>
          <w:ilvl w:val="0"/>
          <w:numId w:val="1012"/>
        </w:numPr>
      </w:pPr>
      <w:r>
        <w:rPr>
          <w:rStyle w:val="VerbatimChar"/>
        </w:rPr>
        <w:t xml:space="preserve">Projection Status</w:t>
      </w:r>
    </w:p>
    <w:p>
      <w:pPr>
        <w:pStyle w:val="Compact"/>
        <w:numPr>
          <w:ilvl w:val="0"/>
          <w:numId w:val="1012"/>
        </w:numPr>
      </w:pPr>
      <w:r>
        <w:rPr>
          <w:rStyle w:val="VerbatimChar"/>
        </w:rPr>
        <w:t xml:space="preserve">Last Synced At</w:t>
      </w:r>
    </w:p>
    <w:bookmarkEnd w:id="57"/>
    <w:bookmarkStart w:id="58" w:name="conflict-rule"/>
    <w:p>
      <w:pPr>
        <w:pStyle w:val="Heading3"/>
      </w:pPr>
      <w:r>
        <w:t xml:space="preserve">Conflict rule</w:t>
      </w:r>
    </w:p>
    <w:p>
      <w:pPr>
        <w:pStyle w:val="FirstParagraph"/>
      </w:pPr>
      <w:r>
        <w:t xml:space="preserve">A controlled command may execute only when the provider's</w:t>
      </w:r>
      <w:r>
        <w:t xml:space="preserve"> </w:t>
      </w:r>
      <w:r>
        <w:rPr>
          <w:rStyle w:val="VerbatimChar"/>
        </w:rPr>
        <w:t xml:space="preserve">FOS Version</w:t>
      </w:r>
      <w:r>
        <w:t xml:space="preserve"> </w:t>
      </w:r>
      <w:r>
        <w:t xml:space="preserve">matches the current canonical version. Otherwise the command is placed in</w:t>
      </w:r>
      <w:r>
        <w:t xml:space="preserve"> </w:t>
      </w:r>
      <w:r>
        <w:rPr>
          <w:rStyle w:val="VerbatimChar"/>
        </w:rPr>
        <w:t xml:space="preserve">conflict</w:t>
      </w:r>
      <w:r>
        <w:t xml:space="preserve"> </w:t>
      </w:r>
      <w:r>
        <w:t xml:space="preserve">status and the founder receives a reconciliation item.</w:t>
      </w:r>
    </w:p>
    <w:bookmarkEnd w:id="58"/>
    <w:bookmarkEnd w:id="59"/>
    <w:bookmarkEnd w:id="60"/>
    <w:bookmarkStart w:id="61" w:name="agent-runtime-requirements"/>
    <w:p>
      <w:pPr>
        <w:pStyle w:val="Heading1"/>
      </w:pPr>
      <w:r>
        <w:t xml:space="preserve">Agent runtime requirements</w:t>
      </w:r>
    </w:p>
    <w:p>
      <w:pPr>
        <w:pStyle w:val="FirstParagraph"/>
      </w:pPr>
      <w:r>
        <w:t xml:space="preserve">Every agent run must execute the following stages:</w:t>
      </w:r>
    </w:p>
    <w:p>
      <w:pPr>
        <w:pStyle w:val="Compact"/>
        <w:numPr>
          <w:ilvl w:val="0"/>
          <w:numId w:val="1013"/>
        </w:numPr>
      </w:pPr>
      <w:r>
        <w:t xml:space="preserve">Trigger validation</w:t>
      </w:r>
    </w:p>
    <w:p>
      <w:pPr>
        <w:pStyle w:val="Compact"/>
        <w:numPr>
          <w:ilvl w:val="0"/>
          <w:numId w:val="1013"/>
        </w:numPr>
      </w:pPr>
      <w:r>
        <w:t xml:space="preserve">Authorization and feature-flag validation</w:t>
      </w:r>
    </w:p>
    <w:p>
      <w:pPr>
        <w:pStyle w:val="Compact"/>
        <w:numPr>
          <w:ilvl w:val="0"/>
          <w:numId w:val="1013"/>
        </w:numPr>
      </w:pPr>
      <w:r>
        <w:t xml:space="preserve">Context assembly and minimization</w:t>
      </w:r>
    </w:p>
    <w:p>
      <w:pPr>
        <w:pStyle w:val="Compact"/>
        <w:numPr>
          <w:ilvl w:val="0"/>
          <w:numId w:val="1013"/>
        </w:numPr>
      </w:pPr>
      <w:r>
        <w:t xml:space="preserve">Prompt construction from a versioned agent definition</w:t>
      </w:r>
    </w:p>
    <w:p>
      <w:pPr>
        <w:pStyle w:val="Compact"/>
        <w:numPr>
          <w:ilvl w:val="0"/>
          <w:numId w:val="1013"/>
        </w:numPr>
      </w:pPr>
      <w:r>
        <w:t xml:space="preserve">Model execution</w:t>
      </w:r>
    </w:p>
    <w:p>
      <w:pPr>
        <w:pStyle w:val="Compact"/>
        <w:numPr>
          <w:ilvl w:val="0"/>
          <w:numId w:val="1013"/>
        </w:numPr>
      </w:pPr>
      <w:r>
        <w:t xml:space="preserve">Structured-output validation</w:t>
      </w:r>
    </w:p>
    <w:p>
      <w:pPr>
        <w:pStyle w:val="Compact"/>
        <w:numPr>
          <w:ilvl w:val="0"/>
          <w:numId w:val="1013"/>
        </w:numPr>
      </w:pPr>
      <w:r>
        <w:t xml:space="preserve">Deterministic policy evaluation</w:t>
      </w:r>
    </w:p>
    <w:p>
      <w:pPr>
        <w:pStyle w:val="Compact"/>
        <w:numPr>
          <w:ilvl w:val="0"/>
          <w:numId w:val="1013"/>
        </w:numPr>
      </w:pPr>
      <w:r>
        <w:t xml:space="preserve">Secondary quality evaluation where configured</w:t>
      </w:r>
    </w:p>
    <w:p>
      <w:pPr>
        <w:pStyle w:val="Compact"/>
        <w:numPr>
          <w:ilvl w:val="0"/>
          <w:numId w:val="1013"/>
        </w:numPr>
      </w:pPr>
      <w:r>
        <w:t xml:space="preserve">Canonical persistence</w:t>
      </w:r>
    </w:p>
    <w:p>
      <w:pPr>
        <w:pStyle w:val="Compact"/>
        <w:numPr>
          <w:ilvl w:val="0"/>
          <w:numId w:val="1013"/>
        </w:numPr>
      </w:pPr>
      <w:r>
        <w:t xml:space="preserve">Approval routing or reversible execution</w:t>
      </w:r>
    </w:p>
    <w:p>
      <w:pPr>
        <w:pStyle w:val="Compact"/>
        <w:numPr>
          <w:ilvl w:val="0"/>
          <w:numId w:val="1013"/>
        </w:numPr>
      </w:pPr>
      <w:r>
        <w:t xml:space="preserve">Projection update</w:t>
      </w:r>
    </w:p>
    <w:p>
      <w:pPr>
        <w:pStyle w:val="Compact"/>
        <w:numPr>
          <w:ilvl w:val="0"/>
          <w:numId w:val="1013"/>
        </w:numPr>
      </w:pPr>
      <w:r>
        <w:t xml:space="preserve">Metrics and audit emission</w:t>
      </w:r>
    </w:p>
    <w:p>
      <w:pPr>
        <w:pStyle w:val="FirstParagraph"/>
      </w:pPr>
      <w:r>
        <w:t xml:space="preserve">If structured output fails, retry once with a repair prompt. If repair fails, mark the run</w:t>
      </w:r>
      <w:r>
        <w:t xml:space="preserve"> </w:t>
      </w:r>
      <w:r>
        <w:rPr>
          <w:rStyle w:val="VerbatimChar"/>
        </w:rPr>
        <w:t xml:space="preserve">evaluation_failed</w:t>
      </w:r>
      <w:r>
        <w:t xml:space="preserve">, create a founder-visible operational item, and do not create an approval-ready artifact.</w:t>
      </w:r>
    </w:p>
    <w:bookmarkEnd w:id="61"/>
    <w:bookmarkStart w:id="66" w:name="security-privacy-and-governance"/>
    <w:p>
      <w:pPr>
        <w:pStyle w:val="Heading1"/>
      </w:pPr>
      <w:r>
        <w:t xml:space="preserve">Security, privacy, and governance</w:t>
      </w:r>
    </w:p>
    <w:bookmarkStart w:id="62" w:name="least-privilege"/>
    <w:p>
      <w:pPr>
        <w:pStyle w:val="Heading2"/>
      </w:pPr>
      <w:r>
        <w:t xml:space="preserve">Least privilege</w:t>
      </w:r>
    </w:p>
    <w:p>
      <w:pPr>
        <w:pStyle w:val="Compact"/>
        <w:numPr>
          <w:ilvl w:val="0"/>
          <w:numId w:val="1014"/>
        </w:numPr>
      </w:pPr>
      <w:r>
        <w:t xml:space="preserve">Agents receive only the records required for the current run.</w:t>
      </w:r>
    </w:p>
    <w:p>
      <w:pPr>
        <w:pStyle w:val="Compact"/>
        <w:numPr>
          <w:ilvl w:val="0"/>
          <w:numId w:val="1014"/>
        </w:numPr>
      </w:pPr>
      <w:r>
        <w:t xml:space="preserve">Workspace projections contain summaries unless full working content is required.</w:t>
      </w:r>
    </w:p>
    <w:p>
      <w:pPr>
        <w:pStyle w:val="Compact"/>
        <w:numPr>
          <w:ilvl w:val="0"/>
          <w:numId w:val="1014"/>
        </w:numPr>
      </w:pPr>
      <w:r>
        <w:t xml:space="preserve">Private source documents, raw model prompts, credentials, payment details, and exploitable security findings are</w:t>
      </w:r>
      <w:r>
        <w:t xml:space="preserve"> </w:t>
      </w:r>
      <w:r>
        <w:rPr>
          <w:rStyle w:val="VerbatimChar"/>
        </w:rPr>
        <w:t xml:space="preserve">not_projectable</w:t>
      </w:r>
      <w:r>
        <w:t xml:space="preserve"> </w:t>
      </w:r>
      <w:r>
        <w:t xml:space="preserve">by default.</w:t>
      </w:r>
    </w:p>
    <w:p>
      <w:pPr>
        <w:pStyle w:val="Compact"/>
        <w:numPr>
          <w:ilvl w:val="0"/>
          <w:numId w:val="1014"/>
        </w:numPr>
      </w:pPr>
      <w:r>
        <w:t xml:space="preserve">Marketing and research agents may not access unrestricted applicant or beta-user records.</w:t>
      </w:r>
    </w:p>
    <w:bookmarkEnd w:id="62"/>
    <w:bookmarkStart w:id="63" w:name="prompt-injection-defense"/>
    <w:p>
      <w:pPr>
        <w:pStyle w:val="Heading2"/>
      </w:pPr>
      <w:r>
        <w:t xml:space="preserve">Prompt-injection defense</w:t>
      </w:r>
    </w:p>
    <w:p>
      <w:pPr>
        <w:pStyle w:val="FirstParagraph"/>
      </w:pPr>
      <w:r>
        <w:t xml:space="preserve">Applications, resumes, email, transcripts, web pages, competitor pages, imported notes, and workspace page content are untrusted data. They may not modify system policy, tool permissions, approval requirements, or data-access scope.</w:t>
      </w:r>
    </w:p>
    <w:bookmarkEnd w:id="63"/>
    <w:bookmarkStart w:id="64" w:name="audit"/>
    <w:p>
      <w:pPr>
        <w:pStyle w:val="Heading2"/>
      </w:pPr>
      <w:r>
        <w:t xml:space="preserve">Audit</w:t>
      </w:r>
    </w:p>
    <w:p>
      <w:pPr>
        <w:pStyle w:val="FirstParagraph"/>
      </w:pPr>
      <w:r>
        <w:t xml:space="preserve">The system must reconstruct every consequential outcome from:</w:t>
      </w:r>
    </w:p>
    <w:p>
      <w:pPr>
        <w:pStyle w:val="Compact"/>
        <w:numPr>
          <w:ilvl w:val="0"/>
          <w:numId w:val="1015"/>
        </w:numPr>
      </w:pPr>
      <w:r>
        <w:t xml:space="preserve">Trigger</w:t>
      </w:r>
    </w:p>
    <w:p>
      <w:pPr>
        <w:pStyle w:val="Compact"/>
        <w:numPr>
          <w:ilvl w:val="0"/>
          <w:numId w:val="1015"/>
        </w:numPr>
      </w:pPr>
      <w:r>
        <w:t xml:space="preserve">Actor</w:t>
      </w:r>
    </w:p>
    <w:p>
      <w:pPr>
        <w:pStyle w:val="Compact"/>
        <w:numPr>
          <w:ilvl w:val="0"/>
          <w:numId w:val="1015"/>
        </w:numPr>
      </w:pPr>
      <w:r>
        <w:t xml:space="preserve">Source records</w:t>
      </w:r>
    </w:p>
    <w:p>
      <w:pPr>
        <w:pStyle w:val="Compact"/>
        <w:numPr>
          <w:ilvl w:val="0"/>
          <w:numId w:val="1015"/>
        </w:numPr>
      </w:pPr>
      <w:r>
        <w:t xml:space="preserve">Retrieved context manifest</w:t>
      </w:r>
    </w:p>
    <w:p>
      <w:pPr>
        <w:pStyle w:val="Compact"/>
        <w:numPr>
          <w:ilvl w:val="0"/>
          <w:numId w:val="1015"/>
        </w:numPr>
      </w:pPr>
      <w:r>
        <w:t xml:space="preserve">Agent and prompt version</w:t>
      </w:r>
    </w:p>
    <w:p>
      <w:pPr>
        <w:pStyle w:val="Compact"/>
        <w:numPr>
          <w:ilvl w:val="0"/>
          <w:numId w:val="1015"/>
        </w:numPr>
      </w:pPr>
      <w:r>
        <w:t xml:space="preserve">Output</w:t>
      </w:r>
    </w:p>
    <w:p>
      <w:pPr>
        <w:pStyle w:val="Compact"/>
        <w:numPr>
          <w:ilvl w:val="0"/>
          <w:numId w:val="1015"/>
        </w:numPr>
      </w:pPr>
      <w:r>
        <w:t xml:space="preserve">Deterministic evaluation</w:t>
      </w:r>
    </w:p>
    <w:p>
      <w:pPr>
        <w:pStyle w:val="Compact"/>
        <w:numPr>
          <w:ilvl w:val="0"/>
          <w:numId w:val="1015"/>
        </w:numPr>
      </w:pPr>
      <w:r>
        <w:t xml:space="preserve">Founder edits</w:t>
      </w:r>
    </w:p>
    <w:p>
      <w:pPr>
        <w:pStyle w:val="Compact"/>
        <w:numPr>
          <w:ilvl w:val="0"/>
          <w:numId w:val="1015"/>
        </w:numPr>
      </w:pPr>
      <w:r>
        <w:t xml:space="preserve">Approval or rejection</w:t>
      </w:r>
    </w:p>
    <w:p>
      <w:pPr>
        <w:pStyle w:val="Compact"/>
        <w:numPr>
          <w:ilvl w:val="0"/>
          <w:numId w:val="1015"/>
        </w:numPr>
      </w:pPr>
      <w:r>
        <w:t xml:space="preserve">External action</w:t>
      </w:r>
    </w:p>
    <w:p>
      <w:pPr>
        <w:pStyle w:val="Compact"/>
        <w:numPr>
          <w:ilvl w:val="0"/>
          <w:numId w:val="1015"/>
        </w:numPr>
      </w:pPr>
      <w:r>
        <w:t xml:space="preserve">Resulting business outcome</w:t>
      </w:r>
    </w:p>
    <w:bookmarkEnd w:id="64"/>
    <w:bookmarkStart w:id="65" w:name="failure-posture"/>
    <w:p>
      <w:pPr>
        <w:pStyle w:val="Heading2"/>
      </w:pPr>
      <w:r>
        <w:t xml:space="preserve">Failure posture</w:t>
      </w:r>
    </w:p>
    <w:p>
      <w:pPr>
        <w:pStyle w:val="FirstParagraph"/>
      </w:pPr>
      <w:r>
        <w:t xml:space="preserve">Failures must preserve canonical state, create a visible retry or manual-work item, and never imply that an external action succeeded when it did not.</w:t>
      </w:r>
    </w:p>
    <w:bookmarkEnd w:id="65"/>
    <w:bookmarkEnd w:id="66"/>
    <w:bookmarkStart w:id="67" w:name="observability-and-cost-controls"/>
    <w:p>
      <w:pPr>
        <w:pStyle w:val="Heading1"/>
      </w:pPr>
      <w:r>
        <w:t xml:space="preserve">Observability and cost controls</w:t>
      </w:r>
    </w:p>
    <w:p>
      <w:pPr>
        <w:pStyle w:val="FirstParagraph"/>
      </w:pPr>
      <w:r>
        <w:t xml:space="preserve">Each workflow must emit structured logs and traces with:</w:t>
      </w:r>
    </w:p>
    <w:p>
      <w:pPr>
        <w:pStyle w:val="Compact"/>
        <w:numPr>
          <w:ilvl w:val="0"/>
          <w:numId w:val="1016"/>
        </w:numPr>
      </w:pPr>
      <w:r>
        <w:rPr>
          <w:rStyle w:val="VerbatimChar"/>
        </w:rPr>
        <w:t xml:space="preserve">workspace_id</w:t>
      </w:r>
    </w:p>
    <w:p>
      <w:pPr>
        <w:pStyle w:val="Compact"/>
        <w:numPr>
          <w:ilvl w:val="0"/>
          <w:numId w:val="1016"/>
        </w:numPr>
      </w:pPr>
      <w:r>
        <w:t xml:space="preserve">Correlation and causation IDs</w:t>
      </w:r>
    </w:p>
    <w:p>
      <w:pPr>
        <w:pStyle w:val="Compact"/>
        <w:numPr>
          <w:ilvl w:val="0"/>
          <w:numId w:val="1016"/>
        </w:numPr>
      </w:pPr>
      <w:r>
        <w:t xml:space="preserve">Phase and workflow key</w:t>
      </w:r>
    </w:p>
    <w:p>
      <w:pPr>
        <w:pStyle w:val="Compact"/>
        <w:numPr>
          <w:ilvl w:val="0"/>
          <w:numId w:val="1016"/>
        </w:numPr>
      </w:pPr>
      <w:r>
        <w:t xml:space="preserve">Agent key and version</w:t>
      </w:r>
    </w:p>
    <w:p>
      <w:pPr>
        <w:pStyle w:val="Compact"/>
        <w:numPr>
          <w:ilvl w:val="0"/>
          <w:numId w:val="1016"/>
        </w:numPr>
      </w:pPr>
      <w:r>
        <w:t xml:space="preserve">Canonical entity IDs</w:t>
      </w:r>
    </w:p>
    <w:p>
      <w:pPr>
        <w:pStyle w:val="Compact"/>
        <w:numPr>
          <w:ilvl w:val="0"/>
          <w:numId w:val="1016"/>
        </w:numPr>
      </w:pPr>
      <w:r>
        <w:t xml:space="preserve">Provider projection IDs where applicable</w:t>
      </w:r>
    </w:p>
    <w:p>
      <w:pPr>
        <w:pStyle w:val="Compact"/>
        <w:numPr>
          <w:ilvl w:val="0"/>
          <w:numId w:val="1016"/>
        </w:numPr>
      </w:pPr>
      <w:r>
        <w:t xml:space="preserve">Latency</w:t>
      </w:r>
    </w:p>
    <w:p>
      <w:pPr>
        <w:pStyle w:val="Compact"/>
        <w:numPr>
          <w:ilvl w:val="0"/>
          <w:numId w:val="1016"/>
        </w:numPr>
      </w:pPr>
      <w:r>
        <w:t xml:space="preserve">Model and tool cost</w:t>
      </w:r>
    </w:p>
    <w:p>
      <w:pPr>
        <w:pStyle w:val="Compact"/>
        <w:numPr>
          <w:ilvl w:val="0"/>
          <w:numId w:val="1016"/>
        </w:numPr>
      </w:pPr>
      <w:r>
        <w:t xml:space="preserve">Validation and evaluation result</w:t>
      </w:r>
    </w:p>
    <w:p>
      <w:pPr>
        <w:pStyle w:val="Compact"/>
        <w:numPr>
          <w:ilvl w:val="0"/>
          <w:numId w:val="1016"/>
        </w:numPr>
      </w:pPr>
      <w:r>
        <w:t xml:space="preserve">Retry count</w:t>
      </w:r>
    </w:p>
    <w:p>
      <w:pPr>
        <w:pStyle w:val="Compact"/>
        <w:numPr>
          <w:ilvl w:val="0"/>
          <w:numId w:val="1016"/>
        </w:numPr>
      </w:pPr>
      <w:r>
        <w:t xml:space="preserve">Approval result</w:t>
      </w:r>
    </w:p>
    <w:p>
      <w:pPr>
        <w:pStyle w:val="Compact"/>
        <w:numPr>
          <w:ilvl w:val="0"/>
          <w:numId w:val="1016"/>
        </w:numPr>
      </w:pPr>
      <w:r>
        <w:t xml:space="preserve">External action result</w:t>
      </w:r>
    </w:p>
    <w:p>
      <w:pPr>
        <w:pStyle w:val="FirstParagraph"/>
      </w:pPr>
      <w:r>
        <w:t xml:space="preserve">Required phase dashboards must distinguish system activity from accepted business value. Agent-run volume is not itself a success metric.</w:t>
      </w:r>
    </w:p>
    <w:bookmarkEnd w:id="67"/>
    <w:bookmarkStart w:id="68" w:name="deployment-and-activation-model"/>
    <w:p>
      <w:pPr>
        <w:pStyle w:val="Heading1"/>
      </w:pPr>
      <w:r>
        <w:t xml:space="preserve">Deployment and activation model</w:t>
      </w:r>
    </w:p>
    <w:p>
      <w:pPr>
        <w:pStyle w:val="FirstParagraph"/>
      </w:pPr>
      <w:r>
        <w:t xml:space="preserve">Each major capability must progress through:</w:t>
      </w:r>
    </w:p>
    <w:p>
      <w:pPr>
        <w:pStyle w:val="Compact"/>
        <w:numPr>
          <w:ilvl w:val="0"/>
          <w:numId w:val="1017"/>
        </w:numPr>
      </w:pPr>
      <w:r>
        <w:t xml:space="preserve">Local development</w:t>
      </w:r>
    </w:p>
    <w:p>
      <w:pPr>
        <w:pStyle w:val="Compact"/>
        <w:numPr>
          <w:ilvl w:val="0"/>
          <w:numId w:val="1017"/>
        </w:numPr>
      </w:pPr>
      <w:r>
        <w:t xml:space="preserve">Automated tests</w:t>
      </w:r>
    </w:p>
    <w:p>
      <w:pPr>
        <w:pStyle w:val="Compact"/>
        <w:numPr>
          <w:ilvl w:val="0"/>
          <w:numId w:val="1017"/>
        </w:numPr>
      </w:pPr>
      <w:r>
        <w:t xml:space="preserve">Staging with synthetic fixtures</w:t>
      </w:r>
    </w:p>
    <w:p>
      <w:pPr>
        <w:pStyle w:val="Compact"/>
        <w:numPr>
          <w:ilvl w:val="0"/>
          <w:numId w:val="1017"/>
        </w:numPr>
      </w:pPr>
      <w:r>
        <w:t xml:space="preserve">Production with feature flag disabled</w:t>
      </w:r>
    </w:p>
    <w:p>
      <w:pPr>
        <w:pStyle w:val="Compact"/>
        <w:numPr>
          <w:ilvl w:val="0"/>
          <w:numId w:val="1017"/>
        </w:numPr>
      </w:pPr>
      <w:r>
        <w:t xml:space="preserve">Production shadow mode</w:t>
      </w:r>
    </w:p>
    <w:p>
      <w:pPr>
        <w:pStyle w:val="Compact"/>
        <w:numPr>
          <w:ilvl w:val="0"/>
          <w:numId w:val="1017"/>
        </w:numPr>
      </w:pPr>
      <w:r>
        <w:t xml:space="preserve">Founder-only review mode</w:t>
      </w:r>
    </w:p>
    <w:p>
      <w:pPr>
        <w:pStyle w:val="Compact"/>
        <w:numPr>
          <w:ilvl w:val="0"/>
          <w:numId w:val="1017"/>
        </w:numPr>
      </w:pPr>
      <w:r>
        <w:t xml:space="preserve">Limited live activation</w:t>
      </w:r>
    </w:p>
    <w:p>
      <w:pPr>
        <w:pStyle w:val="Compact"/>
        <w:numPr>
          <w:ilvl w:val="0"/>
          <w:numId w:val="1017"/>
        </w:numPr>
      </w:pPr>
      <w:r>
        <w:t xml:space="preserve">Measured promotion or rollback</w:t>
      </w:r>
    </w:p>
    <w:p>
      <w:pPr>
        <w:pStyle w:val="FirstParagraph"/>
      </w:pPr>
      <w:r>
        <w:t xml:space="preserve">Every agent and workspace workflow requires an independent feature flag and version rollback path.</w:t>
      </w:r>
      <w:r>
        <w:t xml:space="preserve"> </w:t>
      </w:r>
      <w:r>
        <w:t xml:space="preserve"># Coding-agent execution instruction</w:t>
      </w:r>
    </w:p>
    <w:p>
      <w:pPr>
        <w:pStyle w:val="SourceCode"/>
      </w:pPr>
      <w:r>
        <w:rPr>
          <w:rStyle w:val="VerbatimChar"/>
        </w:rPr>
        <w:t xml:space="preserve">&gt; Implement Phase 3 - Product Learning, QA, Release, and Customer Proof according to this specification.</w:t>
      </w:r>
      <w:r>
        <w:br/>
      </w:r>
      <w:r>
        <w:rPr>
          <w:rStyle w:val="VerbatimChar"/>
        </w:rPr>
        <w:t xml:space="preserve">&gt;</w:t>
      </w:r>
      <w:r>
        <w:br/>
      </w:r>
      <w:r>
        <w:rPr>
          <w:rStyle w:val="VerbatimChar"/>
        </w:rPr>
        <w:t xml:space="preserve">&gt; Begin by verifying that revised Phase 0 is operational: canonical records, generic artifacts, approvals, workspace commands, projection policies, evidence, claims, consent, event audit, feature flags, and the Notion provider adapter.</w:t>
      </w:r>
      <w:r>
        <w:br/>
      </w:r>
      <w:r>
        <w:rPr>
          <w:rStyle w:val="VerbatimChar"/>
        </w:rPr>
        <w:t xml:space="preserve">&gt;</w:t>
      </w:r>
      <w:r>
        <w:br/>
      </w:r>
      <w:r>
        <w:rPr>
          <w:rStyle w:val="VerbatimChar"/>
        </w:rPr>
        <w:t xml:space="preserve">&gt; Produce an architecture decision record and a repository-to-requirement implementation map before migrations. Reuse Phase 0 services rather than creating parallel document, approval, consent, or workspace systems.</w:t>
      </w:r>
      <w:r>
        <w:br/>
      </w:r>
      <w:r>
        <w:rPr>
          <w:rStyle w:val="VerbatimChar"/>
        </w:rPr>
        <w:t xml:space="preserve">&gt;</w:t>
      </w:r>
      <w:r>
        <w:br/>
      </w:r>
      <w:r>
        <w:rPr>
          <w:rStyle w:val="VerbatimChar"/>
        </w:rPr>
        <w:t xml:space="preserve">&gt; Maintain a live traceability matrix linking every requirement to implementation files, migrations, automated tests, feature flags, and operational metrics.</w:t>
      </w:r>
      <w:r>
        <w:br/>
      </w:r>
      <w:r>
        <w:rPr>
          <w:rStyle w:val="VerbatimChar"/>
        </w:rPr>
        <w:t xml:space="preserve">&gt;</w:t>
      </w:r>
      <w:r>
        <w:br/>
      </w:r>
      <w:r>
        <w:rPr>
          <w:rStyle w:val="VerbatimChar"/>
        </w:rPr>
        <w:t xml:space="preserve">&gt; Preserve these phase-specific non-negotiable rules:</w:t>
      </w:r>
      <w:r>
        <w:br/>
      </w:r>
      <w:r>
        <w:rPr>
          <w:rStyle w:val="VerbatimChar"/>
        </w:rPr>
        <w:t xml:space="preserve">&gt;</w:t>
      </w:r>
      <w:r>
        <w:br/>
      </w:r>
      <w:r>
        <w:rPr>
          <w:rStyle w:val="VerbatimChar"/>
        </w:rPr>
        <w:t xml:space="preserve">&gt; 1. Requirements, tests, defects, release gates, and deployment state remain canonical.</w:t>
      </w:r>
    </w:p>
    <w:p>
      <w:pPr>
        <w:pStyle w:val="Compact"/>
        <w:numPr>
          <w:ilvl w:val="0"/>
          <w:numId w:val="1018"/>
        </w:numPr>
      </w:pPr>
      <w:r>
        <w:t xml:space="preserve">Specification and release narratives use generic artifact versions and controlled founder edits.</w:t>
      </w:r>
    </w:p>
    <w:p>
      <w:pPr>
        <w:pStyle w:val="Compact"/>
        <w:numPr>
          <w:ilvl w:val="0"/>
          <w:numId w:val="1018"/>
        </w:numPr>
      </w:pPr>
      <w:r>
        <w:t xml:space="preserve">Critical security, privacy, memory-isolation, or approval failures block release.</w:t>
      </w:r>
    </w:p>
    <w:p>
      <w:pPr>
        <w:pStyle w:val="Compact"/>
        <w:numPr>
          <w:ilvl w:val="0"/>
          <w:numId w:val="1018"/>
        </w:numPr>
      </w:pPr>
      <w:r>
        <w:t xml:space="preserve">Agents may recommend release status but may not waive gates or deploy.</w:t>
      </w:r>
    </w:p>
    <w:p>
      <w:pPr>
        <w:pStyle w:val="Compact"/>
        <w:numPr>
          <w:ilvl w:val="0"/>
          <w:numId w:val="1018"/>
        </w:numPr>
      </w:pPr>
      <w:r>
        <w:t xml:space="preserve">Customer proof requires verified evidence, consent, and claims validation.</w:t>
      </w:r>
      <w:r>
        <w:t xml:space="preserve"> </w:t>
      </w:r>
      <w:r>
        <w:t xml:space="preserve">&gt;</w:t>
      </w:r>
      <w:r>
        <w:t xml:space="preserve"> </w:t>
      </w:r>
      <w:r>
        <w:t xml:space="preserve">&gt; Implement work packages in dependency order. Activate each agent in shadow mode before founder-review mode. Treat Notion as a projection and controlled working surface, not as the source of canonical lifecycle, consent, claim, test, pricing, or deployment state.</w:t>
      </w:r>
    </w:p>
    <w:bookmarkEnd w:id="68"/>
    <w:sectPr w:rsidR="00FC693F" w:rsidRPr="0006063C" w:rsidSect="00034616">
      <w:footerReference r:id="rId9" w:type="default"/>
      <w:headerReference w:type="default" r:id="rId10"/>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Founder Operating System | Phase 3 - Product Learning, QA, Release, and Customer Proof | Version 3.0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491"/>
        <w:sz w:val="15"/>
      </w:rPr>
      <w:t>FOS-TECH-PHASE-3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60"/>
      <w:outlineLvl w:val="0"/>
    </w:pPr>
    <w:rPr>
      <w:rFonts w:ascii="Aptos Display" w:asciiTheme="majorHAnsi" w:cstheme="majorBidi" w:eastAsiaTheme="majorEastAsia" w:hAnsi="Aptos Display" w:hAnsiTheme="majorHAnsi"/>
      <w:b/>
      <w:bCs/>
      <w:color w:val="10213A"/>
      <w:sz w:val="36"/>
      <w:szCs w:val="28"/>
    </w:rPr>
  </w:style>
  <w:style w:styleId="Heading2" w:type="paragraph">
    <w:name w:val="heading 2"/>
    <w:basedOn w:val="Normal"/>
    <w:next w:val="Normal"/>
    <w:link w:val="Heading2Char"/>
    <w:uiPriority w:val="9"/>
    <w:unhideWhenUsed/>
    <w:qFormat/>
    <w:rsid w:val="00FC693F"/>
    <w:pPr>
      <w:keepNext/>
      <w:keepLines/>
      <w:spacing w:after="100" w:before="280"/>
      <w:outlineLvl w:val="1"/>
    </w:pPr>
    <w:rPr>
      <w:rFonts w:ascii="Aptos Display" w:asciiTheme="majorHAnsi" w:cstheme="majorBidi" w:eastAsiaTheme="majorEastAsia" w:hAnsi="Aptos Display" w:hAnsiTheme="majorHAnsi"/>
      <w:b/>
      <w:bCs/>
      <w:color w:val="1A365D"/>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Aptos" w:asciiTheme="majorHAnsi" w:cstheme="majorBidi" w:eastAsiaTheme="majorEastAsia" w:hAnsi="Aptos" w:hAnsiTheme="majorHAnsi"/>
      <w:b/>
      <w:bCs/>
      <w:color w:val="1A365D"/>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Aptos" w:asciiTheme="majorHAnsi" w:cstheme="majorBidi" w:eastAsiaTheme="majorEastAsia" w:hAnsi="Aptos" w:hAnsiTheme="majorHAnsi"/>
      <w:b/>
      <w:bCs/>
      <w:i/>
      <w:iCs/>
      <w:color w:val="10213A"/>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pPr>
    <w:rPr>
      <w:rFonts w:ascii="Aptos Display" w:asciiTheme="majorHAnsi" w:cstheme="majorBidi" w:eastAsiaTheme="majorEastAsia" w:hAnsi="Aptos Display" w:hAnsiTheme="majorHAnsi"/>
      <w:b/>
      <w:color w:val="10213A"/>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Aptos Display" w:asciiTheme="majorHAnsi" w:cstheme="majorBidi" w:eastAsiaTheme="majorEastAsia" w:hAnsi="Aptos Display" w:hAnsiTheme="majorHAnsi"/>
      <w:b/>
      <w:i/>
      <w:iCs/>
      <w:color w:val="1A365D"/>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9"/>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9"/>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ind w:left="360" w:right="216"/>
    </w:pPr>
    <w:rPr>
      <w:rFonts w:ascii="Aptos" w:hAnsi="Aptos"/>
      <w:i/>
      <w:iCs/>
      <w:color w:val="1A365D"/>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360" w:right="216"/>
    </w:pPr>
    <w:rPr>
      <w:rFonts w:ascii="Aptos" w:hAnsi="Aptos"/>
      <w:b/>
      <w:bCs/>
      <w:i/>
      <w:iCs/>
      <w:color w:val="1A365D"/>
      <w:sz w:val="19"/>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2026-07-13T22:18:46Z</dcterms:created>
  <dcterms:modified xsi:type="dcterms:W3CDTF">2026-07-13T22:18:46Z</dcterms:modified>
</cp:coreProperties>
</file>

<file path=docProps/custom.xml><?xml version="1.0" encoding="utf-8"?>
<Properties xmlns="http://schemas.openxmlformats.org/officeDocument/2006/custom-properties" xmlns:vt="http://schemas.openxmlformats.org/officeDocument/2006/docPropsVTypes"/>
</file>