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0"/>
        <w:jc w:val="center"/>
      </w:pPr>
      <w:r>
        <w:rPr>
          <w:rFonts w:ascii="Aptos Display" w:hAnsi="Aptos Display"/>
          <w:b/>
          <w:color w:val="10213A"/>
          <w:sz w:val="56"/>
        </w:rPr>
        <w:t>FOUNDER OPERATING SYSTEM</w:t>
      </w:r>
    </w:p>
    <w:p>
      <w:pPr>
        <w:spacing w:before="480"/>
        <w:jc w:val="center"/>
      </w:pPr>
      <w:r>
        <w:rPr>
          <w:rFonts w:ascii="Aptos Display" w:hAnsi="Aptos Display"/>
          <w:b/>
          <w:color w:val="1A365D"/>
          <w:sz w:val="42"/>
        </w:rPr>
        <w:t>Phase 5 - Competitive, Pricing, and Market Intelligence</w:t>
      </w:r>
    </w:p>
    <w:p>
      <w:pPr>
        <w:spacing w:before="240"/>
        <w:jc w:val="center"/>
      </w:pPr>
      <w:r>
        <w:rPr>
          <w:rFonts w:ascii="Aptos" w:hAnsi="Aptos"/>
          <w:color w:val="5B6573"/>
          <w:sz w:val="26"/>
        </w:rPr>
        <w:t>Complete Technical Specification and Implementation Plan</w:t>
      </w:r>
    </w:p>
    <w:p>
      <w:pPr>
        <w:spacing w:before="2200"/>
        <w:jc w:val="center"/>
      </w:pPr>
      <w:r>
        <w:rPr>
          <w:rFonts w:ascii="Aptos" w:hAnsi="Aptos"/>
          <w:color w:val="5B6573"/>
          <w:sz w:val="20"/>
        </w:rPr>
        <w:t>FOS-TECH-PHASE-5  |  Version 3.0  |  2026-07-13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0. Revision decision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1. Implementation directive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2. Objectives and metrics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3. Scope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4. Domain model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5. Notion workspace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6. Agents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7. Workflows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8. APIs and jobs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9. Deterministic safeguards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10. Tests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11. Work packages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12. Definition of done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Shared architectural invariants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Agent runtime requirements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Security, privacy, and governance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Observability and cost controls</w:t>
      </w:r>
    </w:p>
    <w:p>
      <w:pPr>
        <w:spacing w:after="60"/>
        <w:ind w:left="259" w:hanging="259"/>
      </w:pPr>
      <w:r>
        <w:rPr>
          <w:rFonts w:ascii="Aptos" w:hAnsi="Aptos"/>
          <w:color w:val="1A365D"/>
          <w:sz w:val="18"/>
        </w:rPr>
        <w:t>Deployment and activation model</w:t>
      </w:r>
    </w:p>
    <w:p>
      <w:r>
        <w:br w:type="page"/>
      </w:r>
    </w:p>
    <w:p>
      <w:pPr>
        <w:pStyle w:val="BlockText"/>
      </w:pPr>
      <w:r>
        <w:t xml:space="preserve">This specification is written against the revised Phase 0 canonical-state, generic-artifact, controlled-command, and Founder Workspace Adapter contracts. Any implementation based on the earlier native-admin assumptions must be refactored as identified in the dependency plan.</w:t>
      </w:r>
    </w:p>
    <w:p>
      <w:r>
        <w:pict>
          <v:rect style="width:0;height:1.5pt" o:hralign="center" o:hrstd="t" o:hr="t"/>
        </w:pict>
      </w:r>
    </w:p>
    <w:bookmarkStart w:id="20" w:name="X023bf7650b08d130681bb7787814761baa22d06"/>
    <w:p>
      <w:pPr>
        <w:pStyle w:val="Heading1"/>
      </w:pPr>
      <w:r>
        <w:t xml:space="preserve">0. Revision decision</w:t>
      </w:r>
    </w:p>
    <w:p>
      <w:pPr>
        <w:pStyle w:val="FirstParagraph"/>
      </w:pPr>
      <w:r>
        <w:t xml:space="preserve">Phase 5 remains a research and decision-support phase, but it now feeds the canonical decision queue and the marketing/product workspaces rather than producing an isolated digest. Public sources are untrusted input. Evidence is canonical; Notion receives decision-oriented summaries.</w:t>
      </w:r>
    </w:p>
    <w:bookmarkEnd w:id="20"/>
    <w:bookmarkStart w:id="21" w:name="X890bcc7cb2a90e542cc76ac8259480bbf61c337"/>
    <w:p>
      <w:pPr>
        <w:pStyle w:val="Heading1"/>
      </w:pPr>
      <w:r>
        <w:t xml:space="preserve">1. Implementation directive</w:t>
      </w:r>
    </w:p>
    <w:p>
      <w:pPr>
        <w:pStyle w:val="FirstParagraph"/>
      </w:pPr>
      <w:r>
        <w:t xml:space="preserve">Build a low-noise intelligence system that detects material changes in competitors, offers, positioning, pricing, partnerships, and buyer expectations, then converts those changes into evidence-backed founder decisions.</w:t>
      </w:r>
    </w:p>
    <w:bookmarkEnd w:id="21"/>
    <w:bookmarkStart w:id="22" w:name="X584d8f695d390f9d84f1095ee0ecc7311a80e71"/>
    <w:p>
      <w:pPr>
        <w:pStyle w:val="Heading1"/>
      </w:pPr>
      <w:r>
        <w:t xml:space="preserve">2. Objectives and metrics</w:t>
      </w:r>
    </w:p>
    <w:p>
      <w:pPr>
        <w:pStyle w:val="Compact"/>
        <w:numPr>
          <w:ilvl w:val="0"/>
          <w:numId w:val="1001"/>
        </w:numPr>
      </w:pPr>
      <w:r>
        <w:t xml:space="preserve">Maintain fresh competitor and pricing baselines.</w:t>
      </w:r>
    </w:p>
    <w:p>
      <w:pPr>
        <w:pStyle w:val="Compact"/>
        <w:numPr>
          <w:ilvl w:val="0"/>
          <w:numId w:val="1001"/>
        </w:numPr>
      </w:pPr>
      <w:r>
        <w:t xml:space="preserve">Detect material changes without repeated noise.</w:t>
      </w:r>
    </w:p>
    <w:p>
      <w:pPr>
        <w:pStyle w:val="Compact"/>
        <w:numPr>
          <w:ilvl w:val="0"/>
          <w:numId w:val="1001"/>
        </w:numPr>
      </w:pPr>
      <w:r>
        <w:t xml:space="preserve">Distinguish company claims, third-party observations, and inference.</w:t>
      </w:r>
    </w:p>
    <w:p>
      <w:pPr>
        <w:pStyle w:val="Compact"/>
        <w:numPr>
          <w:ilvl w:val="0"/>
          <w:numId w:val="1001"/>
        </w:numPr>
      </w:pPr>
      <w:r>
        <w:t xml:space="preserve">Reduce founder research time.</w:t>
      </w:r>
    </w:p>
    <w:p>
      <w:pPr>
        <w:pStyle w:val="Compact"/>
        <w:numPr>
          <w:ilvl w:val="0"/>
          <w:numId w:val="1001"/>
        </w:numPr>
      </w:pPr>
      <w:r>
        <w:t xml:space="preserve">Create actionable product, pricing, partnership, or communications decisions.</w:t>
      </w:r>
    </w:p>
    <w:p>
      <w:pPr>
        <w:pStyle w:val="FirstParagraph"/>
      </w:pPr>
      <w:r>
        <w:t xml:space="preserve">Metrics include material changes detected, alert precision, duplicate rate, founder action rate, research hours saved, source freshness, pricing confidence, and decisions informed.</w:t>
      </w:r>
    </w:p>
    <w:bookmarkEnd w:id="22"/>
    <w:bookmarkStart w:id="23" w:name="X25d0be9279514911651d99fd74a027e3892227a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02"/>
        </w:numPr>
      </w:pPr>
      <w:r>
        <w:t xml:space="preserve">Competitor and category registry</w:t>
      </w:r>
    </w:p>
    <w:p>
      <w:pPr>
        <w:pStyle w:val="Compact"/>
        <w:numPr>
          <w:ilvl w:val="0"/>
          <w:numId w:val="1002"/>
        </w:numPr>
      </w:pPr>
      <w:r>
        <w:t xml:space="preserve">Approved source registry</w:t>
      </w:r>
    </w:p>
    <w:p>
      <w:pPr>
        <w:pStyle w:val="Compact"/>
        <w:numPr>
          <w:ilvl w:val="0"/>
          <w:numId w:val="1002"/>
        </w:numPr>
      </w:pPr>
      <w:r>
        <w:t xml:space="preserve">Source retrieval and hashing</w:t>
      </w:r>
    </w:p>
    <w:p>
      <w:pPr>
        <w:pStyle w:val="Compact"/>
        <w:numPr>
          <w:ilvl w:val="0"/>
          <w:numId w:val="1002"/>
        </w:numPr>
      </w:pPr>
      <w:r>
        <w:t xml:space="preserve">Evidence extraction</w:t>
      </w:r>
    </w:p>
    <w:p>
      <w:pPr>
        <w:pStyle w:val="Compact"/>
        <w:numPr>
          <w:ilvl w:val="0"/>
          <w:numId w:val="1002"/>
        </w:numPr>
      </w:pPr>
      <w:r>
        <w:t xml:space="preserve">Change detection</w:t>
      </w:r>
    </w:p>
    <w:p>
      <w:pPr>
        <w:pStyle w:val="Compact"/>
        <w:numPr>
          <w:ilvl w:val="0"/>
          <w:numId w:val="1002"/>
        </w:numPr>
      </w:pPr>
      <w:r>
        <w:t xml:space="preserve">Pricing and offer comparison</w:t>
      </w:r>
    </w:p>
    <w:p>
      <w:pPr>
        <w:pStyle w:val="Compact"/>
        <w:numPr>
          <w:ilvl w:val="0"/>
          <w:numId w:val="1002"/>
        </w:numPr>
      </w:pPr>
      <w:r>
        <w:t xml:space="preserve">Job-based comparison</w:t>
      </w:r>
    </w:p>
    <w:p>
      <w:pPr>
        <w:pStyle w:val="Compact"/>
        <w:numPr>
          <w:ilvl w:val="0"/>
          <w:numId w:val="1002"/>
        </w:numPr>
      </w:pPr>
      <w:r>
        <w:t xml:space="preserve">Strategic alerts</w:t>
      </w:r>
    </w:p>
    <w:p>
      <w:pPr>
        <w:pStyle w:val="Compact"/>
        <w:numPr>
          <w:ilvl w:val="0"/>
          <w:numId w:val="1002"/>
        </w:numPr>
      </w:pPr>
      <w:r>
        <w:t xml:space="preserve">Weekly market brief</w:t>
      </w:r>
    </w:p>
    <w:p>
      <w:pPr>
        <w:pStyle w:val="Compact"/>
        <w:numPr>
          <w:ilvl w:val="0"/>
          <w:numId w:val="1002"/>
        </w:numPr>
      </w:pPr>
      <w:r>
        <w:t xml:space="preserve">Links to product signals, content briefs, pricing reviews, and Phase 6 decisions</w:t>
      </w:r>
    </w:p>
    <w:p>
      <w:pPr>
        <w:pStyle w:val="FirstParagraph"/>
      </w:pPr>
      <w:r>
        <w:t xml:space="preserve">Excluded:</w:t>
      </w:r>
    </w:p>
    <w:p>
      <w:pPr>
        <w:pStyle w:val="Compact"/>
        <w:numPr>
          <w:ilvl w:val="0"/>
          <w:numId w:val="1003"/>
        </w:numPr>
      </w:pPr>
      <w:r>
        <w:t xml:space="preserve">Circumventing source restrictions</w:t>
      </w:r>
    </w:p>
    <w:p>
      <w:pPr>
        <w:pStyle w:val="Compact"/>
        <w:numPr>
          <w:ilvl w:val="0"/>
          <w:numId w:val="1003"/>
        </w:numPr>
      </w:pPr>
      <w:r>
        <w:t xml:space="preserve">Contacting competitors</w:t>
      </w:r>
    </w:p>
    <w:p>
      <w:pPr>
        <w:pStyle w:val="Compact"/>
        <w:numPr>
          <w:ilvl w:val="0"/>
          <w:numId w:val="1003"/>
        </w:numPr>
      </w:pPr>
      <w:r>
        <w:t xml:space="preserve">Publishing allegations</w:t>
      </w:r>
    </w:p>
    <w:p>
      <w:pPr>
        <w:pStyle w:val="Compact"/>
        <w:numPr>
          <w:ilvl w:val="0"/>
          <w:numId w:val="1003"/>
        </w:numPr>
      </w:pPr>
      <w:r>
        <w:t xml:space="preserve">Automatic price or positioning changes</w:t>
      </w:r>
    </w:p>
    <w:p>
      <w:pPr>
        <w:pStyle w:val="Compact"/>
        <w:numPr>
          <w:ilvl w:val="0"/>
          <w:numId w:val="1003"/>
        </w:numPr>
      </w:pPr>
      <w:r>
        <w:t xml:space="preserve">Treating rumors as verified facts</w:t>
      </w:r>
    </w:p>
    <w:bookmarkEnd w:id="23"/>
    <w:bookmarkStart w:id="32" w:name="Xd1b9add03baef002a6e0907c05a25a21f2cf155"/>
    <w:p>
      <w:pPr>
        <w:pStyle w:val="Heading1"/>
      </w:pPr>
      <w:r>
        <w:t xml:space="preserve">4. Domain model</w:t>
      </w:r>
    </w:p>
    <w:bookmarkStart w:id="24" w:name="competitor"/>
    <w:p>
      <w:pPr>
        <w:pStyle w:val="Heading2"/>
      </w:pPr>
      <w:r>
        <w:t xml:space="preserve">Competitor</w:t>
      </w:r>
    </w:p>
    <w:p>
      <w:pPr>
        <w:pStyle w:val="FirstParagraph"/>
      </w:pPr>
      <w:r>
        <w:t xml:space="preserve">Stores category, priority, target segments, monitored sources, status, and description.</w:t>
      </w:r>
    </w:p>
    <w:bookmarkEnd w:id="24"/>
    <w:bookmarkStart w:id="25" w:name="competitoroffering"/>
    <w:p>
      <w:pPr>
        <w:pStyle w:val="Heading2"/>
      </w:pPr>
      <w:r>
        <w:t xml:space="preserve">CompetitorOffering</w:t>
      </w:r>
    </w:p>
    <w:p>
      <w:pPr>
        <w:pStyle w:val="FirstParagraph"/>
      </w:pPr>
      <w:r>
        <w:t xml:space="preserve">Stores target user, delivery model, features, pricing summary, availability, observed date, sources, and confidence.</w:t>
      </w:r>
    </w:p>
    <w:bookmarkEnd w:id="25"/>
    <w:bookmarkStart w:id="26" w:name="researchsource"/>
    <w:p>
      <w:pPr>
        <w:pStyle w:val="Heading2"/>
      </w:pPr>
      <w:r>
        <w:t xml:space="preserve">ResearchSource</w:t>
      </w:r>
    </w:p>
    <w:p>
      <w:pPr>
        <w:pStyle w:val="FirstParagraph"/>
      </w:pPr>
      <w:r>
        <w:t xml:space="preserve">Stores source type, URL, publisher, title, publication/observation date, retrieval method, terms status, content hash, snapshot, status, and refresh policy.</w:t>
      </w:r>
    </w:p>
    <w:bookmarkEnd w:id="26"/>
    <w:bookmarkStart w:id="27" w:name="competitorobservation"/>
    <w:p>
      <w:pPr>
        <w:pStyle w:val="Heading2"/>
      </w:pPr>
      <w:r>
        <w:t xml:space="preserve">CompetitorObservation</w:t>
      </w:r>
    </w:p>
    <w:p>
      <w:pPr>
        <w:pStyle w:val="FirstParagraph"/>
      </w:pPr>
      <w:r>
        <w:t xml:space="preserve">Stores observation type, statement, classification, confidence, effective/expiry dates, verification, and source.</w:t>
      </w:r>
    </w:p>
    <w:bookmarkEnd w:id="27"/>
    <w:bookmarkStart w:id="28" w:name="marketchange"/>
    <w:p>
      <w:pPr>
        <w:pStyle w:val="Heading2"/>
      </w:pPr>
      <w:r>
        <w:t xml:space="preserve">MarketChange</w:t>
      </w:r>
    </w:p>
    <w:p>
      <w:pPr>
        <w:pStyle w:val="FirstParagraph"/>
      </w:pPr>
      <w:r>
        <w:t xml:space="preserve">Stores old/new observations, summary, change type, materiality, confidence, detected time, and status.</w:t>
      </w:r>
    </w:p>
    <w:bookmarkEnd w:id="28"/>
    <w:bookmarkStart w:id="29" w:name="pricepoint"/>
    <w:p>
      <w:pPr>
        <w:pStyle w:val="Heading2"/>
      </w:pPr>
      <w:r>
        <w:t xml:space="preserve">PricePoint</w:t>
      </w:r>
    </w:p>
    <w:p>
      <w:pPr>
        <w:pStyle w:val="FirstParagraph"/>
      </w:pPr>
      <w:r>
        <w:t xml:space="preserve">Stores offering, currency, amount, billing period, type, conditions, observation date, source, and confidence.</w:t>
      </w:r>
    </w:p>
    <w:bookmarkEnd w:id="29"/>
    <w:bookmarkStart w:id="30" w:name="strategicalert"/>
    <w:p>
      <w:pPr>
        <w:pStyle w:val="Heading2"/>
      </w:pPr>
      <w:r>
        <w:t xml:space="preserve">StrategicAlert</w:t>
      </w:r>
    </w:p>
    <w:p>
      <w:pPr>
        <w:pStyle w:val="FirstParagraph"/>
      </w:pPr>
      <w:r>
        <w:t xml:space="preserve">Stores fact, interpretation, possible implication, recommended action, domain, urgency, materiality, confidence, and decision linkage.</w:t>
      </w:r>
    </w:p>
    <w:bookmarkEnd w:id="30"/>
    <w:bookmarkStart w:id="31" w:name="marketbrief"/>
    <w:p>
      <w:pPr>
        <w:pStyle w:val="Heading2"/>
      </w:pPr>
      <w:r>
        <w:t xml:space="preserve">MarketBrief</w:t>
      </w:r>
    </w:p>
    <w:p>
      <w:pPr>
        <w:pStyle w:val="FirstParagraph"/>
      </w:pPr>
      <w:r>
        <w:t xml:space="preserve">References an artifact and stores period, covered competitors, changes, pricing freshness, top decisions, and approval.</w:t>
      </w:r>
    </w:p>
    <w:bookmarkEnd w:id="31"/>
    <w:bookmarkEnd w:id="32"/>
    <w:bookmarkStart w:id="36" w:name="X1bf6d85fa4beadcf1de0dfcc05c71ce0a7e1ae2"/>
    <w:p>
      <w:pPr>
        <w:pStyle w:val="Heading1"/>
      </w:pPr>
      <w:r>
        <w:t xml:space="preserve">5. Notion workspace</w:t>
      </w:r>
    </w:p>
    <w:bookmarkStart w:id="33" w:name="competitive-intelligence"/>
    <w:p>
      <w:pPr>
        <w:pStyle w:val="Heading2"/>
      </w:pPr>
      <w:r>
        <w:t xml:space="preserve">Competitive Intelligence</w:t>
      </w:r>
    </w:p>
    <w:p>
      <w:pPr>
        <w:pStyle w:val="FirstParagraph"/>
      </w:pPr>
      <w:r>
        <w:t xml:space="preserve">Projects competitors, material observations, changes, sources, freshness, confidence, implications, and action status.</w:t>
      </w:r>
    </w:p>
    <w:bookmarkEnd w:id="33"/>
    <w:bookmarkStart w:id="34" w:name="pricing-comparison"/>
    <w:p>
      <w:pPr>
        <w:pStyle w:val="Heading2"/>
      </w:pPr>
      <w:r>
        <w:t xml:space="preserve">Pricing Comparison</w:t>
      </w:r>
    </w:p>
    <w:p>
      <w:pPr>
        <w:pStyle w:val="FirstParagraph"/>
      </w:pPr>
      <w:r>
        <w:t xml:space="preserve">Projects comparable offers, price points, conditions, evidence dates, and comparability warnings.</w:t>
      </w:r>
    </w:p>
    <w:bookmarkEnd w:id="34"/>
    <w:bookmarkStart w:id="35" w:name="strategic-alerts"/>
    <w:p>
      <w:pPr>
        <w:pStyle w:val="Heading2"/>
      </w:pPr>
      <w:r>
        <w:t xml:space="preserve">Strategic Alerts</w:t>
      </w:r>
    </w:p>
    <w:p>
      <w:pPr>
        <w:pStyle w:val="FirstParagraph"/>
      </w:pPr>
      <w:r>
        <w:t xml:space="preserve">Founder may dismiss, watch, create a product signal, create content brief, or open pricing/strategy decision through controlled commands.</w:t>
      </w:r>
    </w:p>
    <w:bookmarkEnd w:id="35"/>
    <w:bookmarkEnd w:id="36"/>
    <w:bookmarkStart w:id="37" w:name="X1bcad50d3ab90a6d1f19bd91566b0757bed01a7"/>
    <w:p>
      <w:pPr>
        <w:pStyle w:val="Heading1"/>
      </w:pPr>
      <w:r>
        <w:t xml:space="preserve">6. Agents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fos.market_watcher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fos.competitive_evidence_extractor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fos.market_change_detector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fos.job_based_competitor_comparison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fos.pricing_comparison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fos.strategy_signal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fos.market_brief</w:t>
      </w:r>
    </w:p>
    <w:p>
      <w:pPr>
        <w:pStyle w:val="FirstParagraph"/>
      </w:pPr>
      <w:r>
        <w:t xml:space="preserve">The Strategy Signal Agent must output observed fact, interpretation, possible implication, recommended action, and confidence as separate fields.</w:t>
      </w:r>
    </w:p>
    <w:bookmarkEnd w:id="37"/>
    <w:bookmarkStart w:id="42" w:name="Xcc80f3ab29aae5feb0f698eeae7d4788bff57ee"/>
    <w:p>
      <w:pPr>
        <w:pStyle w:val="Heading1"/>
      </w:pPr>
      <w:r>
        <w:t xml:space="preserve">7. Workflows</w:t>
      </w:r>
    </w:p>
    <w:bookmarkStart w:id="38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Retrieve approved source, verify policy, hash content, skip unchanged content, persist source snapshot/reference, and queue extraction.</w:t>
      </w:r>
    </w:p>
    <w:bookmarkEnd w:id="38"/>
    <w:bookmarkStart w:id="39" w:name="observation-and-change"/>
    <w:p>
      <w:pPr>
        <w:pStyle w:val="Heading2"/>
      </w:pPr>
      <w:r>
        <w:t xml:space="preserve">Observation and change</w:t>
      </w:r>
    </w:p>
    <w:p>
      <w:pPr>
        <w:pStyle w:val="FirstParagraph"/>
      </w:pPr>
      <w:r>
        <w:t xml:space="preserve">Extract facts, label company claims, compare with baseline, suppress formatting-only change, calculate materiality, and create MarketChange.</w:t>
      </w:r>
    </w:p>
    <w:bookmarkEnd w:id="39"/>
    <w:bookmarkStart w:id="40" w:name="strategic-alert"/>
    <w:p>
      <w:pPr>
        <w:pStyle w:val="Heading2"/>
      </w:pPr>
      <w:r>
        <w:t xml:space="preserve">Strategic alert</w:t>
      </w:r>
    </w:p>
    <w:p>
      <w:pPr>
        <w:pStyle w:val="FirstParagraph"/>
      </w:pPr>
      <w:r>
        <w:t xml:space="preserve">Deduplicate, assess relevance to enrollment/product/pricing/communications, project to Notion, and allow founder to open canonical decision or signal.</w:t>
      </w:r>
    </w:p>
    <w:bookmarkEnd w:id="40"/>
    <w:bookmarkStart w:id="41" w:name="pricing-review"/>
    <w:p>
      <w:pPr>
        <w:pStyle w:val="Heading2"/>
      </w:pPr>
      <w:r>
        <w:t xml:space="preserve">Pricing review</w:t>
      </w:r>
    </w:p>
    <w:p>
      <w:pPr>
        <w:pStyle w:val="FirstParagraph"/>
      </w:pPr>
      <w:r>
        <w:t xml:space="preserve">Compare only reasonably comparable offers, display conditions and dates, avoid false precision, and route any pricing recommendation to Phase 6 decision governance.</w:t>
      </w:r>
    </w:p>
    <w:bookmarkEnd w:id="41"/>
    <w:bookmarkEnd w:id="42"/>
    <w:bookmarkStart w:id="43" w:name="X189263c7db12aaf9051e064bfd14d6dfd52eaf9"/>
    <w:p>
      <w:pPr>
        <w:pStyle w:val="Heading1"/>
      </w:pPr>
      <w:r>
        <w:t xml:space="preserve">8. APIs and jobs</w:t>
      </w:r>
    </w:p>
    <w:p>
      <w:pPr>
        <w:pStyle w:val="FirstParagraph"/>
      </w:pPr>
      <w:r>
        <w:t xml:space="preserve">API families: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/api/fos/competitors/*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/api/fos/research-sources/*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/api/fos/competitor-observations/*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/api/fos/market-changes/*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/api/fos/price-points/*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/api/fos/strategic-alerts/*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/api/fos/market-briefs/*</w:t>
      </w:r>
    </w:p>
    <w:p>
      <w:pPr>
        <w:pStyle w:val="FirstParagraph"/>
      </w:pPr>
      <w:r>
        <w:t xml:space="preserve">Jobs: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monitor-research-source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extract-competitor-observations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detect-market-change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refresh-pricing-comparison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generate-job-based-comparison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generate-strategic-alert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generate-weekly-market-brief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expire-stale-market-evidence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reconcile-market-projections</w:t>
      </w:r>
    </w:p>
    <w:bookmarkEnd w:id="43"/>
    <w:bookmarkStart w:id="44" w:name="Xa9693ef7332e58103ef5136b42778199e145b66"/>
    <w:p>
      <w:pPr>
        <w:pStyle w:val="Heading1"/>
      </w:pPr>
      <w:r>
        <w:t xml:space="preserve">9. Deterministic safeguards</w:t>
      </w:r>
    </w:p>
    <w:p>
      <w:pPr>
        <w:pStyle w:val="Compact"/>
        <w:numPr>
          <w:ilvl w:val="0"/>
          <w:numId w:val="1007"/>
        </w:numPr>
      </w:pPr>
      <w:r>
        <w:t xml:space="preserve">Respect source access and terms policies.</w:t>
      </w:r>
    </w:p>
    <w:p>
      <w:pPr>
        <w:pStyle w:val="Compact"/>
        <w:numPr>
          <w:ilvl w:val="0"/>
          <w:numId w:val="1007"/>
        </w:numPr>
      </w:pPr>
      <w:r>
        <w:t xml:space="preserve">Company claims are labeled as company-provided.</w:t>
      </w:r>
    </w:p>
    <w:p>
      <w:pPr>
        <w:pStyle w:val="Compact"/>
        <w:numPr>
          <w:ilvl w:val="0"/>
          <w:numId w:val="1007"/>
        </w:numPr>
      </w:pPr>
      <w:r>
        <w:t xml:space="preserve">Low-confidence rumor cannot create a high-confidence fact.</w:t>
      </w:r>
    </w:p>
    <w:p>
      <w:pPr>
        <w:pStyle w:val="Compact"/>
        <w:numPr>
          <w:ilvl w:val="0"/>
          <w:numId w:val="1007"/>
        </w:numPr>
      </w:pPr>
      <w:r>
        <w:t xml:space="preserve">Stale prices are visibly stale.</w:t>
      </w:r>
    </w:p>
    <w:p>
      <w:pPr>
        <w:pStyle w:val="Compact"/>
        <w:numPr>
          <w:ilvl w:val="0"/>
          <w:numId w:val="1007"/>
        </w:numPr>
      </w:pPr>
      <w:r>
        <w:t xml:space="preserve">Unchanged sources do not generate alerts.</w:t>
      </w:r>
    </w:p>
    <w:p>
      <w:pPr>
        <w:pStyle w:val="Compact"/>
        <w:numPr>
          <w:ilvl w:val="0"/>
          <w:numId w:val="1007"/>
        </w:numPr>
      </w:pPr>
      <w:r>
        <w:t xml:space="preserve">Notion cannot alter evidence or price points directly.</w:t>
      </w:r>
    </w:p>
    <w:p>
      <w:pPr>
        <w:pStyle w:val="Compact"/>
        <w:numPr>
          <w:ilvl w:val="0"/>
          <w:numId w:val="1007"/>
        </w:numPr>
      </w:pPr>
      <w:r>
        <w:t xml:space="preserve">Market findings cannot change roadmap, positioning, or price without founder decision.</w:t>
      </w:r>
    </w:p>
    <w:bookmarkEnd w:id="44"/>
    <w:bookmarkStart w:id="45" w:name="Xdf051a3f34748411eb837880f90435ba46f4801"/>
    <w:p>
      <w:pPr>
        <w:pStyle w:val="Heading1"/>
      </w:pPr>
      <w:r>
        <w:t xml:space="preserve">10. Tests</w:t>
      </w:r>
    </w:p>
    <w:p>
      <w:pPr>
        <w:pStyle w:val="FirstParagraph"/>
      </w:pPr>
      <w:r>
        <w:t xml:space="preserve">Tests cover unchanged source, pricing change, removed feature, company-claim labeling, rumor handling, duplicate alert suppression, stale price, strategic decision linkage, workspace conflict, and malicious webpage injection.</w:t>
      </w:r>
    </w:p>
    <w:bookmarkEnd w:id="45"/>
    <w:bookmarkStart w:id="46" w:name="Xb30ae5ad1a7f7e0ad57932361d461105eec36b4"/>
    <w:p>
      <w:pPr>
        <w:pStyle w:val="Heading1"/>
      </w:pPr>
      <w:r>
        <w:t xml:space="preserve">11. Work packages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Package</w:t>
            </w:r>
          </w:p>
        </w:tc>
        <w:tc>
          <w:tcPr>
            <w:vAlign w:val="center"/>
            <w:shd w:fill="E8EEF5"/>
          </w:tcPr>
          <w:p>
            <w:pPr>
              <w:pStyle w:val="Compact"/>
              <w:jc w:val="left"/>
            </w:pPr>
            <w:r>
              <w:rPr>
                <w:b/>
                <w:color w:val="10213A"/>
                <w:sz w:val="16"/>
              </w:rP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Competitor taxonomy and approved-source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Competitor, offering, and source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Retrieval, hashing, and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Observation extraction and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Material change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Pricing and offer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Job-based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Strategic alerts and market briefs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Notion intelligence workspace and decision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WP5.9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Evaluation, freshness, and noise tuning</w:t>
            </w:r>
          </w:p>
        </w:tc>
      </w:tr>
    </w:tbl>
    <w:bookmarkEnd w:id="46"/>
    <w:bookmarkStart w:id="47" w:name="Xb26b27c4408c599c1506b872edca348f0c0fbd4"/>
    <w:p>
      <w:pPr>
        <w:pStyle w:val="Heading1"/>
      </w:pPr>
      <w:r>
        <w:t xml:space="preserve">12. Definition of done</w:t>
      </w:r>
    </w:p>
    <w:p>
      <w:pPr>
        <w:pStyle w:val="Compact"/>
        <w:numPr>
          <w:ilvl w:val="0"/>
          <w:numId w:val="1008"/>
        </w:numPr>
      </w:pPr>
      <w:r>
        <w:t xml:space="preserve">Findings are dated, sourced, classified, and confidence-scored.</w:t>
      </w:r>
    </w:p>
    <w:p>
      <w:pPr>
        <w:pStyle w:val="Compact"/>
        <w:numPr>
          <w:ilvl w:val="0"/>
          <w:numId w:val="1008"/>
        </w:numPr>
      </w:pPr>
      <w:r>
        <w:t xml:space="preserve">Material changes are detected with acceptable duplicate/noise levels.</w:t>
      </w:r>
    </w:p>
    <w:p>
      <w:pPr>
        <w:pStyle w:val="Compact"/>
        <w:numPr>
          <w:ilvl w:val="0"/>
          <w:numId w:val="1008"/>
        </w:numPr>
      </w:pPr>
      <w:r>
        <w:t xml:space="preserve">Pricing freshness and comparability are visible.</w:t>
      </w:r>
    </w:p>
    <w:p>
      <w:pPr>
        <w:pStyle w:val="Compact"/>
        <w:numPr>
          <w:ilvl w:val="0"/>
          <w:numId w:val="1008"/>
        </w:numPr>
      </w:pPr>
      <w:r>
        <w:t xml:space="preserve">Founder can convert an alert into a canonical decision, signal, or content brief.</w:t>
      </w:r>
    </w:p>
    <w:p>
      <w:pPr>
        <w:pStyle w:val="Compact"/>
        <w:numPr>
          <w:ilvl w:val="0"/>
          <w:numId w:val="1008"/>
        </w:numPr>
      </w:pPr>
      <w:r>
        <w:t xml:space="preserve">No market agent changes strategy or pricing automatically.</w:t>
      </w:r>
    </w:p>
    <w:bookmarkEnd w:id="47"/>
    <w:bookmarkStart w:id="52" w:name="shared-architectural-invariants"/>
    <w:p>
      <w:pPr>
        <w:pStyle w:val="Heading1"/>
      </w:pPr>
      <w:r>
        <w:t xml:space="preserve">Shared architectural invariants</w:t>
      </w:r>
    </w:p>
    <w:p>
      <w:pPr>
        <w:pStyle w:val="FirstParagraph"/>
      </w:pPr>
      <w:r>
        <w:t xml:space="preserve">The following rules are inherited from revised Phase 0 and are non-negotiable for this phase: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FOS owns canonical state and intelligence.</w:t>
      </w:r>
      <w:r>
        <w:t xml:space="preserve"> </w:t>
      </w:r>
      <w:r>
        <w:t xml:space="preserve">Notion is a founder-facing working environment and projection surface.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External workspace changes are commands, not direct mutations.</w:t>
      </w:r>
      <w:r>
        <w:t xml:space="preserve"> </w:t>
      </w:r>
      <w:r>
        <w:t xml:space="preserve">A Notion status change or button creates a validated</w:t>
      </w:r>
      <w:r>
        <w:t xml:space="preserve"> </w:t>
      </w:r>
      <w:r>
        <w:rPr>
          <w:rStyle w:val="VerbatimChar"/>
        </w:rPr>
        <w:t xml:space="preserve">WorkspaceCommand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Artifacts are generic and versioned.</w:t>
      </w:r>
      <w:r>
        <w:t xml:space="preserve"> </w:t>
      </w:r>
      <w:r>
        <w:t xml:space="preserve">Enrollment messages, specifications, LinkedIn posts, Substack papers, reports, and reviews use</w:t>
      </w:r>
      <w:r>
        <w:t xml:space="preserve"> </w:t>
      </w:r>
      <w:r>
        <w:rPr>
          <w:rStyle w:val="VerbatimChar"/>
        </w:rPr>
        <w:t xml:space="preserve">ArtifactRecord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Approvals are interface-independent.</w:t>
      </w:r>
      <w:r>
        <w:t xml:space="preserve"> </w:t>
      </w:r>
      <w:r>
        <w:t xml:space="preserve">Approval state is canonical and may be requested from Notion, a native interface, or an API.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Evidence, claims, consent, and product availability are deterministic gates.</w:t>
      </w:r>
      <w:r>
        <w:t xml:space="preserve"> </w:t>
      </w:r>
      <w:r>
        <w:t xml:space="preserve">Models may recommend; they may not waive these controls.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 projection has an ownership policy.</w:t>
      </w:r>
      <w:r>
        <w:t xml:space="preserve"> </w:t>
      </w:r>
      <w:r>
        <w:t xml:space="preserve">Fields are</w:t>
      </w:r>
      <w:r>
        <w:t xml:space="preserve"> </w:t>
      </w:r>
      <w:r>
        <w:rPr>
          <w:rStyle w:val="VerbatimChar"/>
        </w:rPr>
        <w:t xml:space="preserve">canonical_read_only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working_copy_editable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controlled_command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Raw events are immutable.</w:t>
      </w:r>
      <w:r>
        <w:t xml:space="preserve"> </w:t>
      </w:r>
      <w:r>
        <w:t xml:space="preserve">Derived summaries may be superseded but not silently overwrite source history.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 agent is bounded.</w:t>
      </w:r>
      <w:r>
        <w:t xml:space="preserve"> </w:t>
      </w:r>
      <w:r>
        <w:t xml:space="preserve">Each agent has a versioned objective, input schema, output schema, permitted tools, permitted memory scopes, evaluation policy, and autonomy ceiling.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autonomous publishing, sending, pricing change, contractual commitment, or production deployment</w:t>
      </w:r>
      <w:r>
        <w:t xml:space="preserve"> </w:t>
      </w:r>
      <w:r>
        <w:t xml:space="preserve">is permitted unless a later founder-approved governance decision explicitly changes the rule.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FOS must remain operational if Notion or another workspace provider is unavailable.</w:t>
      </w:r>
    </w:p>
    <w:bookmarkStart w:id="51" w:name="founder-workspace-integration-contract"/>
    <w:p>
      <w:pPr>
        <w:pStyle w:val="Heading2"/>
      </w:pPr>
      <w:r>
        <w:t xml:space="preserve">Founder Workspace integration contract</w:t>
      </w:r>
    </w:p>
    <w:p>
      <w:pPr>
        <w:pStyle w:val="FirstParagraph"/>
      </w:pPr>
      <w:r>
        <w:t xml:space="preserve">All founder-facing work for this phase must use the Phase 0 workspace adapter.</w:t>
      </w:r>
    </w:p>
    <w:bookmarkStart w:id="48" w:name="projection-pattern"/>
    <w:p>
      <w:pPr>
        <w:pStyle w:val="Heading3"/>
      </w:pPr>
      <w:r>
        <w:t xml:space="preserve">Projection pattern</w:t>
      </w:r>
    </w:p>
    <w:p>
      <w:pPr>
        <w:pStyle w:val="SourceCode"/>
      </w:pPr>
      <w:r>
        <w:rPr>
          <w:rStyle w:val="VerbatimChar"/>
        </w:rPr>
        <w:t xml:space="preserve">Canonical record or artifact created</w:t>
      </w:r>
      <w:r>
        <w:br/>
      </w:r>
      <w:r>
        <w:rPr>
          <w:rStyle w:val="VerbatimChar"/>
        </w:rPr>
        <w:t xml:space="preserve">        -&gt; operational event emitted</w:t>
      </w:r>
      <w:r>
        <w:br/>
      </w:r>
      <w:r>
        <w:rPr>
          <w:rStyle w:val="VerbatimChar"/>
        </w:rPr>
        <w:t xml:space="preserve">        -&gt; projection policy evaluated</w:t>
      </w:r>
      <w:r>
        <w:br/>
      </w:r>
      <w:r>
        <w:rPr>
          <w:rStyle w:val="VerbatimChar"/>
        </w:rPr>
        <w:t xml:space="preserve">        -&gt; safe working copy created or updated in Notion</w:t>
      </w:r>
      <w:r>
        <w:br/>
      </w:r>
      <w:r>
        <w:rPr>
          <w:rStyle w:val="VerbatimChar"/>
        </w:rPr>
        <w:t xml:space="preserve">        -&gt; canonical ID and version stored on the provider page</w:t>
      </w:r>
      <w:r>
        <w:br/>
      </w:r>
      <w:r>
        <w:rPr>
          <w:rStyle w:val="VerbatimChar"/>
        </w:rPr>
        <w:t xml:space="preserve">        -&gt; founder edits or commands captured</w:t>
      </w:r>
      <w:r>
        <w:br/>
      </w:r>
      <w:r>
        <w:rPr>
          <w:rStyle w:val="VerbatimChar"/>
        </w:rPr>
        <w:t xml:space="preserve">        -&gt; FOS validates and executes canonical change</w:t>
      </w:r>
      <w:r>
        <w:br/>
      </w:r>
      <w:r>
        <w:rPr>
          <w:rStyle w:val="VerbatimChar"/>
        </w:rPr>
        <w:t xml:space="preserve">        -&gt; projection is reconciled</w:t>
      </w:r>
    </w:p>
    <w:bookmarkEnd w:id="48"/>
    <w:bookmarkStart w:id="49" w:name="required-hidden-projection-properties"/>
    <w:p>
      <w:pPr>
        <w:pStyle w:val="Heading3"/>
      </w:pPr>
      <w:r>
        <w:t xml:space="preserve">Required hidden projection properties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FOS Record 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FOS Entity Type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FOS Version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FOS Workspace 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Projection Status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Last Synced At</w:t>
      </w:r>
    </w:p>
    <w:bookmarkEnd w:id="49"/>
    <w:bookmarkStart w:id="50" w:name="conflict-rule"/>
    <w:p>
      <w:pPr>
        <w:pStyle w:val="Heading3"/>
      </w:pPr>
      <w:r>
        <w:t xml:space="preserve">Conflict rule</w:t>
      </w:r>
    </w:p>
    <w:p>
      <w:pPr>
        <w:pStyle w:val="FirstParagraph"/>
      </w:pPr>
      <w:r>
        <w:t xml:space="preserve">A controlled command may execute only when the provider's</w:t>
      </w:r>
      <w:r>
        <w:t xml:space="preserve"> </w:t>
      </w:r>
      <w:r>
        <w:rPr>
          <w:rStyle w:val="VerbatimChar"/>
        </w:rPr>
        <w:t xml:space="preserve">FOS Version</w:t>
      </w:r>
      <w:r>
        <w:t xml:space="preserve"> </w:t>
      </w:r>
      <w:r>
        <w:t xml:space="preserve">matches the current canonical version. Otherwise the command is placed in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status and the founder receives a reconciliation item.</w:t>
      </w:r>
    </w:p>
    <w:bookmarkEnd w:id="50"/>
    <w:bookmarkEnd w:id="51"/>
    <w:bookmarkEnd w:id="52"/>
    <w:bookmarkStart w:id="53" w:name="agent-runtime-requirements"/>
    <w:p>
      <w:pPr>
        <w:pStyle w:val="Heading1"/>
      </w:pPr>
      <w:r>
        <w:t xml:space="preserve">Agent runtime requirements</w:t>
      </w:r>
    </w:p>
    <w:p>
      <w:pPr>
        <w:pStyle w:val="FirstParagraph"/>
      </w:pPr>
      <w:r>
        <w:t xml:space="preserve">Every agent run must execute the following stages:</w:t>
      </w:r>
    </w:p>
    <w:p>
      <w:pPr>
        <w:pStyle w:val="Compact"/>
        <w:numPr>
          <w:ilvl w:val="0"/>
          <w:numId w:val="1011"/>
        </w:numPr>
      </w:pPr>
      <w:r>
        <w:t xml:space="preserve">Trigger validation</w:t>
      </w:r>
    </w:p>
    <w:p>
      <w:pPr>
        <w:pStyle w:val="Compact"/>
        <w:numPr>
          <w:ilvl w:val="0"/>
          <w:numId w:val="1011"/>
        </w:numPr>
      </w:pPr>
      <w:r>
        <w:t xml:space="preserve">Authorization and feature-flag validation</w:t>
      </w:r>
    </w:p>
    <w:p>
      <w:pPr>
        <w:pStyle w:val="Compact"/>
        <w:numPr>
          <w:ilvl w:val="0"/>
          <w:numId w:val="1011"/>
        </w:numPr>
      </w:pPr>
      <w:r>
        <w:t xml:space="preserve">Context assembly and minimization</w:t>
      </w:r>
    </w:p>
    <w:p>
      <w:pPr>
        <w:pStyle w:val="Compact"/>
        <w:numPr>
          <w:ilvl w:val="0"/>
          <w:numId w:val="1011"/>
        </w:numPr>
      </w:pPr>
      <w:r>
        <w:t xml:space="preserve">Prompt construction from a versioned agent definition</w:t>
      </w:r>
    </w:p>
    <w:p>
      <w:pPr>
        <w:pStyle w:val="Compact"/>
        <w:numPr>
          <w:ilvl w:val="0"/>
          <w:numId w:val="1011"/>
        </w:numPr>
      </w:pPr>
      <w:r>
        <w:t xml:space="preserve">Model execution</w:t>
      </w:r>
    </w:p>
    <w:p>
      <w:pPr>
        <w:pStyle w:val="Compact"/>
        <w:numPr>
          <w:ilvl w:val="0"/>
          <w:numId w:val="1011"/>
        </w:numPr>
      </w:pPr>
      <w:r>
        <w:t xml:space="preserve">Structured-output validation</w:t>
      </w:r>
    </w:p>
    <w:p>
      <w:pPr>
        <w:pStyle w:val="Compact"/>
        <w:numPr>
          <w:ilvl w:val="0"/>
          <w:numId w:val="1011"/>
        </w:numPr>
      </w:pPr>
      <w:r>
        <w:t xml:space="preserve">Deterministic policy evaluation</w:t>
      </w:r>
    </w:p>
    <w:p>
      <w:pPr>
        <w:pStyle w:val="Compact"/>
        <w:numPr>
          <w:ilvl w:val="0"/>
          <w:numId w:val="1011"/>
        </w:numPr>
      </w:pPr>
      <w:r>
        <w:t xml:space="preserve">Secondary quality evaluation where configured</w:t>
      </w:r>
    </w:p>
    <w:p>
      <w:pPr>
        <w:pStyle w:val="Compact"/>
        <w:numPr>
          <w:ilvl w:val="0"/>
          <w:numId w:val="1011"/>
        </w:numPr>
      </w:pPr>
      <w:r>
        <w:t xml:space="preserve">Canonical persistence</w:t>
      </w:r>
    </w:p>
    <w:p>
      <w:pPr>
        <w:pStyle w:val="Compact"/>
        <w:numPr>
          <w:ilvl w:val="0"/>
          <w:numId w:val="1011"/>
        </w:numPr>
      </w:pPr>
      <w:r>
        <w:t xml:space="preserve">Approval routing or reversible execution</w:t>
      </w:r>
    </w:p>
    <w:p>
      <w:pPr>
        <w:pStyle w:val="Compact"/>
        <w:numPr>
          <w:ilvl w:val="0"/>
          <w:numId w:val="1011"/>
        </w:numPr>
      </w:pPr>
      <w:r>
        <w:t xml:space="preserve">Projection update</w:t>
      </w:r>
    </w:p>
    <w:p>
      <w:pPr>
        <w:pStyle w:val="Compact"/>
        <w:numPr>
          <w:ilvl w:val="0"/>
          <w:numId w:val="1011"/>
        </w:numPr>
      </w:pPr>
      <w:r>
        <w:t xml:space="preserve">Metrics and audit emission</w:t>
      </w:r>
    </w:p>
    <w:p>
      <w:pPr>
        <w:pStyle w:val="FirstParagraph"/>
      </w:pPr>
      <w:r>
        <w:t xml:space="preserve">If structured output fails, retry once with a repair prompt. If repair fails, mark the run</w:t>
      </w:r>
      <w:r>
        <w:t xml:space="preserve"> </w:t>
      </w:r>
      <w:r>
        <w:rPr>
          <w:rStyle w:val="VerbatimChar"/>
        </w:rPr>
        <w:t xml:space="preserve">evaluation_failed</w:t>
      </w:r>
      <w:r>
        <w:t xml:space="preserve">, create a founder-visible operational item, and do not create an approval-ready artifact.</w:t>
      </w:r>
    </w:p>
    <w:bookmarkEnd w:id="53"/>
    <w:bookmarkStart w:id="58" w:name="security-privacy-and-governance"/>
    <w:p>
      <w:pPr>
        <w:pStyle w:val="Heading1"/>
      </w:pPr>
      <w:r>
        <w:t xml:space="preserve">Security, privacy, and governance</w:t>
      </w:r>
    </w:p>
    <w:bookmarkStart w:id="54" w:name="least-privilege"/>
    <w:p>
      <w:pPr>
        <w:pStyle w:val="Heading2"/>
      </w:pPr>
      <w:r>
        <w:t xml:space="preserve">Least privilege</w:t>
      </w:r>
    </w:p>
    <w:p>
      <w:pPr>
        <w:pStyle w:val="Compact"/>
        <w:numPr>
          <w:ilvl w:val="0"/>
          <w:numId w:val="1012"/>
        </w:numPr>
      </w:pPr>
      <w:r>
        <w:t xml:space="preserve">Agents receive only the records required for the current run.</w:t>
      </w:r>
    </w:p>
    <w:p>
      <w:pPr>
        <w:pStyle w:val="Compact"/>
        <w:numPr>
          <w:ilvl w:val="0"/>
          <w:numId w:val="1012"/>
        </w:numPr>
      </w:pPr>
      <w:r>
        <w:t xml:space="preserve">Workspace projections contain summaries unless full working content is required.</w:t>
      </w:r>
    </w:p>
    <w:p>
      <w:pPr>
        <w:pStyle w:val="Compact"/>
        <w:numPr>
          <w:ilvl w:val="0"/>
          <w:numId w:val="1012"/>
        </w:numPr>
      </w:pPr>
      <w:r>
        <w:t xml:space="preserve">Private source documents, raw model prompts, credentials, payment details, and exploitable security findings are</w:t>
      </w:r>
      <w:r>
        <w:t xml:space="preserve"> </w:t>
      </w:r>
      <w:r>
        <w:rPr>
          <w:rStyle w:val="VerbatimChar"/>
        </w:rPr>
        <w:t xml:space="preserve">not_projectable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12"/>
        </w:numPr>
      </w:pPr>
      <w:r>
        <w:t xml:space="preserve">Marketing and research agents may not access unrestricted applicant or beta-user records.</w:t>
      </w:r>
    </w:p>
    <w:bookmarkEnd w:id="54"/>
    <w:bookmarkStart w:id="55" w:name="prompt-injection-defense"/>
    <w:p>
      <w:pPr>
        <w:pStyle w:val="Heading2"/>
      </w:pPr>
      <w:r>
        <w:t xml:space="preserve">Prompt-injection defense</w:t>
      </w:r>
    </w:p>
    <w:p>
      <w:pPr>
        <w:pStyle w:val="FirstParagraph"/>
      </w:pPr>
      <w:r>
        <w:t xml:space="preserve">Applications, resumes, email, transcripts, web pages, competitor pages, imported notes, and workspace page content are untrusted data. They may not modify system policy, tool permissions, approval requirements, or data-access scope.</w:t>
      </w:r>
    </w:p>
    <w:bookmarkEnd w:id="55"/>
    <w:bookmarkStart w:id="56" w:name="audit"/>
    <w:p>
      <w:pPr>
        <w:pStyle w:val="Heading2"/>
      </w:pPr>
      <w:r>
        <w:t xml:space="preserve">Audit</w:t>
      </w:r>
    </w:p>
    <w:p>
      <w:pPr>
        <w:pStyle w:val="FirstParagraph"/>
      </w:pPr>
      <w:r>
        <w:t xml:space="preserve">The system must reconstruct every consequential outcome from:</w:t>
      </w:r>
    </w:p>
    <w:p>
      <w:pPr>
        <w:pStyle w:val="Compact"/>
        <w:numPr>
          <w:ilvl w:val="0"/>
          <w:numId w:val="1013"/>
        </w:numPr>
      </w:pPr>
      <w:r>
        <w:t xml:space="preserve">Trigger</w:t>
      </w:r>
    </w:p>
    <w:p>
      <w:pPr>
        <w:pStyle w:val="Compact"/>
        <w:numPr>
          <w:ilvl w:val="0"/>
          <w:numId w:val="1013"/>
        </w:numPr>
      </w:pPr>
      <w:r>
        <w:t xml:space="preserve">Actor</w:t>
      </w:r>
    </w:p>
    <w:p>
      <w:pPr>
        <w:pStyle w:val="Compact"/>
        <w:numPr>
          <w:ilvl w:val="0"/>
          <w:numId w:val="1013"/>
        </w:numPr>
      </w:pPr>
      <w:r>
        <w:t xml:space="preserve">Source records</w:t>
      </w:r>
    </w:p>
    <w:p>
      <w:pPr>
        <w:pStyle w:val="Compact"/>
        <w:numPr>
          <w:ilvl w:val="0"/>
          <w:numId w:val="1013"/>
        </w:numPr>
      </w:pPr>
      <w:r>
        <w:t xml:space="preserve">Retrieved context manifest</w:t>
      </w:r>
    </w:p>
    <w:p>
      <w:pPr>
        <w:pStyle w:val="Compact"/>
        <w:numPr>
          <w:ilvl w:val="0"/>
          <w:numId w:val="1013"/>
        </w:numPr>
      </w:pPr>
      <w:r>
        <w:t xml:space="preserve">Agent and prompt version</w:t>
      </w:r>
    </w:p>
    <w:p>
      <w:pPr>
        <w:pStyle w:val="Compact"/>
        <w:numPr>
          <w:ilvl w:val="0"/>
          <w:numId w:val="1013"/>
        </w:numPr>
      </w:pPr>
      <w:r>
        <w:t xml:space="preserve">Output</w:t>
      </w:r>
    </w:p>
    <w:p>
      <w:pPr>
        <w:pStyle w:val="Compact"/>
        <w:numPr>
          <w:ilvl w:val="0"/>
          <w:numId w:val="1013"/>
        </w:numPr>
      </w:pPr>
      <w:r>
        <w:t xml:space="preserve">Deterministic evaluation</w:t>
      </w:r>
    </w:p>
    <w:p>
      <w:pPr>
        <w:pStyle w:val="Compact"/>
        <w:numPr>
          <w:ilvl w:val="0"/>
          <w:numId w:val="1013"/>
        </w:numPr>
      </w:pPr>
      <w:r>
        <w:t xml:space="preserve">Founder edits</w:t>
      </w:r>
    </w:p>
    <w:p>
      <w:pPr>
        <w:pStyle w:val="Compact"/>
        <w:numPr>
          <w:ilvl w:val="0"/>
          <w:numId w:val="1013"/>
        </w:numPr>
      </w:pPr>
      <w:r>
        <w:t xml:space="preserve">Approval or rejection</w:t>
      </w:r>
    </w:p>
    <w:p>
      <w:pPr>
        <w:pStyle w:val="Compact"/>
        <w:numPr>
          <w:ilvl w:val="0"/>
          <w:numId w:val="1013"/>
        </w:numPr>
      </w:pPr>
      <w:r>
        <w:t xml:space="preserve">External action</w:t>
      </w:r>
    </w:p>
    <w:p>
      <w:pPr>
        <w:pStyle w:val="Compact"/>
        <w:numPr>
          <w:ilvl w:val="0"/>
          <w:numId w:val="1013"/>
        </w:numPr>
      </w:pPr>
      <w:r>
        <w:t xml:space="preserve">Resulting business outcome</w:t>
      </w:r>
    </w:p>
    <w:bookmarkEnd w:id="56"/>
    <w:bookmarkStart w:id="57" w:name="failure-posture"/>
    <w:p>
      <w:pPr>
        <w:pStyle w:val="Heading2"/>
      </w:pPr>
      <w:r>
        <w:t xml:space="preserve">Failure posture</w:t>
      </w:r>
    </w:p>
    <w:p>
      <w:pPr>
        <w:pStyle w:val="FirstParagraph"/>
      </w:pPr>
      <w:r>
        <w:t xml:space="preserve">Failures must preserve canonical state, create a visible retry or manual-work item, and never imply that an external action succeeded when it did not.</w:t>
      </w:r>
    </w:p>
    <w:bookmarkEnd w:id="57"/>
    <w:bookmarkEnd w:id="58"/>
    <w:bookmarkStart w:id="59" w:name="observability-and-cost-controls"/>
    <w:p>
      <w:pPr>
        <w:pStyle w:val="Heading1"/>
      </w:pPr>
      <w:r>
        <w:t xml:space="preserve">Observability and cost controls</w:t>
      </w:r>
    </w:p>
    <w:p>
      <w:pPr>
        <w:pStyle w:val="FirstParagraph"/>
      </w:pPr>
      <w:r>
        <w:t xml:space="preserve">Each workflow must emit structured logs and traces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workspace_id</w:t>
      </w:r>
    </w:p>
    <w:p>
      <w:pPr>
        <w:pStyle w:val="Compact"/>
        <w:numPr>
          <w:ilvl w:val="0"/>
          <w:numId w:val="1014"/>
        </w:numPr>
      </w:pPr>
      <w:r>
        <w:t xml:space="preserve">Correlation and causation IDs</w:t>
      </w:r>
    </w:p>
    <w:p>
      <w:pPr>
        <w:pStyle w:val="Compact"/>
        <w:numPr>
          <w:ilvl w:val="0"/>
          <w:numId w:val="1014"/>
        </w:numPr>
      </w:pPr>
      <w:r>
        <w:t xml:space="preserve">Phase and workflow key</w:t>
      </w:r>
    </w:p>
    <w:p>
      <w:pPr>
        <w:pStyle w:val="Compact"/>
        <w:numPr>
          <w:ilvl w:val="0"/>
          <w:numId w:val="1014"/>
        </w:numPr>
      </w:pPr>
      <w:r>
        <w:t xml:space="preserve">Agent key and version</w:t>
      </w:r>
    </w:p>
    <w:p>
      <w:pPr>
        <w:pStyle w:val="Compact"/>
        <w:numPr>
          <w:ilvl w:val="0"/>
          <w:numId w:val="1014"/>
        </w:numPr>
      </w:pPr>
      <w:r>
        <w:t xml:space="preserve">Canonical entity IDs</w:t>
      </w:r>
    </w:p>
    <w:p>
      <w:pPr>
        <w:pStyle w:val="Compact"/>
        <w:numPr>
          <w:ilvl w:val="0"/>
          <w:numId w:val="1014"/>
        </w:numPr>
      </w:pPr>
      <w:r>
        <w:t xml:space="preserve">Provider projection IDs where applicable</w:t>
      </w:r>
    </w:p>
    <w:p>
      <w:pPr>
        <w:pStyle w:val="Compact"/>
        <w:numPr>
          <w:ilvl w:val="0"/>
          <w:numId w:val="1014"/>
        </w:numPr>
      </w:pPr>
      <w:r>
        <w:t xml:space="preserve">Latency</w:t>
      </w:r>
    </w:p>
    <w:p>
      <w:pPr>
        <w:pStyle w:val="Compact"/>
        <w:numPr>
          <w:ilvl w:val="0"/>
          <w:numId w:val="1014"/>
        </w:numPr>
      </w:pPr>
      <w:r>
        <w:t xml:space="preserve">Model and tool cost</w:t>
      </w:r>
    </w:p>
    <w:p>
      <w:pPr>
        <w:pStyle w:val="Compact"/>
        <w:numPr>
          <w:ilvl w:val="0"/>
          <w:numId w:val="1014"/>
        </w:numPr>
      </w:pPr>
      <w:r>
        <w:t xml:space="preserve">Validation and evaluation result</w:t>
      </w:r>
    </w:p>
    <w:p>
      <w:pPr>
        <w:pStyle w:val="Compact"/>
        <w:numPr>
          <w:ilvl w:val="0"/>
          <w:numId w:val="1014"/>
        </w:numPr>
      </w:pPr>
      <w:r>
        <w:t xml:space="preserve">Retry count</w:t>
      </w:r>
    </w:p>
    <w:p>
      <w:pPr>
        <w:pStyle w:val="Compact"/>
        <w:numPr>
          <w:ilvl w:val="0"/>
          <w:numId w:val="1014"/>
        </w:numPr>
      </w:pPr>
      <w:r>
        <w:t xml:space="preserve">Approval result</w:t>
      </w:r>
    </w:p>
    <w:p>
      <w:pPr>
        <w:pStyle w:val="Compact"/>
        <w:numPr>
          <w:ilvl w:val="0"/>
          <w:numId w:val="1014"/>
        </w:numPr>
      </w:pPr>
      <w:r>
        <w:t xml:space="preserve">External action result</w:t>
      </w:r>
    </w:p>
    <w:p>
      <w:pPr>
        <w:pStyle w:val="FirstParagraph"/>
      </w:pPr>
      <w:r>
        <w:t xml:space="preserve">Required phase dashboards must distinguish system activity from accepted business value. Agent-run volume is not itself a success metric.</w:t>
      </w:r>
    </w:p>
    <w:bookmarkEnd w:id="59"/>
    <w:bookmarkStart w:id="60" w:name="deployment-and-activation-model"/>
    <w:p>
      <w:pPr>
        <w:pStyle w:val="Heading1"/>
      </w:pPr>
      <w:r>
        <w:t xml:space="preserve">Deployment and activation model</w:t>
      </w:r>
    </w:p>
    <w:p>
      <w:pPr>
        <w:pStyle w:val="FirstParagraph"/>
      </w:pPr>
      <w:r>
        <w:t xml:space="preserve">Each major capability must progress through:</w:t>
      </w:r>
    </w:p>
    <w:p>
      <w:pPr>
        <w:pStyle w:val="Compact"/>
        <w:numPr>
          <w:ilvl w:val="0"/>
          <w:numId w:val="1015"/>
        </w:numPr>
      </w:pPr>
      <w:r>
        <w:t xml:space="preserve">Local development</w:t>
      </w:r>
    </w:p>
    <w:p>
      <w:pPr>
        <w:pStyle w:val="Compact"/>
        <w:numPr>
          <w:ilvl w:val="0"/>
          <w:numId w:val="1015"/>
        </w:numPr>
      </w:pPr>
      <w:r>
        <w:t xml:space="preserve">Automated tests</w:t>
      </w:r>
    </w:p>
    <w:p>
      <w:pPr>
        <w:pStyle w:val="Compact"/>
        <w:numPr>
          <w:ilvl w:val="0"/>
          <w:numId w:val="1015"/>
        </w:numPr>
      </w:pPr>
      <w:r>
        <w:t xml:space="preserve">Staging with synthetic fixtures</w:t>
      </w:r>
    </w:p>
    <w:p>
      <w:pPr>
        <w:pStyle w:val="Compact"/>
        <w:numPr>
          <w:ilvl w:val="0"/>
          <w:numId w:val="1015"/>
        </w:numPr>
      </w:pPr>
      <w:r>
        <w:t xml:space="preserve">Production with feature flag disabled</w:t>
      </w:r>
    </w:p>
    <w:p>
      <w:pPr>
        <w:pStyle w:val="Compact"/>
        <w:numPr>
          <w:ilvl w:val="0"/>
          <w:numId w:val="1015"/>
        </w:numPr>
      </w:pPr>
      <w:r>
        <w:t xml:space="preserve">Production shadow mode</w:t>
      </w:r>
    </w:p>
    <w:p>
      <w:pPr>
        <w:pStyle w:val="Compact"/>
        <w:numPr>
          <w:ilvl w:val="0"/>
          <w:numId w:val="1015"/>
        </w:numPr>
      </w:pPr>
      <w:r>
        <w:t xml:space="preserve">Founder-only review mode</w:t>
      </w:r>
    </w:p>
    <w:p>
      <w:pPr>
        <w:pStyle w:val="Compact"/>
        <w:numPr>
          <w:ilvl w:val="0"/>
          <w:numId w:val="1015"/>
        </w:numPr>
      </w:pPr>
      <w:r>
        <w:t xml:space="preserve">Limited live activation</w:t>
      </w:r>
    </w:p>
    <w:p>
      <w:pPr>
        <w:pStyle w:val="Compact"/>
        <w:numPr>
          <w:ilvl w:val="0"/>
          <w:numId w:val="1015"/>
        </w:numPr>
      </w:pPr>
      <w:r>
        <w:t xml:space="preserve">Measured promotion or rollback</w:t>
      </w:r>
    </w:p>
    <w:p>
      <w:pPr>
        <w:pStyle w:val="FirstParagraph"/>
      </w:pPr>
      <w:r>
        <w:t xml:space="preserve">Every agent and workspace workflow requires an independent feature flag and version rollback path.</w:t>
      </w:r>
      <w:r>
        <w:t xml:space="preserve"> </w:t>
      </w:r>
      <w:r>
        <w:t xml:space="preserve"># Coding-agent execution instruction</w:t>
      </w:r>
    </w:p>
    <w:p>
      <w:pPr>
        <w:pStyle w:val="SourceCode"/>
      </w:pPr>
      <w:r>
        <w:rPr>
          <w:rStyle w:val="VerbatimChar"/>
        </w:rPr>
        <w:t xml:space="preserve">&gt; Implement Phase 5 - Competitive, Pricing, and Market Intelligence according to this specification.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Begin by verifying that revised Phase 0 is operational: canonical records, generic artifacts, approvals, workspace commands, projection policies, evidence, claims, consent, event audit, feature flags, and the Notion provider adapter.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Produce an architecture decision record and a repository-to-requirement implementation map before migrations. Reuse Phase 0 services rather than creating parallel document, approval, consent, or workspace systems.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Maintain a live traceability matrix linking every requirement to implementation files, migrations, automated tests, feature flags, and operational metrics.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Preserve these phase-specific non-negotiable rules: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1. Public sources are untrusted data and must not alter agent policy or tool permissions.</w:t>
      </w:r>
    </w:p>
    <w:p>
      <w:pPr>
        <w:pStyle w:val="Compact"/>
        <w:numPr>
          <w:ilvl w:val="0"/>
          <w:numId w:val="1016"/>
        </w:numPr>
      </w:pPr>
      <w:r>
        <w:t xml:space="preserve">Evidence and price observations remain canonical; Notion contains review summaries.</w:t>
      </w:r>
    </w:p>
    <w:p>
      <w:pPr>
        <w:pStyle w:val="Compact"/>
        <w:numPr>
          <w:ilvl w:val="0"/>
          <w:numId w:val="1016"/>
        </w:numPr>
      </w:pPr>
      <w:r>
        <w:t xml:space="preserve">Company claims, third-party facts, and interpretations remain explicitly separate.</w:t>
      </w:r>
    </w:p>
    <w:p>
      <w:pPr>
        <w:pStyle w:val="Compact"/>
        <w:numPr>
          <w:ilvl w:val="0"/>
          <w:numId w:val="1016"/>
        </w:numPr>
      </w:pPr>
      <w:r>
        <w:t xml:space="preserve">Agents may create strategic alerts but may not change product strategy, positioning, or price.</w:t>
      </w:r>
    </w:p>
    <w:p>
      <w:pPr>
        <w:pStyle w:val="Compact"/>
        <w:numPr>
          <w:ilvl w:val="0"/>
          <w:numId w:val="1016"/>
        </w:numPr>
      </w:pPr>
      <w:r>
        <w:t xml:space="preserve">Retrieval must respect access, rate, and source-use policies.</w:t>
      </w:r>
      <w:r>
        <w:t xml:space="preserve"> </w:t>
      </w:r>
      <w:r>
        <w:t xml:space="preserve">&gt;</w:t>
      </w:r>
      <w:r>
        <w:t xml:space="preserve"> </w:t>
      </w:r>
      <w:r>
        <w:t xml:space="preserve">&gt; Implement work packages in dependency order. Activate each agent in shadow mode before founder-review mode. Treat Notion as a projection and controlled working surface, not as the source of canonical lifecycle, consent, claim, test, pricing, or deployment state.</w:t>
      </w:r>
    </w:p>
    <w:bookmarkEnd w:id="60"/>
    <w:sectPr w:rsidR="00FC693F" w:rsidRPr="0006063C" w:rsidSect="00034616">
      <w:footerReference r:id="rId9" w:type="default"/>
      <w:headerReference w:type="default" r:id="rId10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Founder Operating System | Phase 5 - Competitive, Pricing, and Market Intelligence | Version 3.0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A8491"/>
        <w:sz w:val="15"/>
      </w:rPr>
      <w:t>FOS-TECH-PHASE-5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0213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A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Aptos" w:asciiTheme="majorHAnsi" w:cstheme="majorBidi" w:eastAsiaTheme="majorEastAsia" w:hAnsi="Aptos" w:hAnsiTheme="majorHAnsi"/>
      <w:b/>
      <w:bCs/>
      <w:color w:val="1A365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10213A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0213A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 Display" w:asciiTheme="majorHAnsi" w:cstheme="majorBidi" w:eastAsiaTheme="majorEastAsia" w:hAnsi="Aptos Display" w:hAnsiTheme="majorHAnsi"/>
      <w:b/>
      <w:i/>
      <w:iCs/>
      <w:color w:val="1A365D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9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9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360" w:right="216"/>
    </w:pPr>
    <w:rPr>
      <w:rFonts w:ascii="Aptos" w:hAnsi="Aptos"/>
      <w:i/>
      <w:iCs/>
      <w:color w:val="1A365D"/>
      <w:sz w:val="19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360" w:right="216"/>
    </w:pPr>
    <w:rPr>
      <w:rFonts w:ascii="Aptos" w:hAnsi="Aptos"/>
      <w:b/>
      <w:bCs/>
      <w:i/>
      <w:iCs/>
      <w:color w:val="1A365D"/>
      <w:sz w:val="19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2026-07-13T22:19:13Z</dcterms:created>
  <dcterms:modified xsi:type="dcterms:W3CDTF">2026-07-13T22:19:13Z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