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29269" w14:textId="77777777" w:rsidR="008516C8" w:rsidRDefault="008516C8" w:rsidP="008516C8">
      <w:r>
        <w:t>Summary. Gastroscopy revealing focal complete intestinal metaplasia for surveillance gastroscopy in three years. Colonoscopy revealing hyperplastic polyp.</w:t>
      </w:r>
    </w:p>
    <w:p w14:paraId="5897AAB2" w14:textId="77777777" w:rsidR="008516C8" w:rsidRDefault="008516C8" w:rsidP="008516C8"/>
    <w:p w14:paraId="4D7C65BA" w14:textId="77777777" w:rsidR="008516C8" w:rsidRDefault="008516C8" w:rsidP="008516C8">
      <w:r>
        <w:t>No surveillance colonoscopy required. For review at pelvic floor physiotherapist. No action required by you.</w:t>
      </w:r>
    </w:p>
    <w:p w14:paraId="38575C19" w14:textId="77777777" w:rsidR="008516C8" w:rsidRDefault="008516C8" w:rsidP="008516C8"/>
    <w:p w14:paraId="0A750885" w14:textId="77777777" w:rsidR="008516C8" w:rsidRDefault="008516C8" w:rsidP="008516C8">
      <w:r>
        <w:t>I had the pleasure of conducting a telehealth appointment with Amy after her gastroscopy and her colonoscopy. You would be pleased to know that the colonoscopy did not reveal any significant pathology.</w:t>
      </w:r>
    </w:p>
    <w:p w14:paraId="46D49D33" w14:textId="77777777" w:rsidR="008516C8" w:rsidRDefault="008516C8" w:rsidP="008516C8"/>
    <w:p w14:paraId="659F80EC" w14:textId="77777777" w:rsidR="008516C8" w:rsidRDefault="008516C8" w:rsidP="008516C8">
      <w:r>
        <w:t>There were simply internal haemorrhoids and a small sessile polyp. Histologically, the polyp was hyperplastic in nature, and therefore she does not require a surveillance colonoscopy. Her gastroscopy excluded any significant pathology to explain her symptoms of dysphagia.</w:t>
      </w:r>
    </w:p>
    <w:p w14:paraId="3321BDF2" w14:textId="77777777" w:rsidR="008516C8" w:rsidRDefault="008516C8" w:rsidP="008516C8"/>
    <w:p w14:paraId="3080A915" w14:textId="77777777" w:rsidR="008516C8" w:rsidRDefault="008516C8" w:rsidP="008516C8">
      <w:r>
        <w:t xml:space="preserve">We excluded strictures and eosinophilic oesophagitis. </w:t>
      </w:r>
      <w:proofErr w:type="gramStart"/>
      <w:r>
        <w:t>That being said, biopsies</w:t>
      </w:r>
      <w:proofErr w:type="gramEnd"/>
      <w:r>
        <w:t xml:space="preserve"> of her stomach revealed intestinal metaplasia, which is a precancerous condition, and she has a low-risk subtype. I would recommend her surveillance gastroscopy in three years' time.</w:t>
      </w:r>
    </w:p>
    <w:p w14:paraId="52E35EFF" w14:textId="77777777" w:rsidR="008516C8" w:rsidRDefault="008516C8" w:rsidP="008516C8"/>
    <w:p w14:paraId="77C04AB4" w14:textId="77777777" w:rsidR="008516C8" w:rsidRDefault="008516C8" w:rsidP="008516C8">
      <w:r>
        <w:t xml:space="preserve">Amy's seen an improvement in symptoms with the very simple interventions I provided her with respect to bowel action mechanics, consumption of kiwi fruit, </w:t>
      </w:r>
      <w:proofErr w:type="gramStart"/>
      <w:r>
        <w:t>and also</w:t>
      </w:r>
      <w:proofErr w:type="gramEnd"/>
      <w:r>
        <w:t xml:space="preserve"> the application of compounded nifedipine and the lignocaine. But perhaps most importantly, she's seeing our bowel pelvic floor physiotherapist tomorrow, and this is ultimately going to be the best path forward </w:t>
      </w:r>
      <w:proofErr w:type="gramStart"/>
      <w:r>
        <w:t>in order to</w:t>
      </w:r>
      <w:proofErr w:type="gramEnd"/>
      <w:r>
        <w:t xml:space="preserve"> both control her symptoms and mitigate the risk for further fissure and haemorrhoid related bleeding. I've asked Amy to make an appointment with me in six months only if we don't see a resolution in her symptoms of bleeding.</w:t>
      </w:r>
    </w:p>
    <w:p w14:paraId="26FED513" w14:textId="77777777" w:rsidR="008516C8" w:rsidRDefault="008516C8" w:rsidP="008516C8"/>
    <w:p w14:paraId="70F73622" w14:textId="19411325" w:rsidR="0039460F" w:rsidRDefault="008516C8" w:rsidP="008516C8">
      <w:r>
        <w:t>I provided her with another prescription for the nifedipine and lignocaine. Kind of guts.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C8"/>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516C8"/>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2A7251"/>
  <w15:chartTrackingRefBased/>
  <w15:docId w15:val="{D3AF6331-E86A-0640-8E11-914F67C8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851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8516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16C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16C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16C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16C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16C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16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16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16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16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16C8"/>
    <w:rPr>
      <w:i/>
      <w:iCs/>
      <w:color w:val="404040" w:themeColor="text1" w:themeTint="BF"/>
      <w:lang w:val="en-GB"/>
    </w:rPr>
  </w:style>
  <w:style w:type="paragraph" w:styleId="ListParagraph">
    <w:name w:val="List Paragraph"/>
    <w:basedOn w:val="Normal"/>
    <w:uiPriority w:val="34"/>
    <w:qFormat/>
    <w:rsid w:val="008516C8"/>
    <w:pPr>
      <w:ind w:left="720"/>
      <w:contextualSpacing/>
    </w:pPr>
  </w:style>
  <w:style w:type="character" w:styleId="IntenseEmphasis">
    <w:name w:val="Intense Emphasis"/>
    <w:basedOn w:val="DefaultParagraphFont"/>
    <w:uiPriority w:val="21"/>
    <w:qFormat/>
    <w:rsid w:val="008516C8"/>
    <w:rPr>
      <w:i/>
      <w:iCs/>
      <w:color w:val="0F4761" w:themeColor="accent1" w:themeShade="BF"/>
    </w:rPr>
  </w:style>
  <w:style w:type="paragraph" w:styleId="IntenseQuote">
    <w:name w:val="Intense Quote"/>
    <w:basedOn w:val="Normal"/>
    <w:next w:val="Normal"/>
    <w:link w:val="IntenseQuoteChar"/>
    <w:uiPriority w:val="30"/>
    <w:qFormat/>
    <w:rsid w:val="00851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C8"/>
    <w:rPr>
      <w:i/>
      <w:iCs/>
      <w:color w:val="0F4761" w:themeColor="accent1" w:themeShade="BF"/>
      <w:lang w:val="en-GB"/>
    </w:rPr>
  </w:style>
  <w:style w:type="character" w:styleId="IntenseReference">
    <w:name w:val="Intense Reference"/>
    <w:basedOn w:val="DefaultParagraphFont"/>
    <w:uiPriority w:val="32"/>
    <w:qFormat/>
    <w:rsid w:val="00851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2026-01-05T22:28:00Z</dcterms:modified>
</cp:coreProperties>
</file>