
<file path=[Content_Types].xml><?xml version="1.0" encoding="utf-8"?>
<Types xmlns="http://schemas.openxmlformats.org/package/2006/content-types">
  <Default Extension="emf" ContentType="image/x-emf"/>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112" w:rsidRDefault="00D06F83" w:rsidP="00D06F83">
      <w:pPr>
        <w:pStyle w:val="Pagedecouverture"/>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2FC30AD2-0B2F-4CA0-8B92-AEC0B8E8CBBF" style="width:455.25pt;height:304.5pt">
            <v:imagedata r:id="rId11" o:title=""/>
          </v:shape>
        </w:pict>
      </w:r>
    </w:p>
    <w:p w:rsidR="00B60058" w:rsidRPr="00AE2EE9" w:rsidRDefault="00B60058" w:rsidP="00B27FA3">
      <w:pPr>
        <w:rPr>
          <w:noProof/>
        </w:rPr>
        <w:sectPr w:rsidR="00B60058" w:rsidRPr="00AE2EE9" w:rsidSect="00D06F83">
          <w:footerReference w:type="even" r:id="rId12"/>
          <w:footerReference w:type="default" r:id="rId13"/>
          <w:pgSz w:w="11907" w:h="16839"/>
          <w:pgMar w:top="1134" w:right="1417" w:bottom="1134" w:left="1417" w:header="709" w:footer="709" w:gutter="0"/>
          <w:pgNumType w:start="0"/>
          <w:cols w:space="720"/>
          <w:docGrid w:linePitch="360"/>
        </w:sectPr>
      </w:pPr>
    </w:p>
    <w:p w:rsidR="00B60058" w:rsidRPr="00AE2EE9" w:rsidRDefault="00866D0E" w:rsidP="00866D0E">
      <w:pPr>
        <w:pStyle w:val="Typedudocument"/>
        <w:rPr>
          <w:noProof/>
        </w:rPr>
      </w:pPr>
      <w:bookmarkStart w:id="0" w:name="_GoBack"/>
      <w:bookmarkEnd w:id="0"/>
      <w:r w:rsidRPr="00866D0E">
        <w:rPr>
          <w:noProof/>
        </w:rPr>
        <w:lastRenderedPageBreak/>
        <w:t>COMMISSION RECOMMENDATION</w:t>
      </w:r>
    </w:p>
    <w:p w:rsidR="00B60058" w:rsidRPr="00AE2EE9" w:rsidRDefault="00866D0E" w:rsidP="00866D0E">
      <w:pPr>
        <w:pStyle w:val="Datedadoption"/>
        <w:rPr>
          <w:noProof/>
        </w:rPr>
      </w:pPr>
      <w:r>
        <w:rPr>
          <w:noProof/>
        </w:rPr>
        <w:t>of 10.3.2026</w:t>
      </w:r>
    </w:p>
    <w:p w:rsidR="00B60058" w:rsidRPr="00AE2EE9" w:rsidRDefault="00866D0E" w:rsidP="00866D0E">
      <w:pPr>
        <w:pStyle w:val="Titreobjet"/>
        <w:rPr>
          <w:noProof/>
        </w:rPr>
      </w:pPr>
      <w:r w:rsidRPr="00866D0E">
        <w:rPr>
          <w:noProof/>
        </w:rPr>
        <w:t>on unlocking private investment in energy efficiency</w:t>
      </w:r>
    </w:p>
    <w:p w:rsidR="00B60058" w:rsidRPr="00AE2EE9" w:rsidRDefault="00B60058" w:rsidP="00B27FA3">
      <w:pPr>
        <w:pStyle w:val="Institutionquiagit"/>
        <w:rPr>
          <w:noProof/>
        </w:rPr>
      </w:pPr>
      <w:r w:rsidRPr="00AE2EE9">
        <w:rPr>
          <w:noProof/>
        </w:rPr>
        <w:t>THE EUROPEAN COMMISSION,</w:t>
      </w:r>
    </w:p>
    <w:p w:rsidR="00B60058" w:rsidRPr="00AE2EE9" w:rsidRDefault="00B60058" w:rsidP="00B27FA3">
      <w:pPr>
        <w:rPr>
          <w:noProof/>
        </w:rPr>
      </w:pPr>
      <w:r w:rsidRPr="00AE2EE9">
        <w:rPr>
          <w:noProof/>
        </w:rPr>
        <w:t>Having regard to the Treaty on the Functioning of the European Union, and in particular Article 292 thereof,</w:t>
      </w:r>
    </w:p>
    <w:p w:rsidR="00FC3114" w:rsidRPr="002C3A5A" w:rsidRDefault="00B60058" w:rsidP="002C3A5A">
      <w:pPr>
        <w:rPr>
          <w:noProof/>
        </w:rPr>
      </w:pPr>
      <w:r w:rsidRPr="002B44DC">
        <w:rPr>
          <w:noProof/>
        </w:rPr>
        <w:t>Whereas:</w:t>
      </w:r>
      <w:r w:rsidR="00FC3114" w:rsidRPr="002B44DC">
        <w:rPr>
          <w:noProof/>
        </w:rPr>
        <w:t xml:space="preserve"> </w:t>
      </w:r>
    </w:p>
    <w:p w:rsidR="00FC3114" w:rsidRPr="00185E42" w:rsidRDefault="286CB726" w:rsidP="00973C27">
      <w:pPr>
        <w:pStyle w:val="ManualConsidrant"/>
        <w:rPr>
          <w:noProof/>
          <w:lang w:val="en-IE"/>
        </w:rPr>
      </w:pPr>
      <w:r>
        <w:rPr>
          <w:noProof/>
        </w:rPr>
        <w:t>(1)</w:t>
      </w:r>
      <w:r>
        <w:rPr>
          <w:noProof/>
        </w:rPr>
        <w:tab/>
      </w:r>
      <w:r w:rsidRPr="00DB30EB">
        <w:rPr>
          <w:noProof/>
        </w:rPr>
        <w:t>In its communication of 17 September 2020 on ‘Stepping up Europe’s 2030 climate ambition – Investing in a climate-neutral future for the benefit of our people’ (the ‘Climate Target Plan’),</w:t>
      </w:r>
      <w:r w:rsidR="00FC3114" w:rsidRPr="00DB30EB">
        <w:rPr>
          <w:rStyle w:val="FootnoteReference"/>
          <w:noProof/>
        </w:rPr>
        <w:footnoteReference w:id="2"/>
      </w:r>
      <w:r w:rsidRPr="00DB30EB">
        <w:rPr>
          <w:noProof/>
        </w:rPr>
        <w:t xml:space="preserve"> the Commission proposed to raise the Union’s climate ambition by increasing the greenhouse gas (GHG) emissions target to at least 55 % below 1990 levels by 2030. The proposal delivered on the commitment made in the </w:t>
      </w:r>
      <w:r w:rsidR="00093688">
        <w:rPr>
          <w:noProof/>
        </w:rPr>
        <w:t>Commission</w:t>
      </w:r>
      <w:r w:rsidR="00093688" w:rsidRPr="00DB30EB">
        <w:rPr>
          <w:noProof/>
        </w:rPr>
        <w:t xml:space="preserve"> </w:t>
      </w:r>
      <w:r w:rsidRPr="00DB30EB">
        <w:rPr>
          <w:noProof/>
        </w:rPr>
        <w:t>communication of 11 December 2019 on ‘The European Green Deal’</w:t>
      </w:r>
      <w:r w:rsidR="00941863">
        <w:rPr>
          <w:rStyle w:val="FootnoteReference"/>
          <w:noProof/>
        </w:rPr>
        <w:footnoteReference w:id="3"/>
      </w:r>
      <w:r w:rsidRPr="00DB30EB">
        <w:rPr>
          <w:noProof/>
        </w:rPr>
        <w:t xml:space="preserve"> to put forward a comprehensive plan to </w:t>
      </w:r>
      <w:r w:rsidR="00093688">
        <w:rPr>
          <w:noProof/>
        </w:rPr>
        <w:t>move</w:t>
      </w:r>
      <w:r w:rsidR="00093688" w:rsidRPr="00DB30EB">
        <w:rPr>
          <w:noProof/>
        </w:rPr>
        <w:t xml:space="preserve"> </w:t>
      </w:r>
      <w:r w:rsidRPr="00DB30EB">
        <w:rPr>
          <w:noProof/>
        </w:rPr>
        <w:t>the Union’s target for 2030 towards 55% in a responsible way.</w:t>
      </w:r>
      <w:r w:rsidR="00185E42">
        <w:rPr>
          <w:noProof/>
        </w:rPr>
        <w:t xml:space="preserve"> </w:t>
      </w:r>
      <w:r>
        <w:rPr>
          <w:noProof/>
        </w:rPr>
        <w:t xml:space="preserve">The impact assessment accompanying the Climate Target Plan demonstrated that, to achieve the increased climate ambition, energy efficiency improvements </w:t>
      </w:r>
      <w:r w:rsidR="00093688">
        <w:rPr>
          <w:noProof/>
        </w:rPr>
        <w:t xml:space="preserve">had </w:t>
      </w:r>
      <w:r>
        <w:rPr>
          <w:noProof/>
        </w:rPr>
        <w:t>to be significantly raised from the level of 32,5%.</w:t>
      </w:r>
    </w:p>
    <w:p w:rsidR="00FC3114" w:rsidRPr="00DD57AE" w:rsidRDefault="62FB709E" w:rsidP="6E5B3C1D">
      <w:pPr>
        <w:pStyle w:val="ManualConsidrant"/>
        <w:rPr>
          <w:noProof/>
          <w:sz w:val="22"/>
          <w:lang w:val="en-IE"/>
        </w:rPr>
      </w:pPr>
      <w:r>
        <w:rPr>
          <w:noProof/>
        </w:rPr>
        <w:t>(2)</w:t>
      </w:r>
      <w:r>
        <w:rPr>
          <w:noProof/>
        </w:rPr>
        <w:tab/>
      </w:r>
      <w:r w:rsidRPr="00DB30EB">
        <w:rPr>
          <w:noProof/>
        </w:rPr>
        <w:t xml:space="preserve">Directive (EU) 2023/1791 </w:t>
      </w:r>
      <w:r w:rsidR="6DF9938B">
        <w:rPr>
          <w:noProof/>
        </w:rPr>
        <w:t>on e</w:t>
      </w:r>
      <w:r w:rsidRPr="00DB30EB">
        <w:rPr>
          <w:noProof/>
        </w:rPr>
        <w:t xml:space="preserve">nergy </w:t>
      </w:r>
      <w:r w:rsidR="6DF9938B">
        <w:rPr>
          <w:noProof/>
        </w:rPr>
        <w:t>e</w:t>
      </w:r>
      <w:r w:rsidRPr="00DB30EB">
        <w:rPr>
          <w:noProof/>
        </w:rPr>
        <w:t xml:space="preserve">fficiency </w:t>
      </w:r>
      <w:r w:rsidR="6DF9938B">
        <w:rPr>
          <w:noProof/>
        </w:rPr>
        <w:t xml:space="preserve">(the ‘Energy Efficiency </w:t>
      </w:r>
      <w:r w:rsidRPr="00DB30EB">
        <w:rPr>
          <w:noProof/>
        </w:rPr>
        <w:t>Directive recast’ (EED recast))</w:t>
      </w:r>
      <w:r w:rsidR="00FC3114" w:rsidRPr="00DB30EB">
        <w:rPr>
          <w:rStyle w:val="FootnoteReference"/>
          <w:noProof/>
        </w:rPr>
        <w:footnoteReference w:id="4"/>
      </w:r>
      <w:r w:rsidRPr="00DB30EB">
        <w:rPr>
          <w:noProof/>
        </w:rPr>
        <w:t xml:space="preserve"> </w:t>
      </w:r>
      <w:r w:rsidR="0505992C">
        <w:rPr>
          <w:noProof/>
        </w:rPr>
        <w:t>entered into force on 10</w:t>
      </w:r>
      <w:r w:rsidRPr="00DB30EB">
        <w:rPr>
          <w:noProof/>
        </w:rPr>
        <w:t xml:space="preserve"> </w:t>
      </w:r>
      <w:r w:rsidR="0505992C">
        <w:rPr>
          <w:noProof/>
        </w:rPr>
        <w:t xml:space="preserve">October </w:t>
      </w:r>
      <w:r w:rsidRPr="00DB30EB">
        <w:rPr>
          <w:noProof/>
        </w:rPr>
        <w:t>2023</w:t>
      </w:r>
      <w:r w:rsidR="5332ED0F">
        <w:rPr>
          <w:noProof/>
        </w:rPr>
        <w:t>,</w:t>
      </w:r>
      <w:r w:rsidR="516D2FBB">
        <w:rPr>
          <w:noProof/>
        </w:rPr>
        <w:t xml:space="preserve"> </w:t>
      </w:r>
      <w:r w:rsidR="0505992C">
        <w:rPr>
          <w:noProof/>
        </w:rPr>
        <w:t>introducing</w:t>
      </w:r>
      <w:r w:rsidR="516D2FBB" w:rsidRPr="0029317B">
        <w:rPr>
          <w:noProof/>
        </w:rPr>
        <w:t xml:space="preserve"> an </w:t>
      </w:r>
      <w:r w:rsidR="516D2FBB" w:rsidRPr="00DB30EB">
        <w:rPr>
          <w:noProof/>
        </w:rPr>
        <w:t>EU binding target of 11</w:t>
      </w:r>
      <w:r w:rsidR="06AF357C">
        <w:rPr>
          <w:noProof/>
        </w:rPr>
        <w:t>,</w:t>
      </w:r>
      <w:r w:rsidR="516D2FBB" w:rsidRPr="00DB30EB">
        <w:rPr>
          <w:noProof/>
        </w:rPr>
        <w:t>7% reduction in primary and final energy consumption by 2030</w:t>
      </w:r>
      <w:r w:rsidRPr="00DB30EB">
        <w:rPr>
          <w:noProof/>
        </w:rPr>
        <w:t xml:space="preserve">, </w:t>
      </w:r>
      <w:r w:rsidR="5332ED0F">
        <w:rPr>
          <w:noProof/>
        </w:rPr>
        <w:t xml:space="preserve">thereby </w:t>
      </w:r>
      <w:r w:rsidRPr="00DB30EB">
        <w:rPr>
          <w:noProof/>
        </w:rPr>
        <w:t>significantly rais</w:t>
      </w:r>
      <w:r w:rsidR="5332ED0F">
        <w:rPr>
          <w:noProof/>
        </w:rPr>
        <w:t>ing</w:t>
      </w:r>
      <w:r w:rsidRPr="00DB30EB">
        <w:rPr>
          <w:noProof/>
        </w:rPr>
        <w:t xml:space="preserve"> the level of ambition for 2030, including in relation to financing for energy efficiency</w:t>
      </w:r>
      <w:r w:rsidR="00873023">
        <w:rPr>
          <w:noProof/>
        </w:rPr>
        <w:t>, and stepping up the application of the energy efficiency first principle in policy, planning and investment decisions, in line with the legal provisions, therein.</w:t>
      </w:r>
    </w:p>
    <w:p w:rsidR="47F59FFB" w:rsidRPr="00B16C5A" w:rsidRDefault="00A0674D" w:rsidP="2DB3C6E1">
      <w:pPr>
        <w:pStyle w:val="ManualConsidrant"/>
        <w:rPr>
          <w:noProof/>
          <w:lang w:val="en-IE"/>
        </w:rPr>
      </w:pPr>
      <w:r>
        <w:rPr>
          <w:noProof/>
        </w:rPr>
        <w:t>(3)</w:t>
      </w:r>
      <w:r>
        <w:rPr>
          <w:noProof/>
        </w:rPr>
        <w:tab/>
      </w:r>
      <w:r w:rsidRPr="2DB3C6E1">
        <w:rPr>
          <w:noProof/>
          <w:lang w:val="en-IE"/>
        </w:rPr>
        <w:t xml:space="preserve">The </w:t>
      </w:r>
      <w:r w:rsidR="00093688">
        <w:rPr>
          <w:noProof/>
          <w:lang w:val="en-IE"/>
        </w:rPr>
        <w:t>a</w:t>
      </w:r>
      <w:r w:rsidRPr="2DB3C6E1">
        <w:rPr>
          <w:noProof/>
          <w:lang w:val="en-IE"/>
        </w:rPr>
        <w:t xml:space="preserve">ction </w:t>
      </w:r>
      <w:r w:rsidR="00093688">
        <w:rPr>
          <w:noProof/>
          <w:lang w:val="en-IE"/>
        </w:rPr>
        <w:t>p</w:t>
      </w:r>
      <w:r w:rsidRPr="2DB3C6E1">
        <w:rPr>
          <w:noProof/>
          <w:lang w:val="en-IE"/>
        </w:rPr>
        <w:t xml:space="preserve">lan for </w:t>
      </w:r>
      <w:r w:rsidR="00093688">
        <w:rPr>
          <w:noProof/>
          <w:lang w:val="en-IE"/>
        </w:rPr>
        <w:t>a</w:t>
      </w:r>
      <w:r w:rsidRPr="2DB3C6E1">
        <w:rPr>
          <w:noProof/>
          <w:lang w:val="en-IE"/>
        </w:rPr>
        <w:t xml:space="preserve">ffordable </w:t>
      </w:r>
      <w:r w:rsidR="00093688">
        <w:rPr>
          <w:noProof/>
          <w:lang w:val="en-IE"/>
        </w:rPr>
        <w:t>e</w:t>
      </w:r>
      <w:r w:rsidRPr="2DB3C6E1">
        <w:rPr>
          <w:noProof/>
          <w:lang w:val="en-IE"/>
        </w:rPr>
        <w:t>nergy</w:t>
      </w:r>
      <w:r w:rsidRPr="2DB3C6E1">
        <w:rPr>
          <w:rStyle w:val="FootnoteReference"/>
          <w:noProof/>
          <w:lang w:val="en-IE"/>
        </w:rPr>
        <w:footnoteReference w:id="5"/>
      </w:r>
      <w:r w:rsidR="00D56C92" w:rsidRPr="2DB3C6E1">
        <w:rPr>
          <w:noProof/>
          <w:lang w:val="en-IE"/>
        </w:rPr>
        <w:t>, adopted on 26 February 2025 as part of the Clean Industrial Deal</w:t>
      </w:r>
      <w:r w:rsidR="00D56C92" w:rsidRPr="2DB3C6E1">
        <w:rPr>
          <w:rStyle w:val="FootnoteReference"/>
          <w:noProof/>
          <w:lang w:val="en-IE"/>
        </w:rPr>
        <w:footnoteReference w:id="6"/>
      </w:r>
      <w:r w:rsidR="00D56C92" w:rsidRPr="2DB3C6E1">
        <w:rPr>
          <w:noProof/>
          <w:lang w:val="en-IE"/>
        </w:rPr>
        <w:t xml:space="preserve">, includes </w:t>
      </w:r>
      <w:r w:rsidR="00616B79" w:rsidRPr="2DB3C6E1">
        <w:rPr>
          <w:noProof/>
          <w:lang w:val="en-IE"/>
        </w:rPr>
        <w:t xml:space="preserve">key actions to </w:t>
      </w:r>
      <w:r w:rsidR="00282560" w:rsidRPr="2DB3C6E1">
        <w:rPr>
          <w:noProof/>
          <w:lang w:val="en-IE"/>
        </w:rPr>
        <w:t xml:space="preserve">reduce energy costs </w:t>
      </w:r>
      <w:r w:rsidR="00C0241F" w:rsidRPr="2DB3C6E1">
        <w:rPr>
          <w:noProof/>
          <w:lang w:val="en-IE"/>
        </w:rPr>
        <w:t xml:space="preserve">for </w:t>
      </w:r>
      <w:r w:rsidR="00282560" w:rsidRPr="2DB3C6E1">
        <w:rPr>
          <w:noProof/>
          <w:lang w:val="en-IE"/>
        </w:rPr>
        <w:t xml:space="preserve">households and </w:t>
      </w:r>
      <w:r w:rsidR="00282560" w:rsidRPr="2DB3C6E1">
        <w:rPr>
          <w:noProof/>
          <w:lang w:val="en-IE"/>
        </w:rPr>
        <w:lastRenderedPageBreak/>
        <w:t xml:space="preserve">enterprises, and help build a </w:t>
      </w:r>
      <w:r w:rsidR="003B5064" w:rsidRPr="2DB3C6E1">
        <w:rPr>
          <w:noProof/>
          <w:lang w:val="en-IE"/>
        </w:rPr>
        <w:t>genuine Energy Union that delivers on competitiveness, security, decarbonisation and just transition</w:t>
      </w:r>
      <w:r w:rsidR="006007B8" w:rsidRPr="2DB3C6E1">
        <w:rPr>
          <w:noProof/>
          <w:lang w:val="en-IE"/>
        </w:rPr>
        <w:t xml:space="preserve">. The </w:t>
      </w:r>
      <w:r w:rsidR="00093688">
        <w:rPr>
          <w:noProof/>
          <w:lang w:val="en-IE"/>
        </w:rPr>
        <w:t>a</w:t>
      </w:r>
      <w:r w:rsidR="006007B8" w:rsidRPr="2DB3C6E1">
        <w:rPr>
          <w:noProof/>
          <w:lang w:val="en-IE"/>
        </w:rPr>
        <w:t xml:space="preserve">ction </w:t>
      </w:r>
      <w:r w:rsidR="00093688">
        <w:rPr>
          <w:noProof/>
          <w:lang w:val="en-IE"/>
        </w:rPr>
        <w:t>p</w:t>
      </w:r>
      <w:r w:rsidR="006007B8" w:rsidRPr="2DB3C6E1">
        <w:rPr>
          <w:noProof/>
          <w:lang w:val="en-IE"/>
        </w:rPr>
        <w:t xml:space="preserve">lan is based on </w:t>
      </w:r>
      <w:r w:rsidR="00AB6924" w:rsidRPr="2DB3C6E1">
        <w:rPr>
          <w:noProof/>
          <w:lang w:val="en-IE"/>
        </w:rPr>
        <w:t>four</w:t>
      </w:r>
      <w:r w:rsidR="006007B8" w:rsidRPr="2DB3C6E1">
        <w:rPr>
          <w:noProof/>
          <w:lang w:val="en-IE"/>
        </w:rPr>
        <w:t xml:space="preserve"> pillar</w:t>
      </w:r>
      <w:r w:rsidR="00AB6924" w:rsidRPr="2DB3C6E1">
        <w:rPr>
          <w:noProof/>
          <w:lang w:val="en-IE"/>
        </w:rPr>
        <w:t>s</w:t>
      </w:r>
      <w:r w:rsidR="006007B8" w:rsidRPr="2DB3C6E1">
        <w:rPr>
          <w:noProof/>
          <w:lang w:val="en-IE"/>
        </w:rPr>
        <w:t xml:space="preserve"> and </w:t>
      </w:r>
      <w:r w:rsidR="00AB6924" w:rsidRPr="2DB3C6E1">
        <w:rPr>
          <w:noProof/>
          <w:lang w:val="en-IE"/>
        </w:rPr>
        <w:t xml:space="preserve">eight key actions, including a dedicated Action to </w:t>
      </w:r>
      <w:r w:rsidR="00A873AF" w:rsidRPr="2DB3C6E1">
        <w:rPr>
          <w:noProof/>
          <w:lang w:val="en-IE"/>
        </w:rPr>
        <w:t xml:space="preserve">increase energy efficiency and deliver </w:t>
      </w:r>
      <w:r w:rsidR="00BA60EA" w:rsidRPr="2DB3C6E1">
        <w:rPr>
          <w:noProof/>
          <w:lang w:val="en-IE"/>
        </w:rPr>
        <w:t xml:space="preserve">energy savings, </w:t>
      </w:r>
      <w:r w:rsidR="00D612A2" w:rsidRPr="2DB3C6E1">
        <w:rPr>
          <w:noProof/>
          <w:lang w:val="en-IE"/>
        </w:rPr>
        <w:t>emphasising</w:t>
      </w:r>
      <w:r w:rsidR="00447C47" w:rsidRPr="2DB3C6E1">
        <w:rPr>
          <w:noProof/>
          <w:lang w:val="en-IE"/>
        </w:rPr>
        <w:t xml:space="preserve"> </w:t>
      </w:r>
      <w:r w:rsidR="009D7E08" w:rsidRPr="2DB3C6E1">
        <w:rPr>
          <w:noProof/>
          <w:lang w:val="en-IE"/>
        </w:rPr>
        <w:t xml:space="preserve">the role of </w:t>
      </w:r>
      <w:r w:rsidR="00BA60EA" w:rsidRPr="2DB3C6E1">
        <w:rPr>
          <w:noProof/>
          <w:lang w:val="en-IE"/>
        </w:rPr>
        <w:t xml:space="preserve">energy efficiency as a key contributor </w:t>
      </w:r>
      <w:r w:rsidR="009D7E08" w:rsidRPr="2DB3C6E1">
        <w:rPr>
          <w:noProof/>
          <w:lang w:val="en-IE"/>
        </w:rPr>
        <w:t xml:space="preserve">to </w:t>
      </w:r>
      <w:r w:rsidR="00BA60EA" w:rsidRPr="2DB3C6E1">
        <w:rPr>
          <w:noProof/>
          <w:lang w:val="en-IE"/>
        </w:rPr>
        <w:t xml:space="preserve">affordable energy, decarbonisation, and industrial competitiveness. </w:t>
      </w:r>
      <w:r w:rsidR="00C965C1" w:rsidRPr="2DB3C6E1">
        <w:rPr>
          <w:noProof/>
          <w:lang w:val="en-IE"/>
        </w:rPr>
        <w:t xml:space="preserve">To advance energy efficiency, </w:t>
      </w:r>
      <w:r w:rsidR="00995E06" w:rsidRPr="2DB3C6E1">
        <w:rPr>
          <w:noProof/>
          <w:lang w:val="en-IE"/>
        </w:rPr>
        <w:t xml:space="preserve">the European Commission will support </w:t>
      </w:r>
      <w:r w:rsidR="000048EE" w:rsidRPr="2DB3C6E1">
        <w:rPr>
          <w:noProof/>
          <w:lang w:val="en-IE"/>
        </w:rPr>
        <w:t xml:space="preserve">market actors and financial institutions in </w:t>
      </w:r>
      <w:r w:rsidR="001D4CB2" w:rsidRPr="2DB3C6E1">
        <w:rPr>
          <w:noProof/>
          <w:lang w:val="en-IE"/>
        </w:rPr>
        <w:t xml:space="preserve">fostering </w:t>
      </w:r>
      <w:r w:rsidR="00CF0A19" w:rsidRPr="2DB3C6E1">
        <w:rPr>
          <w:noProof/>
          <w:lang w:val="en-IE"/>
        </w:rPr>
        <w:t>a</w:t>
      </w:r>
      <w:r w:rsidR="003E4EA6" w:rsidRPr="2DB3C6E1">
        <w:rPr>
          <w:noProof/>
          <w:lang w:val="en-IE"/>
        </w:rPr>
        <w:t xml:space="preserve"> single market for</w:t>
      </w:r>
      <w:r w:rsidR="00CF0A19" w:rsidRPr="2DB3C6E1">
        <w:rPr>
          <w:noProof/>
          <w:lang w:val="en-IE"/>
        </w:rPr>
        <w:t xml:space="preserve"> </w:t>
      </w:r>
      <w:r w:rsidR="001D4CB2" w:rsidRPr="2DB3C6E1">
        <w:rPr>
          <w:noProof/>
          <w:lang w:val="en-IE"/>
        </w:rPr>
        <w:t>energy efficiency</w:t>
      </w:r>
      <w:r w:rsidR="00CF0A19" w:rsidRPr="2DB3C6E1">
        <w:rPr>
          <w:noProof/>
          <w:lang w:val="en-IE"/>
        </w:rPr>
        <w:t>.</w:t>
      </w:r>
      <w:r w:rsidR="001D4CB2" w:rsidRPr="2DB3C6E1">
        <w:rPr>
          <w:noProof/>
          <w:lang w:val="en-IE"/>
        </w:rPr>
        <w:t xml:space="preserve"> </w:t>
      </w:r>
    </w:p>
    <w:p w:rsidR="00DD57AE" w:rsidRPr="00B16C5A" w:rsidRDefault="05C87C53" w:rsidP="06B63556">
      <w:pPr>
        <w:pStyle w:val="ManualConsidrant"/>
        <w:rPr>
          <w:noProof/>
          <w:sz w:val="22"/>
          <w:lang w:val="en-IE"/>
        </w:rPr>
      </w:pPr>
      <w:r>
        <w:rPr>
          <w:noProof/>
        </w:rPr>
        <w:t>(4)</w:t>
      </w:r>
      <w:r>
        <w:rPr>
          <w:noProof/>
        </w:rPr>
        <w:tab/>
      </w:r>
      <w:r w:rsidRPr="00B16C5A">
        <w:rPr>
          <w:noProof/>
        </w:rPr>
        <w:t>The Commission Communication of 14 October 2020, entitled “A Renovation Wave for Europe”</w:t>
      </w:r>
      <w:r w:rsidR="00A85040" w:rsidRPr="00B16C5A">
        <w:rPr>
          <w:rStyle w:val="FootnoteReference"/>
          <w:noProof/>
        </w:rPr>
        <w:footnoteReference w:id="7"/>
      </w:r>
      <w:r w:rsidR="26522A94" w:rsidRPr="00B16C5A">
        <w:rPr>
          <w:noProof/>
        </w:rPr>
        <w:t xml:space="preserve"> </w:t>
      </w:r>
      <w:r w:rsidRPr="00B16C5A">
        <w:rPr>
          <w:noProof/>
        </w:rPr>
        <w:t>identif</w:t>
      </w:r>
      <w:r w:rsidR="0681CFFD" w:rsidRPr="00B16C5A">
        <w:rPr>
          <w:noProof/>
        </w:rPr>
        <w:t>ies</w:t>
      </w:r>
      <w:r w:rsidRPr="00B16C5A">
        <w:rPr>
          <w:noProof/>
        </w:rPr>
        <w:t xml:space="preserve"> the building sector as key </w:t>
      </w:r>
      <w:r w:rsidR="009D7E08">
        <w:rPr>
          <w:noProof/>
        </w:rPr>
        <w:t>for</w:t>
      </w:r>
      <w:r w:rsidRPr="00B16C5A">
        <w:rPr>
          <w:noProof/>
        </w:rPr>
        <w:t xml:space="preserve"> deliver</w:t>
      </w:r>
      <w:r w:rsidR="009D7E08">
        <w:rPr>
          <w:noProof/>
        </w:rPr>
        <w:t>ing</w:t>
      </w:r>
      <w:r w:rsidRPr="00B16C5A">
        <w:rPr>
          <w:noProof/>
        </w:rPr>
        <w:t xml:space="preserve"> on the </w:t>
      </w:r>
      <w:r w:rsidR="67C1B076" w:rsidRPr="00B16C5A">
        <w:rPr>
          <w:noProof/>
        </w:rPr>
        <w:t xml:space="preserve">2030 </w:t>
      </w:r>
      <w:r w:rsidRPr="00B16C5A">
        <w:rPr>
          <w:noProof/>
        </w:rPr>
        <w:t xml:space="preserve">energy efficiency </w:t>
      </w:r>
      <w:r w:rsidR="2BC5994B" w:rsidRPr="00B16C5A">
        <w:rPr>
          <w:noProof/>
        </w:rPr>
        <w:t xml:space="preserve">targets </w:t>
      </w:r>
      <w:r w:rsidRPr="00B16C5A">
        <w:rPr>
          <w:noProof/>
        </w:rPr>
        <w:t xml:space="preserve">and </w:t>
      </w:r>
      <w:r w:rsidR="67C1B076" w:rsidRPr="00B16C5A">
        <w:rPr>
          <w:noProof/>
        </w:rPr>
        <w:t xml:space="preserve">for </w:t>
      </w:r>
      <w:r w:rsidR="2BC5994B" w:rsidRPr="00B16C5A">
        <w:rPr>
          <w:noProof/>
        </w:rPr>
        <w:t xml:space="preserve">reaching </w:t>
      </w:r>
      <w:r w:rsidRPr="00B16C5A">
        <w:rPr>
          <w:noProof/>
        </w:rPr>
        <w:t>climate neutral</w:t>
      </w:r>
      <w:r w:rsidR="2BC5994B" w:rsidRPr="00B16C5A">
        <w:rPr>
          <w:noProof/>
        </w:rPr>
        <w:t>ity by 2050</w:t>
      </w:r>
      <w:r w:rsidRPr="00B16C5A">
        <w:rPr>
          <w:noProof/>
        </w:rPr>
        <w:t>. Th</w:t>
      </w:r>
      <w:r w:rsidR="44A8F728" w:rsidRPr="00B16C5A">
        <w:rPr>
          <w:noProof/>
        </w:rPr>
        <w:t>is is due to the relevance of buildings, which represent approximately</w:t>
      </w:r>
      <w:r w:rsidRPr="00B16C5A">
        <w:rPr>
          <w:noProof/>
        </w:rPr>
        <w:t xml:space="preserve"> 40 % of the Union’s total energy consumption and 36 % of its</w:t>
      </w:r>
      <w:r w:rsidR="00B3588F">
        <w:rPr>
          <w:noProof/>
        </w:rPr>
        <w:t xml:space="preserve"> greenhouse gas</w:t>
      </w:r>
      <w:r w:rsidR="67C1B076" w:rsidRPr="00B16C5A">
        <w:rPr>
          <w:noProof/>
        </w:rPr>
        <w:t xml:space="preserve"> emissions</w:t>
      </w:r>
      <w:r w:rsidRPr="00B16C5A">
        <w:rPr>
          <w:noProof/>
        </w:rPr>
        <w:t>.</w:t>
      </w:r>
    </w:p>
    <w:p w:rsidR="00DB30EB" w:rsidRPr="00B16C5A" w:rsidRDefault="0C1503DA" w:rsidP="00FC3114">
      <w:pPr>
        <w:pStyle w:val="ManualConsidrant"/>
        <w:rPr>
          <w:noProof/>
        </w:rPr>
      </w:pPr>
      <w:r>
        <w:rPr>
          <w:noProof/>
        </w:rPr>
        <w:t>(5)</w:t>
      </w:r>
      <w:r>
        <w:rPr>
          <w:noProof/>
        </w:rPr>
        <w:tab/>
      </w:r>
      <w:r w:rsidRPr="00B16C5A">
        <w:rPr>
          <w:noProof/>
        </w:rPr>
        <w:t>Directive (EU) 2024/1275 on energy performance of buildings (the ‘Energy Performance of Building Directive recast’ (EPBD recast))</w:t>
      </w:r>
      <w:r w:rsidR="00673CDA" w:rsidRPr="00B16C5A">
        <w:rPr>
          <w:rStyle w:val="FootnoteReference"/>
          <w:noProof/>
        </w:rPr>
        <w:footnoteReference w:id="8"/>
      </w:r>
      <w:r w:rsidRPr="00B16C5A">
        <w:rPr>
          <w:noProof/>
        </w:rPr>
        <w:t xml:space="preserve"> entered into force on 28 May 2024 </w:t>
      </w:r>
      <w:r w:rsidR="5A1E13AB" w:rsidRPr="00B16C5A">
        <w:rPr>
          <w:noProof/>
        </w:rPr>
        <w:t xml:space="preserve">and </w:t>
      </w:r>
      <w:r w:rsidRPr="00B16C5A">
        <w:rPr>
          <w:noProof/>
        </w:rPr>
        <w:t>aim</w:t>
      </w:r>
      <w:r w:rsidR="5A1E13AB" w:rsidRPr="00B16C5A">
        <w:rPr>
          <w:noProof/>
        </w:rPr>
        <w:t>s</w:t>
      </w:r>
      <w:r w:rsidRPr="00B16C5A">
        <w:rPr>
          <w:noProof/>
        </w:rPr>
        <w:t xml:space="preserve"> to structurally boost the energy performance of buildings with a focus on </w:t>
      </w:r>
      <w:r w:rsidR="004E8732" w:rsidRPr="00B16C5A">
        <w:rPr>
          <w:noProof/>
        </w:rPr>
        <w:t xml:space="preserve">supporting the </w:t>
      </w:r>
      <w:r w:rsidRPr="00B16C5A">
        <w:rPr>
          <w:noProof/>
        </w:rPr>
        <w:t>renovati</w:t>
      </w:r>
      <w:r w:rsidR="354970A4" w:rsidRPr="00B16C5A">
        <w:rPr>
          <w:noProof/>
        </w:rPr>
        <w:t>on of</w:t>
      </w:r>
      <w:r w:rsidRPr="00B16C5A">
        <w:rPr>
          <w:noProof/>
        </w:rPr>
        <w:t xml:space="preserve"> the worst-performing buildings</w:t>
      </w:r>
      <w:r w:rsidR="005F0244">
        <w:rPr>
          <w:noProof/>
        </w:rPr>
        <w:t>, fighting energy poverty by prioritising vulnera</w:t>
      </w:r>
      <w:r w:rsidR="00AA45DD">
        <w:rPr>
          <w:noProof/>
        </w:rPr>
        <w:t>ble households,</w:t>
      </w:r>
      <w:r w:rsidRPr="00B16C5A">
        <w:rPr>
          <w:noProof/>
        </w:rPr>
        <w:t xml:space="preserve"> and t</w:t>
      </w:r>
      <w:r w:rsidR="004E8732" w:rsidRPr="00B16C5A">
        <w:rPr>
          <w:noProof/>
        </w:rPr>
        <w:t>he achievement of</w:t>
      </w:r>
      <w:r w:rsidRPr="00B16C5A">
        <w:rPr>
          <w:noProof/>
        </w:rPr>
        <w:t xml:space="preserve"> a fully decarbonised building stocky by 2050. </w:t>
      </w:r>
    </w:p>
    <w:p w:rsidR="00225A6D" w:rsidRPr="003015F6" w:rsidRDefault="00AF350A" w:rsidP="00225A6D">
      <w:pPr>
        <w:pStyle w:val="ManualConsidrant"/>
        <w:rPr>
          <w:noProof/>
        </w:rPr>
      </w:pPr>
      <w:r>
        <w:rPr>
          <w:noProof/>
        </w:rPr>
        <w:t>(6)</w:t>
      </w:r>
      <w:r>
        <w:rPr>
          <w:noProof/>
        </w:rPr>
        <w:tab/>
      </w:r>
      <w:r>
        <w:rPr>
          <w:noProof/>
          <w:lang w:val="en-IE"/>
        </w:rPr>
        <w:t>The REPowerEU Plan Communication of May 2022</w:t>
      </w:r>
      <w:r>
        <w:rPr>
          <w:rStyle w:val="FootnoteReference"/>
          <w:noProof/>
          <w:lang w:val="en-IE"/>
        </w:rPr>
        <w:footnoteReference w:id="9"/>
      </w:r>
      <w:r>
        <w:rPr>
          <w:noProof/>
          <w:lang w:val="en-IE"/>
        </w:rPr>
        <w:t>, followed by the Roadmap towards ending Russian energy imports</w:t>
      </w:r>
      <w:r>
        <w:rPr>
          <w:rStyle w:val="FootnoteReference"/>
          <w:noProof/>
          <w:lang w:val="en-IE"/>
        </w:rPr>
        <w:footnoteReference w:id="10"/>
      </w:r>
      <w:r>
        <w:rPr>
          <w:noProof/>
          <w:lang w:val="en-IE"/>
        </w:rPr>
        <w:t xml:space="preserve"> and the proposal for a Regulation on phasing </w:t>
      </w:r>
      <w:r w:rsidRPr="00671832">
        <w:rPr>
          <w:noProof/>
          <w:lang w:val="en-IE"/>
        </w:rPr>
        <w:t>out Russian gas imports and improving monitoring of potential energy dependencies</w:t>
      </w:r>
      <w:r>
        <w:rPr>
          <w:rStyle w:val="FootnoteReference"/>
          <w:noProof/>
          <w:lang w:val="en-IE"/>
        </w:rPr>
        <w:footnoteReference w:id="11"/>
      </w:r>
      <w:r>
        <w:rPr>
          <w:noProof/>
          <w:lang w:val="en-IE"/>
        </w:rPr>
        <w:t xml:space="preserve">, </w:t>
      </w:r>
      <w:r w:rsidR="5E02E1AC" w:rsidRPr="003015F6">
        <w:rPr>
          <w:noProof/>
        </w:rPr>
        <w:t>identif</w:t>
      </w:r>
      <w:r w:rsidR="2887E723">
        <w:rPr>
          <w:noProof/>
        </w:rPr>
        <w:t>ies</w:t>
      </w:r>
      <w:r w:rsidR="5E02E1AC" w:rsidRPr="003015F6">
        <w:rPr>
          <w:noProof/>
        </w:rPr>
        <w:t xml:space="preserve"> </w:t>
      </w:r>
      <w:r w:rsidR="009D7E08">
        <w:rPr>
          <w:noProof/>
        </w:rPr>
        <w:t xml:space="preserve">energy efficiency and </w:t>
      </w:r>
      <w:r w:rsidR="5E02E1AC" w:rsidRPr="003015F6">
        <w:rPr>
          <w:noProof/>
        </w:rPr>
        <w:t>efforts to save energy as key pillar</w:t>
      </w:r>
      <w:r w:rsidR="778A1EBD">
        <w:rPr>
          <w:noProof/>
        </w:rPr>
        <w:t>s</w:t>
      </w:r>
      <w:r w:rsidR="5E02E1AC" w:rsidRPr="003015F6">
        <w:rPr>
          <w:noProof/>
        </w:rPr>
        <w:t xml:space="preserve"> </w:t>
      </w:r>
      <w:r>
        <w:rPr>
          <w:noProof/>
        </w:rPr>
        <w:t xml:space="preserve">of </w:t>
      </w:r>
      <w:r>
        <w:rPr>
          <w:noProof/>
          <w:lang w:val="en-IE"/>
        </w:rPr>
        <w:t>EU’s energy security objectives</w:t>
      </w:r>
      <w:r w:rsidRPr="003015F6">
        <w:rPr>
          <w:noProof/>
        </w:rPr>
        <w:t xml:space="preserve"> </w:t>
      </w:r>
      <w:r w:rsidR="5E02E1AC" w:rsidRPr="003015F6">
        <w:rPr>
          <w:noProof/>
        </w:rPr>
        <w:t xml:space="preserve">to significantly reduce dependency from Russian fossil fuels and accelerate the energy transition. </w:t>
      </w:r>
    </w:p>
    <w:p w:rsidR="00AF350A" w:rsidRDefault="00AF350A" w:rsidP="00FC3114">
      <w:pPr>
        <w:pStyle w:val="ManualConsidrant"/>
        <w:rPr>
          <w:noProof/>
        </w:rPr>
      </w:pPr>
      <w:r>
        <w:rPr>
          <w:noProof/>
        </w:rPr>
        <w:t>(7)</w:t>
      </w:r>
      <w:r>
        <w:rPr>
          <w:noProof/>
        </w:rPr>
        <w:tab/>
        <w:t xml:space="preserve">The </w:t>
      </w:r>
      <w:r w:rsidR="00430D21">
        <w:rPr>
          <w:noProof/>
        </w:rPr>
        <w:t>‘</w:t>
      </w:r>
      <w:r>
        <w:rPr>
          <w:noProof/>
        </w:rPr>
        <w:t>World Energy Investment 202</w:t>
      </w:r>
      <w:r w:rsidR="0087062B">
        <w:rPr>
          <w:noProof/>
        </w:rPr>
        <w:t>5</w:t>
      </w:r>
      <w:r w:rsidR="00430D21">
        <w:rPr>
          <w:noProof/>
        </w:rPr>
        <w:t>’</w:t>
      </w:r>
      <w:r>
        <w:rPr>
          <w:noProof/>
        </w:rPr>
        <w:t xml:space="preserve"> Report from the Interna</w:t>
      </w:r>
      <w:r w:rsidR="000C02F7">
        <w:rPr>
          <w:noProof/>
        </w:rPr>
        <w:t>tional</w:t>
      </w:r>
      <w:r>
        <w:rPr>
          <w:noProof/>
        </w:rPr>
        <w:t xml:space="preserve"> Energy Agency</w:t>
      </w:r>
      <w:r w:rsidR="00430D21">
        <w:rPr>
          <w:noProof/>
        </w:rPr>
        <w:t xml:space="preserve"> (IEA)</w:t>
      </w:r>
      <w:r>
        <w:rPr>
          <w:rStyle w:val="FootnoteReference"/>
          <w:noProof/>
        </w:rPr>
        <w:footnoteReference w:id="12"/>
      </w:r>
      <w:r>
        <w:rPr>
          <w:noProof/>
        </w:rPr>
        <w:t xml:space="preserve"> underline</w:t>
      </w:r>
      <w:r w:rsidR="00430D21">
        <w:rPr>
          <w:noProof/>
        </w:rPr>
        <w:t>s</w:t>
      </w:r>
      <w:r>
        <w:rPr>
          <w:noProof/>
        </w:rPr>
        <w:t xml:space="preserve"> that the </w:t>
      </w:r>
      <w:r w:rsidR="00093688">
        <w:rPr>
          <w:noProof/>
        </w:rPr>
        <w:t>objective of</w:t>
      </w:r>
      <w:r>
        <w:rPr>
          <w:noProof/>
        </w:rPr>
        <w:t xml:space="preserve"> doubling the pace of energy efficiency improvements require</w:t>
      </w:r>
      <w:r w:rsidR="00093688">
        <w:rPr>
          <w:noProof/>
        </w:rPr>
        <w:t>s</w:t>
      </w:r>
      <w:r>
        <w:rPr>
          <w:noProof/>
        </w:rPr>
        <w:t xml:space="preserve"> greater additional investment. While investments in energy efficiency have been </w:t>
      </w:r>
      <w:r w:rsidR="00516B02">
        <w:rPr>
          <w:noProof/>
        </w:rPr>
        <w:t>constantly increasing between 2015 and</w:t>
      </w:r>
      <w:r>
        <w:rPr>
          <w:noProof/>
        </w:rPr>
        <w:t xml:space="preserve"> 202</w:t>
      </w:r>
      <w:r w:rsidR="00516B02">
        <w:rPr>
          <w:noProof/>
        </w:rPr>
        <w:t>2</w:t>
      </w:r>
      <w:r w:rsidR="00093688">
        <w:rPr>
          <w:noProof/>
        </w:rPr>
        <w:t>,</w:t>
      </w:r>
      <w:r w:rsidR="00516B02">
        <w:rPr>
          <w:noProof/>
        </w:rPr>
        <w:t xml:space="preserve"> </w:t>
      </w:r>
      <w:r w:rsidR="00093688">
        <w:rPr>
          <w:noProof/>
        </w:rPr>
        <w:t>t</w:t>
      </w:r>
      <w:r w:rsidR="00516B02">
        <w:rPr>
          <w:noProof/>
        </w:rPr>
        <w:t xml:space="preserve">he IEA </w:t>
      </w:r>
      <w:r w:rsidR="00E11B53">
        <w:rPr>
          <w:noProof/>
        </w:rPr>
        <w:t xml:space="preserve">has found </w:t>
      </w:r>
      <w:r w:rsidR="00516B02">
        <w:rPr>
          <w:noProof/>
        </w:rPr>
        <w:lastRenderedPageBreak/>
        <w:t>that</w:t>
      </w:r>
      <w:r w:rsidR="0087062B">
        <w:rPr>
          <w:noProof/>
        </w:rPr>
        <w:t xml:space="preserve"> as of 2023 policy and financing support has rolled back, and the trend has been confirmed in 2024. In particular, in the European Union investment in energy efficiency and electrification decreased by 2%, mainly because of reduced policy support in some market and slowdown in heat pumps sales. </w:t>
      </w:r>
      <w:r w:rsidR="00516B02">
        <w:rPr>
          <w:noProof/>
        </w:rPr>
        <w:t xml:space="preserve">Overall, the IEA </w:t>
      </w:r>
      <w:r w:rsidR="00E11B53">
        <w:rPr>
          <w:noProof/>
        </w:rPr>
        <w:t xml:space="preserve">has stated </w:t>
      </w:r>
      <w:r w:rsidR="00516B02">
        <w:rPr>
          <w:noProof/>
        </w:rPr>
        <w:t xml:space="preserve">that the current annual rate of investments in energy efficiency and electrification </w:t>
      </w:r>
      <w:r w:rsidR="00E11B53">
        <w:rPr>
          <w:noProof/>
        </w:rPr>
        <w:t xml:space="preserve">has to be tripled </w:t>
      </w:r>
      <w:r w:rsidR="00516B02">
        <w:rPr>
          <w:noProof/>
        </w:rPr>
        <w:t xml:space="preserve">to double the rate of energy efficiency improvements. </w:t>
      </w:r>
    </w:p>
    <w:p w:rsidR="00516B02" w:rsidRPr="003015F6" w:rsidRDefault="00516B02" w:rsidP="00FC3114">
      <w:pPr>
        <w:pStyle w:val="ManualConsidrant"/>
        <w:rPr>
          <w:noProof/>
        </w:rPr>
      </w:pPr>
      <w:r>
        <w:rPr>
          <w:noProof/>
        </w:rPr>
        <w:t>(8)</w:t>
      </w:r>
      <w:r>
        <w:rPr>
          <w:noProof/>
        </w:rPr>
        <w:tab/>
        <w:t xml:space="preserve">The </w:t>
      </w:r>
      <w:r w:rsidR="00E11B53">
        <w:rPr>
          <w:noProof/>
        </w:rPr>
        <w:t>r</w:t>
      </w:r>
      <w:r>
        <w:rPr>
          <w:noProof/>
        </w:rPr>
        <w:t xml:space="preserve">eport from Mario Draghi </w:t>
      </w:r>
      <w:r w:rsidR="00E11B53">
        <w:rPr>
          <w:noProof/>
        </w:rPr>
        <w:t>‘</w:t>
      </w:r>
      <w:r>
        <w:rPr>
          <w:noProof/>
        </w:rPr>
        <w:t>A Competitiveness Strategy for Europe</w:t>
      </w:r>
      <w:r w:rsidR="00E11B53">
        <w:rPr>
          <w:noProof/>
        </w:rPr>
        <w:t>’</w:t>
      </w:r>
      <w:r w:rsidR="00F92C32">
        <w:rPr>
          <w:noProof/>
        </w:rPr>
        <w:t xml:space="preserve"> recalled the massive U</w:t>
      </w:r>
      <w:r w:rsidR="00430D21">
        <w:rPr>
          <w:noProof/>
        </w:rPr>
        <w:t>nion</w:t>
      </w:r>
      <w:r w:rsidR="00F92C32">
        <w:rPr>
          <w:noProof/>
        </w:rPr>
        <w:t xml:space="preserve"> financing needs to meet its policy objectives, amounting to a minimum annual additional investment of EUR 750 to 800 billion annually, and the need for EU public finance to be deployed effectively to stimulate private investments. To support the mobilisation of private investments, the Draghi </w:t>
      </w:r>
      <w:r w:rsidR="00E11B53">
        <w:rPr>
          <w:noProof/>
        </w:rPr>
        <w:t>r</w:t>
      </w:r>
      <w:r w:rsidR="00F92C32">
        <w:rPr>
          <w:noProof/>
        </w:rPr>
        <w:t xml:space="preserve">eport </w:t>
      </w:r>
      <w:r w:rsidR="00E11B53">
        <w:rPr>
          <w:noProof/>
        </w:rPr>
        <w:t xml:space="preserve">identified </w:t>
      </w:r>
      <w:r w:rsidR="00F92C32">
        <w:rPr>
          <w:noProof/>
        </w:rPr>
        <w:t>the need to complete the Capital Markets Union, to increase the financing capacity of the ba</w:t>
      </w:r>
      <w:r w:rsidR="00E11B53">
        <w:rPr>
          <w:noProof/>
        </w:rPr>
        <w:t>n</w:t>
      </w:r>
      <w:r w:rsidR="00F92C32">
        <w:rPr>
          <w:noProof/>
        </w:rPr>
        <w:t xml:space="preserve">king sector, </w:t>
      </w:r>
      <w:r w:rsidR="007E046E">
        <w:rPr>
          <w:noProof/>
        </w:rPr>
        <w:t>which would include</w:t>
      </w:r>
      <w:r w:rsidR="00F92C32">
        <w:rPr>
          <w:noProof/>
        </w:rPr>
        <w:t xml:space="preserve"> reviving securitisation</w:t>
      </w:r>
      <w:r w:rsidR="00995AD7">
        <w:rPr>
          <w:noProof/>
        </w:rPr>
        <w:t xml:space="preserve"> and assessing current prudential regulation, and to reform the EU budget in order to increase its focus and efficiency, as well as improve the leverage of private investments. </w:t>
      </w:r>
    </w:p>
    <w:p w:rsidR="003015F6" w:rsidRPr="009D41D4" w:rsidRDefault="26522A94" w:rsidP="009D41D4">
      <w:pPr>
        <w:pStyle w:val="ManualConsidrant"/>
        <w:rPr>
          <w:noProof/>
        </w:rPr>
      </w:pPr>
      <w:r>
        <w:rPr>
          <w:noProof/>
        </w:rPr>
        <w:t>(9)</w:t>
      </w:r>
      <w:r>
        <w:rPr>
          <w:noProof/>
        </w:rPr>
        <w:tab/>
      </w:r>
      <w:r w:rsidRPr="06B63556">
        <w:rPr>
          <w:noProof/>
          <w:lang w:val="en-IE"/>
        </w:rPr>
        <w:t>Mobilising</w:t>
      </w:r>
      <w:r>
        <w:rPr>
          <w:noProof/>
        </w:rPr>
        <w:t xml:space="preserve"> investments in energy efficiency </w:t>
      </w:r>
      <w:r w:rsidR="0215E87F">
        <w:rPr>
          <w:noProof/>
        </w:rPr>
        <w:t>and leverag</w:t>
      </w:r>
      <w:r w:rsidR="001B179E">
        <w:rPr>
          <w:noProof/>
        </w:rPr>
        <w:t>ing</w:t>
      </w:r>
      <w:r w:rsidR="0215E87F">
        <w:rPr>
          <w:noProof/>
        </w:rPr>
        <w:t xml:space="preserve"> </w:t>
      </w:r>
      <w:r w:rsidR="001B179E">
        <w:rPr>
          <w:noProof/>
        </w:rPr>
        <w:t xml:space="preserve">additional </w:t>
      </w:r>
      <w:r w:rsidR="0215E87F">
        <w:rPr>
          <w:noProof/>
        </w:rPr>
        <w:t xml:space="preserve">private financing </w:t>
      </w:r>
      <w:r>
        <w:rPr>
          <w:noProof/>
        </w:rPr>
        <w:t xml:space="preserve">via dedicated policy and financing measures </w:t>
      </w:r>
      <w:r w:rsidR="0215E87F">
        <w:rPr>
          <w:noProof/>
        </w:rPr>
        <w:t xml:space="preserve">is </w:t>
      </w:r>
      <w:r w:rsidR="00AC781E">
        <w:rPr>
          <w:noProof/>
        </w:rPr>
        <w:t xml:space="preserve">indeed </w:t>
      </w:r>
      <w:r w:rsidR="0215E87F">
        <w:rPr>
          <w:noProof/>
        </w:rPr>
        <w:t xml:space="preserve">key to </w:t>
      </w:r>
      <w:r w:rsidR="007E046E">
        <w:rPr>
          <w:noProof/>
        </w:rPr>
        <w:t xml:space="preserve">helping </w:t>
      </w:r>
      <w:r w:rsidR="0215E87F">
        <w:rPr>
          <w:noProof/>
        </w:rPr>
        <w:t>Member States to deliver on the 2030 energy efficiency targets, to achiev</w:t>
      </w:r>
      <w:r w:rsidR="007E046E">
        <w:rPr>
          <w:noProof/>
        </w:rPr>
        <w:t>ing</w:t>
      </w:r>
      <w:r w:rsidR="0215E87F">
        <w:rPr>
          <w:noProof/>
        </w:rPr>
        <w:t xml:space="preserve"> climate neutrality by 2050</w:t>
      </w:r>
      <w:r w:rsidR="3F832EFD">
        <w:rPr>
          <w:noProof/>
        </w:rPr>
        <w:t xml:space="preserve"> in a cost-eff</w:t>
      </w:r>
      <w:r w:rsidR="0009042A">
        <w:rPr>
          <w:noProof/>
        </w:rPr>
        <w:t>ective</w:t>
      </w:r>
      <w:r w:rsidR="3F832EFD">
        <w:rPr>
          <w:noProof/>
        </w:rPr>
        <w:t xml:space="preserve"> way, to facilitat</w:t>
      </w:r>
      <w:r w:rsidR="007E046E">
        <w:rPr>
          <w:noProof/>
        </w:rPr>
        <w:t>ing</w:t>
      </w:r>
      <w:r w:rsidR="3F832EFD">
        <w:rPr>
          <w:noProof/>
        </w:rPr>
        <w:t xml:space="preserve"> the transition to an integrated energy system providing affordable and clean energy to all, </w:t>
      </w:r>
      <w:r w:rsidR="5D2BC092">
        <w:rPr>
          <w:noProof/>
        </w:rPr>
        <w:t xml:space="preserve">and </w:t>
      </w:r>
      <w:r w:rsidR="3F832EFD">
        <w:rPr>
          <w:noProof/>
        </w:rPr>
        <w:t>to lower</w:t>
      </w:r>
      <w:r w:rsidR="007E046E">
        <w:rPr>
          <w:noProof/>
        </w:rPr>
        <w:t>ing</w:t>
      </w:r>
      <w:r w:rsidR="3F832EFD">
        <w:rPr>
          <w:noProof/>
        </w:rPr>
        <w:t xml:space="preserve"> the pressure on demand</w:t>
      </w:r>
      <w:r w:rsidR="5D2BC092">
        <w:rPr>
          <w:noProof/>
        </w:rPr>
        <w:t xml:space="preserve"> for</w:t>
      </w:r>
      <w:r w:rsidR="007E046E">
        <w:rPr>
          <w:noProof/>
        </w:rPr>
        <w:t xml:space="preserve"> energy</w:t>
      </w:r>
      <w:r w:rsidR="5D2BC092">
        <w:rPr>
          <w:noProof/>
        </w:rPr>
        <w:t>,</w:t>
      </w:r>
      <w:r w:rsidR="3F832EFD">
        <w:rPr>
          <w:noProof/>
        </w:rPr>
        <w:t xml:space="preserve"> and</w:t>
      </w:r>
      <w:r w:rsidR="007E046E">
        <w:rPr>
          <w:noProof/>
        </w:rPr>
        <w:t>,</w:t>
      </w:r>
      <w:r w:rsidR="3F832EFD">
        <w:rPr>
          <w:noProof/>
        </w:rPr>
        <w:t xml:space="preserve"> </w:t>
      </w:r>
      <w:r w:rsidR="007E046E">
        <w:rPr>
          <w:noProof/>
        </w:rPr>
        <w:t xml:space="preserve">therefore </w:t>
      </w:r>
      <w:r w:rsidR="3F832EFD">
        <w:rPr>
          <w:noProof/>
        </w:rPr>
        <w:t>energy</w:t>
      </w:r>
      <w:r w:rsidR="007E046E">
        <w:rPr>
          <w:noProof/>
        </w:rPr>
        <w:t xml:space="preserve"> prices</w:t>
      </w:r>
      <w:r w:rsidR="3F832EFD">
        <w:rPr>
          <w:noProof/>
        </w:rPr>
        <w:t>, while enhancing competitiveness and sustainability of the EU economy, and contributing to reduc</w:t>
      </w:r>
      <w:r w:rsidR="5D2BC092">
        <w:rPr>
          <w:noProof/>
        </w:rPr>
        <w:t>ing</w:t>
      </w:r>
      <w:r w:rsidR="3F832EFD">
        <w:rPr>
          <w:noProof/>
        </w:rPr>
        <w:t xml:space="preserve"> EU dependency on energy</w:t>
      </w:r>
      <w:r w:rsidR="00167A68">
        <w:rPr>
          <w:noProof/>
        </w:rPr>
        <w:t xml:space="preserve"> imports</w:t>
      </w:r>
      <w:r w:rsidR="3F832EFD">
        <w:rPr>
          <w:noProof/>
        </w:rPr>
        <w:t xml:space="preserve">. </w:t>
      </w:r>
    </w:p>
    <w:p w:rsidR="00481389" w:rsidRDefault="286CB726" w:rsidP="006A5CF5">
      <w:pPr>
        <w:pStyle w:val="ManualConsidrant"/>
        <w:rPr>
          <w:noProof/>
        </w:rPr>
      </w:pPr>
      <w:r>
        <w:rPr>
          <w:noProof/>
        </w:rPr>
        <w:t>(10)</w:t>
      </w:r>
      <w:r>
        <w:rPr>
          <w:noProof/>
        </w:rPr>
        <w:tab/>
        <w:t xml:space="preserve">Article 30 of the EED recast </w:t>
      </w:r>
      <w:r w:rsidR="00430D21">
        <w:rPr>
          <w:noProof/>
        </w:rPr>
        <w:t xml:space="preserve">(EU/2023/1791) </w:t>
      </w:r>
      <w:r>
        <w:rPr>
          <w:noProof/>
        </w:rPr>
        <w:t>recognises the need to deploy adequate financial and technical support for energy efficiency measures</w:t>
      </w:r>
      <w:r w:rsidR="01177C66">
        <w:rPr>
          <w:noProof/>
        </w:rPr>
        <w:t xml:space="preserve"> and</w:t>
      </w:r>
      <w:r>
        <w:rPr>
          <w:noProof/>
        </w:rPr>
        <w:t xml:space="preserve"> to develop targeted policy measures enabling the mobilisation of private investments in energy efficiency</w:t>
      </w:r>
      <w:r w:rsidR="01177C66">
        <w:rPr>
          <w:noProof/>
        </w:rPr>
        <w:t xml:space="preserve">. </w:t>
      </w:r>
    </w:p>
    <w:p w:rsidR="009A328F" w:rsidRDefault="4A333A55" w:rsidP="009A328F">
      <w:pPr>
        <w:pStyle w:val="ManualConsidrant"/>
        <w:rPr>
          <w:noProof/>
        </w:rPr>
      </w:pPr>
      <w:r>
        <w:rPr>
          <w:noProof/>
        </w:rPr>
        <w:t>(11)</w:t>
      </w:r>
      <w:r>
        <w:rPr>
          <w:noProof/>
        </w:rPr>
        <w:tab/>
        <w:t xml:space="preserve">Financial institutions and energy efficiency market actors, such as energy </w:t>
      </w:r>
      <w:r w:rsidR="1F066A71">
        <w:rPr>
          <w:noProof/>
        </w:rPr>
        <w:t xml:space="preserve">service companies, </w:t>
      </w:r>
      <w:r w:rsidR="35F2AFD0">
        <w:rPr>
          <w:noProof/>
        </w:rPr>
        <w:t xml:space="preserve">energy communities, </w:t>
      </w:r>
      <w:r w:rsidR="1F066A71">
        <w:rPr>
          <w:noProof/>
        </w:rPr>
        <w:t xml:space="preserve">energy utilities and distribution </w:t>
      </w:r>
      <w:r w:rsidR="00A709D5">
        <w:rPr>
          <w:noProof/>
        </w:rPr>
        <w:t xml:space="preserve">system </w:t>
      </w:r>
      <w:r w:rsidR="1F066A71">
        <w:rPr>
          <w:noProof/>
        </w:rPr>
        <w:t>operators, district heating and cooling networks, real estate companies, energy efficiency and net-zero technologies provider</w:t>
      </w:r>
      <w:r w:rsidR="4C3C6D0E">
        <w:rPr>
          <w:noProof/>
        </w:rPr>
        <w:t>s</w:t>
      </w:r>
      <w:r w:rsidR="150A0D2C">
        <w:rPr>
          <w:noProof/>
        </w:rPr>
        <w:t xml:space="preserve"> </w:t>
      </w:r>
      <w:r w:rsidR="15281C31">
        <w:rPr>
          <w:noProof/>
        </w:rPr>
        <w:t xml:space="preserve">should </w:t>
      </w:r>
      <w:r>
        <w:rPr>
          <w:noProof/>
        </w:rPr>
        <w:t>play a key role in mobilising private investments in energy efficiency by leveraging the economic benefits of energy efficiency improvements in term</w:t>
      </w:r>
      <w:r w:rsidR="00AA58D8">
        <w:rPr>
          <w:noProof/>
        </w:rPr>
        <w:t>s</w:t>
      </w:r>
      <w:r>
        <w:rPr>
          <w:noProof/>
        </w:rPr>
        <w:t xml:space="preserve"> of energy cost savings, and thus </w:t>
      </w:r>
      <w:r w:rsidR="00AE7F54">
        <w:rPr>
          <w:noProof/>
        </w:rPr>
        <w:t xml:space="preserve">add </w:t>
      </w:r>
      <w:r>
        <w:rPr>
          <w:noProof/>
        </w:rPr>
        <w:t xml:space="preserve">scale </w:t>
      </w:r>
      <w:r w:rsidR="00AE7F54">
        <w:rPr>
          <w:noProof/>
        </w:rPr>
        <w:t>to the business case for</w:t>
      </w:r>
      <w:r>
        <w:rPr>
          <w:noProof/>
        </w:rPr>
        <w:t xml:space="preserve"> energy efficiency. </w:t>
      </w:r>
    </w:p>
    <w:p w:rsidR="00EA096F" w:rsidRPr="009A328F" w:rsidRDefault="194498A6" w:rsidP="009A328F">
      <w:pPr>
        <w:pStyle w:val="ManualConsidrant"/>
        <w:rPr>
          <w:noProof/>
        </w:rPr>
      </w:pPr>
      <w:r>
        <w:rPr>
          <w:noProof/>
        </w:rPr>
        <w:t>(12)</w:t>
      </w:r>
      <w:r>
        <w:rPr>
          <w:noProof/>
        </w:rPr>
        <w:tab/>
        <w:t xml:space="preserve">To leverage </w:t>
      </w:r>
      <w:r w:rsidR="2C612BC9">
        <w:rPr>
          <w:noProof/>
        </w:rPr>
        <w:t xml:space="preserve">the participation of </w:t>
      </w:r>
      <w:r>
        <w:rPr>
          <w:noProof/>
        </w:rPr>
        <w:t>financial institutions and further mobilise private investments for energy efficiency,</w:t>
      </w:r>
      <w:r w:rsidR="00AE7F54">
        <w:rPr>
          <w:noProof/>
        </w:rPr>
        <w:t xml:space="preserve"> in 2024</w:t>
      </w:r>
      <w:r>
        <w:rPr>
          <w:noProof/>
        </w:rPr>
        <w:t xml:space="preserve"> the Commission </w:t>
      </w:r>
      <w:r w:rsidR="00AE7F54">
        <w:rPr>
          <w:noProof/>
        </w:rPr>
        <w:t>created</w:t>
      </w:r>
      <w:r>
        <w:rPr>
          <w:noProof/>
        </w:rPr>
        <w:t xml:space="preserve"> the European Energy Efficiency Financing Coalition (the </w:t>
      </w:r>
      <w:r w:rsidR="2C612BC9">
        <w:rPr>
          <w:noProof/>
        </w:rPr>
        <w:t>‘</w:t>
      </w:r>
      <w:r>
        <w:rPr>
          <w:noProof/>
        </w:rPr>
        <w:t>Coalition</w:t>
      </w:r>
      <w:r w:rsidR="2C612BC9">
        <w:rPr>
          <w:noProof/>
        </w:rPr>
        <w:t>’</w:t>
      </w:r>
      <w:r>
        <w:rPr>
          <w:noProof/>
        </w:rPr>
        <w:t>)</w:t>
      </w:r>
      <w:r w:rsidR="00AE7F54">
        <w:rPr>
          <w:noProof/>
        </w:rPr>
        <w:t>, which brought</w:t>
      </w:r>
      <w:r>
        <w:rPr>
          <w:noProof/>
        </w:rPr>
        <w:t xml:space="preserve"> together the EU Member States, financial institutions and relevant stakeholders as founding members to identify concrete actions </w:t>
      </w:r>
      <w:r w:rsidR="007B03FC">
        <w:rPr>
          <w:noProof/>
        </w:rPr>
        <w:t xml:space="preserve">to </w:t>
      </w:r>
      <w:r>
        <w:rPr>
          <w:noProof/>
        </w:rPr>
        <w:t>improv</w:t>
      </w:r>
      <w:r w:rsidR="007B03FC">
        <w:rPr>
          <w:noProof/>
        </w:rPr>
        <w:t>e</w:t>
      </w:r>
      <w:r>
        <w:rPr>
          <w:noProof/>
        </w:rPr>
        <w:t xml:space="preserve"> private financing for energy efficiency. The objectives of the Coalition are to create a favourable market environment for energy efficiency investments and to scale up the private financing needed to support the achievement of the EU’s energy and climate targets for 2030 and 2050. </w:t>
      </w:r>
    </w:p>
    <w:p w:rsidR="00A54916" w:rsidRPr="006A5CF5" w:rsidRDefault="51BF638B" w:rsidP="00A9204B">
      <w:pPr>
        <w:pStyle w:val="ManualConsidrant"/>
        <w:rPr>
          <w:noProof/>
        </w:rPr>
      </w:pPr>
      <w:r>
        <w:rPr>
          <w:noProof/>
        </w:rPr>
        <w:lastRenderedPageBreak/>
        <w:t>(13)</w:t>
      </w:r>
      <w:r>
        <w:rPr>
          <w:noProof/>
        </w:rPr>
        <w:tab/>
      </w:r>
      <w:r w:rsidRPr="006A5CF5">
        <w:rPr>
          <w:noProof/>
        </w:rPr>
        <w:t xml:space="preserve">The </w:t>
      </w:r>
      <w:r w:rsidR="00AE7F54">
        <w:rPr>
          <w:noProof/>
        </w:rPr>
        <w:t>j</w:t>
      </w:r>
      <w:r w:rsidRPr="006A5CF5">
        <w:rPr>
          <w:noProof/>
        </w:rPr>
        <w:t xml:space="preserve">oint </w:t>
      </w:r>
      <w:r w:rsidR="00AE7F54">
        <w:rPr>
          <w:noProof/>
        </w:rPr>
        <w:t>r</w:t>
      </w:r>
      <w:r w:rsidRPr="006A5CF5">
        <w:rPr>
          <w:noProof/>
        </w:rPr>
        <w:t xml:space="preserve">eport on </w:t>
      </w:r>
      <w:r w:rsidR="00AE7F54">
        <w:rPr>
          <w:noProof/>
        </w:rPr>
        <w:t>‘</w:t>
      </w:r>
      <w:r w:rsidR="7C986295" w:rsidRPr="006A5CF5">
        <w:rPr>
          <w:noProof/>
        </w:rPr>
        <w:t xml:space="preserve">Energy </w:t>
      </w:r>
      <w:r w:rsidRPr="006A5CF5">
        <w:rPr>
          <w:noProof/>
        </w:rPr>
        <w:t xml:space="preserve">Efficiency Financing in Europe – An </w:t>
      </w:r>
      <w:r w:rsidR="00075F50">
        <w:rPr>
          <w:noProof/>
        </w:rPr>
        <w:t>assessment</w:t>
      </w:r>
      <w:r w:rsidR="00075F50" w:rsidRPr="006A5CF5">
        <w:rPr>
          <w:noProof/>
        </w:rPr>
        <w:t xml:space="preserve"> </w:t>
      </w:r>
      <w:r w:rsidRPr="006A5CF5">
        <w:rPr>
          <w:noProof/>
        </w:rPr>
        <w:t>of public spending for energy efficiency</w:t>
      </w:r>
      <w:r w:rsidR="00075F50">
        <w:rPr>
          <w:noProof/>
        </w:rPr>
        <w:t xml:space="preserve"> </w:t>
      </w:r>
      <w:r w:rsidR="00075F50" w:rsidRPr="005D4110">
        <w:rPr>
          <w:bCs/>
          <w:noProof/>
        </w:rPr>
        <w:t>and the energy performance of buildings</w:t>
      </w:r>
      <w:r w:rsidR="00AE7F54">
        <w:rPr>
          <w:noProof/>
        </w:rPr>
        <w:t>’</w:t>
      </w:r>
      <w:r w:rsidR="004034B5" w:rsidRPr="006A5CF5">
        <w:rPr>
          <w:rStyle w:val="FootnoteReference"/>
          <w:noProof/>
        </w:rPr>
        <w:footnoteReference w:id="13"/>
      </w:r>
      <w:r w:rsidRPr="006A5CF5">
        <w:rPr>
          <w:noProof/>
        </w:rPr>
        <w:t xml:space="preserve">, in line with the </w:t>
      </w:r>
      <w:r w:rsidR="003364D8" w:rsidRPr="006A5CF5">
        <w:rPr>
          <w:noProof/>
        </w:rPr>
        <w:t>provisions of</w:t>
      </w:r>
      <w:r w:rsidR="30143F33" w:rsidRPr="006A5CF5">
        <w:rPr>
          <w:noProof/>
        </w:rPr>
        <w:t xml:space="preserve"> Article 30(17) </w:t>
      </w:r>
      <w:r w:rsidRPr="006A5CF5">
        <w:rPr>
          <w:noProof/>
        </w:rPr>
        <w:t>EED</w:t>
      </w:r>
      <w:r w:rsidR="30143F33" w:rsidRPr="006A5CF5">
        <w:rPr>
          <w:noProof/>
        </w:rPr>
        <w:t xml:space="preserve"> recasts </w:t>
      </w:r>
      <w:r w:rsidR="00430D21">
        <w:rPr>
          <w:noProof/>
        </w:rPr>
        <w:t xml:space="preserve">(EU/2023/1791) </w:t>
      </w:r>
      <w:r w:rsidR="30143F33" w:rsidRPr="006A5CF5">
        <w:rPr>
          <w:noProof/>
        </w:rPr>
        <w:t>and Article 9(8) EPBD recast</w:t>
      </w:r>
      <w:r w:rsidR="00430D21">
        <w:rPr>
          <w:noProof/>
        </w:rPr>
        <w:t xml:space="preserve"> (EU/2024/1275)</w:t>
      </w:r>
      <w:r w:rsidR="30143F33" w:rsidRPr="006A5CF5">
        <w:rPr>
          <w:noProof/>
        </w:rPr>
        <w:t>, assess</w:t>
      </w:r>
      <w:r w:rsidR="41FEC78A" w:rsidRPr="006A5CF5">
        <w:rPr>
          <w:noProof/>
        </w:rPr>
        <w:t>es</w:t>
      </w:r>
      <w:r w:rsidR="30143F33" w:rsidRPr="006A5CF5">
        <w:rPr>
          <w:noProof/>
        </w:rPr>
        <w:t xml:space="preserve"> the current state </w:t>
      </w:r>
      <w:r w:rsidR="00485C69" w:rsidRPr="006A5CF5">
        <w:rPr>
          <w:noProof/>
        </w:rPr>
        <w:t xml:space="preserve">and the effectiveness </w:t>
      </w:r>
      <w:r w:rsidR="30143F33" w:rsidRPr="006A5CF5">
        <w:rPr>
          <w:noProof/>
        </w:rPr>
        <w:t xml:space="preserve">of public funding support in Europe </w:t>
      </w:r>
      <w:r w:rsidR="00501A70" w:rsidRPr="006A5CF5">
        <w:rPr>
          <w:noProof/>
        </w:rPr>
        <w:t xml:space="preserve">for </w:t>
      </w:r>
      <w:r w:rsidR="30143F33" w:rsidRPr="006A5CF5">
        <w:rPr>
          <w:noProof/>
        </w:rPr>
        <w:t>leverag</w:t>
      </w:r>
      <w:r w:rsidR="00501A70" w:rsidRPr="006A5CF5">
        <w:rPr>
          <w:noProof/>
        </w:rPr>
        <w:t>ing</w:t>
      </w:r>
      <w:r w:rsidR="30143F33" w:rsidRPr="006A5CF5">
        <w:rPr>
          <w:noProof/>
        </w:rPr>
        <w:t xml:space="preserve"> </w:t>
      </w:r>
      <w:r w:rsidR="00501A70" w:rsidRPr="006A5CF5">
        <w:rPr>
          <w:noProof/>
        </w:rPr>
        <w:t xml:space="preserve">additional </w:t>
      </w:r>
      <w:r w:rsidR="30143F33" w:rsidRPr="006A5CF5">
        <w:rPr>
          <w:noProof/>
        </w:rPr>
        <w:t>private investments</w:t>
      </w:r>
      <w:r w:rsidR="00501A70" w:rsidRPr="006A5CF5">
        <w:rPr>
          <w:noProof/>
        </w:rPr>
        <w:t>.</w:t>
      </w:r>
      <w:r w:rsidR="30143F33" w:rsidRPr="006A5CF5">
        <w:rPr>
          <w:noProof/>
        </w:rPr>
        <w:t xml:space="preserve"> </w:t>
      </w:r>
      <w:bookmarkStart w:id="1" w:name="_Hlk212650715"/>
      <w:r w:rsidR="00A9204B">
        <w:rPr>
          <w:noProof/>
        </w:rPr>
        <w:t>The joint report notes that the investment needed to achieve the 2030 energy efficiency targets is EUR 3</w:t>
      </w:r>
      <w:r w:rsidR="007F51CC">
        <w:rPr>
          <w:noProof/>
        </w:rPr>
        <w:t>70</w:t>
      </w:r>
      <w:r w:rsidR="00A9204B">
        <w:rPr>
          <w:noProof/>
        </w:rPr>
        <w:t xml:space="preserve"> billion per year for the 2021-2030 period and that the projected investment gap to achieve the energy efficiency targets amounts to around EUR 170 billion per year</w:t>
      </w:r>
      <w:r w:rsidR="00A9204B" w:rsidRPr="00232F3F">
        <w:rPr>
          <w:rStyle w:val="FootnoteReference"/>
          <w:noProof/>
        </w:rPr>
        <w:footnoteReference w:id="14"/>
      </w:r>
      <w:r w:rsidR="00A9204B">
        <w:rPr>
          <w:noProof/>
        </w:rPr>
        <w:t xml:space="preserve">. </w:t>
      </w:r>
      <w:r w:rsidR="004E61C8">
        <w:rPr>
          <w:noProof/>
        </w:rPr>
        <w:t>T</w:t>
      </w:r>
      <w:r w:rsidR="00A9204B">
        <w:rPr>
          <w:noProof/>
        </w:rPr>
        <w:t xml:space="preserve">he EU budgetary resources for energy efficiency have increased by </w:t>
      </w:r>
      <w:r w:rsidR="00AA0112">
        <w:rPr>
          <w:noProof/>
        </w:rPr>
        <w:t>62</w:t>
      </w:r>
      <w:r w:rsidR="00A9204B">
        <w:rPr>
          <w:noProof/>
        </w:rPr>
        <w:t>% in the 2021-2027 Multi-Annual Financial Framework compared to the 2014-2020 period</w:t>
      </w:r>
      <w:r w:rsidR="00AA0112">
        <w:rPr>
          <w:noProof/>
        </w:rPr>
        <w:t>, and by 491% when taking into account contribution from NextGenerationEU</w:t>
      </w:r>
      <w:r w:rsidR="00A9204B">
        <w:rPr>
          <w:noProof/>
        </w:rPr>
        <w:t>, from EUR 26</w:t>
      </w:r>
      <w:r w:rsidR="004E61C8">
        <w:rPr>
          <w:noProof/>
        </w:rPr>
        <w:t>.</w:t>
      </w:r>
      <w:r w:rsidR="00A9204B">
        <w:rPr>
          <w:noProof/>
        </w:rPr>
        <w:t>5 to 156</w:t>
      </w:r>
      <w:r w:rsidR="00624EAA">
        <w:rPr>
          <w:noProof/>
        </w:rPr>
        <w:t>.</w:t>
      </w:r>
      <w:r w:rsidR="00A9204B">
        <w:rPr>
          <w:noProof/>
        </w:rPr>
        <w:t>6 billion</w:t>
      </w:r>
      <w:r w:rsidR="004E61C8">
        <w:rPr>
          <w:noProof/>
        </w:rPr>
        <w:t>.</w:t>
      </w:r>
      <w:r w:rsidR="00A9204B">
        <w:rPr>
          <w:noProof/>
        </w:rPr>
        <w:t xml:space="preserve"> </w:t>
      </w:r>
      <w:r w:rsidR="004E61C8">
        <w:rPr>
          <w:noProof/>
        </w:rPr>
        <w:t>A</w:t>
      </w:r>
      <w:r w:rsidR="00A9204B">
        <w:rPr>
          <w:noProof/>
        </w:rPr>
        <w:t xml:space="preserve"> large majority of this increase comes from the recovery and resilience facility (‘RRF’).</w:t>
      </w:r>
      <w:r w:rsidR="10267F07" w:rsidRPr="006A5CF5">
        <w:rPr>
          <w:noProof/>
        </w:rPr>
        <w:t xml:space="preserve"> </w:t>
      </w:r>
      <w:bookmarkEnd w:id="1"/>
      <w:r w:rsidR="00501A70" w:rsidRPr="006A5CF5">
        <w:rPr>
          <w:noProof/>
        </w:rPr>
        <w:t>T</w:t>
      </w:r>
      <w:r w:rsidR="009A328F" w:rsidRPr="006A5CF5">
        <w:rPr>
          <w:noProof/>
        </w:rPr>
        <w:t xml:space="preserve">he </w:t>
      </w:r>
      <w:r w:rsidR="00E26F99">
        <w:rPr>
          <w:noProof/>
        </w:rPr>
        <w:t>j</w:t>
      </w:r>
      <w:r w:rsidR="009A328F" w:rsidRPr="006A5CF5">
        <w:rPr>
          <w:noProof/>
        </w:rPr>
        <w:t xml:space="preserve">oint </w:t>
      </w:r>
      <w:r w:rsidR="00E26F99">
        <w:rPr>
          <w:noProof/>
        </w:rPr>
        <w:t>r</w:t>
      </w:r>
      <w:r w:rsidR="009A328F" w:rsidRPr="006A5CF5">
        <w:rPr>
          <w:noProof/>
        </w:rPr>
        <w:t xml:space="preserve">eport </w:t>
      </w:r>
      <w:r w:rsidR="00501A70" w:rsidRPr="006A5CF5">
        <w:rPr>
          <w:noProof/>
        </w:rPr>
        <w:t xml:space="preserve">concludes </w:t>
      </w:r>
      <w:r w:rsidR="009A328F" w:rsidRPr="006A5CF5">
        <w:rPr>
          <w:noProof/>
        </w:rPr>
        <w:t xml:space="preserve">that EU and national public budget resources for energy efficiency are fundamental </w:t>
      </w:r>
      <w:r w:rsidR="00E26F99">
        <w:rPr>
          <w:noProof/>
        </w:rPr>
        <w:t>although they</w:t>
      </w:r>
      <w:r w:rsidR="00E26F99" w:rsidRPr="006A5CF5">
        <w:rPr>
          <w:noProof/>
        </w:rPr>
        <w:t xml:space="preserve"> </w:t>
      </w:r>
      <w:r w:rsidR="009A328F" w:rsidRPr="006A5CF5">
        <w:rPr>
          <w:noProof/>
        </w:rPr>
        <w:t>only account for a limited share</w:t>
      </w:r>
      <w:r w:rsidR="007F6A4F" w:rsidRPr="006A5CF5">
        <w:rPr>
          <w:noProof/>
        </w:rPr>
        <w:t xml:space="preserve"> </w:t>
      </w:r>
      <w:r w:rsidR="008A24AF">
        <w:rPr>
          <w:noProof/>
        </w:rPr>
        <w:t>representing</w:t>
      </w:r>
      <w:r w:rsidR="00F074BA">
        <w:rPr>
          <w:noProof/>
        </w:rPr>
        <w:t xml:space="preserve"> around</w:t>
      </w:r>
      <w:r w:rsidR="008A24AF" w:rsidRPr="006A5CF5">
        <w:rPr>
          <w:noProof/>
        </w:rPr>
        <w:t xml:space="preserve"> </w:t>
      </w:r>
      <w:r w:rsidR="009A328F" w:rsidRPr="006A5CF5">
        <w:rPr>
          <w:noProof/>
        </w:rPr>
        <w:t>1</w:t>
      </w:r>
      <w:r w:rsidR="007F51CC">
        <w:rPr>
          <w:noProof/>
        </w:rPr>
        <w:t>4.4</w:t>
      </w:r>
      <w:r w:rsidR="009A328F" w:rsidRPr="006A5CF5">
        <w:rPr>
          <w:noProof/>
        </w:rPr>
        <w:t xml:space="preserve">% of the investment </w:t>
      </w:r>
      <w:r w:rsidR="007F51CC">
        <w:rPr>
          <w:noProof/>
        </w:rPr>
        <w:t>need</w:t>
      </w:r>
      <w:r w:rsidR="004E61C8">
        <w:rPr>
          <w:noProof/>
        </w:rPr>
        <w:t>s</w:t>
      </w:r>
      <w:r w:rsidR="00E26F99">
        <w:rPr>
          <w:noProof/>
        </w:rPr>
        <w:t>. The report also concludes</w:t>
      </w:r>
      <w:r w:rsidR="009A328F" w:rsidRPr="006A5CF5">
        <w:rPr>
          <w:noProof/>
        </w:rPr>
        <w:t xml:space="preserve"> </w:t>
      </w:r>
      <w:r w:rsidR="007F6A4F" w:rsidRPr="006A5CF5">
        <w:rPr>
          <w:noProof/>
        </w:rPr>
        <w:t xml:space="preserve">that </w:t>
      </w:r>
      <w:r w:rsidR="009A328F" w:rsidRPr="006A5CF5">
        <w:rPr>
          <w:noProof/>
        </w:rPr>
        <w:t xml:space="preserve">the catalytic effect of public funding should be fully and further exploited </w:t>
      </w:r>
      <w:r w:rsidR="00444764" w:rsidRPr="006A5CF5">
        <w:rPr>
          <w:noProof/>
        </w:rPr>
        <w:t xml:space="preserve">by increasing </w:t>
      </w:r>
      <w:r w:rsidR="007F6A4F" w:rsidRPr="006A5CF5">
        <w:rPr>
          <w:noProof/>
        </w:rPr>
        <w:t xml:space="preserve">the </w:t>
      </w:r>
      <w:r w:rsidR="00444764" w:rsidRPr="006A5CF5">
        <w:rPr>
          <w:noProof/>
        </w:rPr>
        <w:t>effectiveness and efficiency of public budget support in delivering larger energy savings and attract</w:t>
      </w:r>
      <w:r w:rsidR="00FB59C0" w:rsidRPr="006A5CF5">
        <w:rPr>
          <w:noProof/>
        </w:rPr>
        <w:t>ing</w:t>
      </w:r>
      <w:r w:rsidR="00444764" w:rsidRPr="006A5CF5">
        <w:rPr>
          <w:noProof/>
        </w:rPr>
        <w:t xml:space="preserve"> further private capital.  </w:t>
      </w:r>
    </w:p>
    <w:p w:rsidR="009D0490" w:rsidRPr="00100AF6" w:rsidRDefault="00D023DD" w:rsidP="06B63556">
      <w:pPr>
        <w:pStyle w:val="ManualConsidrant"/>
        <w:rPr>
          <w:noProof/>
        </w:rPr>
      </w:pPr>
      <w:r>
        <w:rPr>
          <w:noProof/>
        </w:rPr>
        <w:t>(14)</w:t>
      </w:r>
      <w:r>
        <w:rPr>
          <w:noProof/>
        </w:rPr>
        <w:tab/>
      </w:r>
      <w:r w:rsidRPr="00E03FE9">
        <w:rPr>
          <w:noProof/>
        </w:rPr>
        <w:t xml:space="preserve">Given the limited availability of public resources, their use should be targeted to </w:t>
      </w:r>
      <w:r>
        <w:rPr>
          <w:noProof/>
        </w:rPr>
        <w:t xml:space="preserve">increase the business case for energy efficiency and thus address </w:t>
      </w:r>
      <w:r w:rsidRPr="00E03FE9">
        <w:rPr>
          <w:noProof/>
        </w:rPr>
        <w:t>market failures imped</w:t>
      </w:r>
      <w:r>
        <w:rPr>
          <w:noProof/>
        </w:rPr>
        <w:t xml:space="preserve">ing mobilisation of </w:t>
      </w:r>
      <w:r w:rsidRPr="00E03FE9">
        <w:rPr>
          <w:noProof/>
        </w:rPr>
        <w:t xml:space="preserve">private investment in energy efficiency, while </w:t>
      </w:r>
      <w:r>
        <w:rPr>
          <w:noProof/>
        </w:rPr>
        <w:t xml:space="preserve">also </w:t>
      </w:r>
      <w:r w:rsidRPr="00E03FE9">
        <w:rPr>
          <w:noProof/>
        </w:rPr>
        <w:t xml:space="preserve">focusing on providing support to vulnerable groups </w:t>
      </w:r>
      <w:r>
        <w:rPr>
          <w:noProof/>
        </w:rPr>
        <w:t>to address high upfront costs.</w:t>
      </w:r>
      <w:r w:rsidRPr="00E03FE9">
        <w:rPr>
          <w:noProof/>
        </w:rPr>
        <w:t xml:space="preserve"> </w:t>
      </w:r>
      <w:r>
        <w:rPr>
          <w:noProof/>
        </w:rPr>
        <w:t>In addition, t</w:t>
      </w:r>
      <w:r w:rsidR="051A5502">
        <w:rPr>
          <w:noProof/>
        </w:rPr>
        <w:t xml:space="preserve">he limited </w:t>
      </w:r>
      <w:r w:rsidR="0ECC099C">
        <w:rPr>
          <w:noProof/>
        </w:rPr>
        <w:t>standardisation</w:t>
      </w:r>
      <w:r w:rsidR="051A5502">
        <w:rPr>
          <w:noProof/>
        </w:rPr>
        <w:t xml:space="preserve"> of energy efficiency investments represents a critical barrier to</w:t>
      </w:r>
      <w:r w:rsidR="0ECC099C">
        <w:rPr>
          <w:noProof/>
        </w:rPr>
        <w:t xml:space="preserve"> the development of dedicated financial offer</w:t>
      </w:r>
      <w:r w:rsidR="0064494B">
        <w:rPr>
          <w:noProof/>
        </w:rPr>
        <w:t>s</w:t>
      </w:r>
      <w:r w:rsidR="0ECC099C">
        <w:rPr>
          <w:noProof/>
        </w:rPr>
        <w:t xml:space="preserve"> </w:t>
      </w:r>
      <w:r w:rsidR="0064494B">
        <w:rPr>
          <w:noProof/>
        </w:rPr>
        <w:t xml:space="preserve">and </w:t>
      </w:r>
      <w:r w:rsidR="0ECC099C">
        <w:rPr>
          <w:noProof/>
        </w:rPr>
        <w:t xml:space="preserve">financial instruments </w:t>
      </w:r>
      <w:r w:rsidR="005F38B3">
        <w:rPr>
          <w:noProof/>
        </w:rPr>
        <w:t xml:space="preserve">for energy efficiency </w:t>
      </w:r>
      <w:r w:rsidR="0ECC099C">
        <w:rPr>
          <w:noProof/>
        </w:rPr>
        <w:t>at scale</w:t>
      </w:r>
      <w:r w:rsidR="005F38B3">
        <w:rPr>
          <w:noProof/>
        </w:rPr>
        <w:t xml:space="preserve">, thereby failing to </w:t>
      </w:r>
      <w:r w:rsidR="0ECC099C">
        <w:rPr>
          <w:noProof/>
        </w:rPr>
        <w:t xml:space="preserve">attract private capital investors and market operators. </w:t>
      </w:r>
      <w:r w:rsidR="007F51CC">
        <w:rPr>
          <w:noProof/>
        </w:rPr>
        <w:t>Therefore, it remain</w:t>
      </w:r>
      <w:r>
        <w:rPr>
          <w:noProof/>
        </w:rPr>
        <w:t>s</w:t>
      </w:r>
      <w:r w:rsidR="007F51CC">
        <w:rPr>
          <w:noProof/>
        </w:rPr>
        <w:t xml:space="preserve"> key to support aggregation, project development assistance, and common methodologies </w:t>
      </w:r>
      <w:r w:rsidR="00644E86">
        <w:rPr>
          <w:noProof/>
        </w:rPr>
        <w:t>to develop, aggregate and valuate energy efficiency investments</w:t>
      </w:r>
      <w:r>
        <w:rPr>
          <w:noProof/>
        </w:rPr>
        <w:t xml:space="preserve"> in order to further crowd-in private capitals</w:t>
      </w:r>
      <w:r w:rsidR="00644E86">
        <w:rPr>
          <w:noProof/>
        </w:rPr>
        <w:t xml:space="preserve">. </w:t>
      </w:r>
    </w:p>
    <w:p w:rsidR="00AA58D8" w:rsidRPr="00100AF6" w:rsidRDefault="00E26F99" w:rsidP="06B63556">
      <w:pPr>
        <w:pStyle w:val="ManualConsidrant"/>
        <w:rPr>
          <w:noProof/>
        </w:rPr>
      </w:pPr>
      <w:r>
        <w:rPr>
          <w:noProof/>
        </w:rPr>
        <w:t>(15)</w:t>
      </w:r>
      <w:r>
        <w:rPr>
          <w:noProof/>
        </w:rPr>
        <w:tab/>
        <w:t>Since the</w:t>
      </w:r>
      <w:r w:rsidR="569E3EC7" w:rsidRPr="006A5CF5">
        <w:rPr>
          <w:noProof/>
        </w:rPr>
        <w:t xml:space="preserve"> households affected by energy poverty lack own resources and have limited access to commercial loans, they face barriers to access</w:t>
      </w:r>
      <w:r>
        <w:rPr>
          <w:noProof/>
        </w:rPr>
        <w:t>ing</w:t>
      </w:r>
      <w:r w:rsidR="569E3EC7" w:rsidRPr="006A5CF5">
        <w:rPr>
          <w:noProof/>
        </w:rPr>
        <w:t xml:space="preserve"> finance for investments. Such households therefore need </w:t>
      </w:r>
      <w:r w:rsidR="00BB392F">
        <w:rPr>
          <w:noProof/>
        </w:rPr>
        <w:t xml:space="preserve">innovative </w:t>
      </w:r>
      <w:r w:rsidR="569E3EC7" w:rsidRPr="006A5CF5">
        <w:rPr>
          <w:noProof/>
        </w:rPr>
        <w:t>public financial</w:t>
      </w:r>
      <w:r w:rsidR="00BF7332">
        <w:rPr>
          <w:noProof/>
        </w:rPr>
        <w:t xml:space="preserve"> instruments</w:t>
      </w:r>
      <w:r w:rsidR="569E3EC7" w:rsidRPr="006A5CF5">
        <w:rPr>
          <w:noProof/>
        </w:rPr>
        <w:t xml:space="preserve"> </w:t>
      </w:r>
      <w:r w:rsidR="002D75C1">
        <w:rPr>
          <w:noProof/>
        </w:rPr>
        <w:t xml:space="preserve"> blending </w:t>
      </w:r>
      <w:r w:rsidR="00BF7332">
        <w:rPr>
          <w:noProof/>
        </w:rPr>
        <w:t>different form</w:t>
      </w:r>
      <w:r w:rsidR="00AA58D8">
        <w:rPr>
          <w:noProof/>
        </w:rPr>
        <w:t>s</w:t>
      </w:r>
      <w:r w:rsidR="00BF7332">
        <w:rPr>
          <w:noProof/>
        </w:rPr>
        <w:t xml:space="preserve"> of funding that can enable access to finance</w:t>
      </w:r>
      <w:r w:rsidR="003C06A7">
        <w:rPr>
          <w:noProof/>
        </w:rPr>
        <w:t xml:space="preserve"> in the form of </w:t>
      </w:r>
      <w:r w:rsidR="003C06A7" w:rsidRPr="00615D00">
        <w:rPr>
          <w:noProof/>
        </w:rPr>
        <w:t>zero-to-low interest loans</w:t>
      </w:r>
      <w:r w:rsidR="00F4350A">
        <w:rPr>
          <w:noProof/>
        </w:rPr>
        <w:t>, cost-free performance-based</w:t>
      </w:r>
      <w:r w:rsidR="009227A0">
        <w:rPr>
          <w:noProof/>
        </w:rPr>
        <w:t xml:space="preserve"> funding – such as energy performance contracting and on-bill financing – t</w:t>
      </w:r>
      <w:r w:rsidR="00F4350A">
        <w:rPr>
          <w:noProof/>
        </w:rPr>
        <w:t xml:space="preserve">hat </w:t>
      </w:r>
      <w:r w:rsidR="003C06A7" w:rsidRPr="00615D00">
        <w:rPr>
          <w:noProof/>
        </w:rPr>
        <w:t xml:space="preserve"> </w:t>
      </w:r>
      <w:r w:rsidR="569E3EC7" w:rsidRPr="006A5CF5">
        <w:rPr>
          <w:noProof/>
        </w:rPr>
        <w:t xml:space="preserve"> allows households </w:t>
      </w:r>
      <w:r w:rsidR="009227A0">
        <w:rPr>
          <w:noProof/>
        </w:rPr>
        <w:t xml:space="preserve">to access upfront </w:t>
      </w:r>
      <w:r w:rsidR="00D3225F">
        <w:rPr>
          <w:noProof/>
        </w:rPr>
        <w:t xml:space="preserve">finance support and </w:t>
      </w:r>
      <w:r w:rsidR="569E3EC7" w:rsidRPr="006A5CF5">
        <w:rPr>
          <w:noProof/>
        </w:rPr>
        <w:t xml:space="preserve"> pay back the investment as they save on their energy bill, </w:t>
      </w:r>
      <w:r>
        <w:rPr>
          <w:noProof/>
        </w:rPr>
        <w:t>alongside</w:t>
      </w:r>
      <w:r w:rsidR="006D52BA">
        <w:rPr>
          <w:noProof/>
        </w:rPr>
        <w:t xml:space="preserve"> other </w:t>
      </w:r>
      <w:r w:rsidR="569E3EC7" w:rsidRPr="006A5CF5">
        <w:rPr>
          <w:noProof/>
        </w:rPr>
        <w:t xml:space="preserve">innovative </w:t>
      </w:r>
      <w:r>
        <w:rPr>
          <w:noProof/>
        </w:rPr>
        <w:t>forms</w:t>
      </w:r>
      <w:r w:rsidR="569E3EC7" w:rsidRPr="006A5CF5">
        <w:rPr>
          <w:noProof/>
        </w:rPr>
        <w:t xml:space="preserve"> of financing</w:t>
      </w:r>
      <w:r w:rsidR="006D52BA">
        <w:rPr>
          <w:noProof/>
        </w:rPr>
        <w:t xml:space="preserve">. </w:t>
      </w:r>
      <w:r w:rsidR="249E2D28" w:rsidRPr="00100AF6">
        <w:rPr>
          <w:noProof/>
        </w:rPr>
        <w:t xml:space="preserve">Energy communities </w:t>
      </w:r>
      <w:r w:rsidR="005967D0" w:rsidRPr="00100AF6">
        <w:rPr>
          <w:noProof/>
        </w:rPr>
        <w:t xml:space="preserve">can also play a role in </w:t>
      </w:r>
      <w:r w:rsidR="4434D9A1" w:rsidRPr="00100AF6">
        <w:rPr>
          <w:noProof/>
        </w:rPr>
        <w:t>pool</w:t>
      </w:r>
      <w:r w:rsidR="005967D0" w:rsidRPr="00100AF6">
        <w:rPr>
          <w:noProof/>
        </w:rPr>
        <w:t>ing</w:t>
      </w:r>
      <w:r w:rsidR="249E2D28" w:rsidRPr="00100AF6">
        <w:rPr>
          <w:noProof/>
        </w:rPr>
        <w:t xml:space="preserve"> private investments in energy efficiency solutions</w:t>
      </w:r>
      <w:r w:rsidR="1DE7FAD5" w:rsidRPr="00100AF6">
        <w:rPr>
          <w:noProof/>
        </w:rPr>
        <w:t xml:space="preserve"> </w:t>
      </w:r>
      <w:r w:rsidR="7ECEE007" w:rsidRPr="00100AF6">
        <w:rPr>
          <w:noProof/>
        </w:rPr>
        <w:t>in a way that is more accessible and affordable for citizens, local authorities</w:t>
      </w:r>
      <w:r w:rsidR="00F12F4C" w:rsidRPr="00100AF6">
        <w:rPr>
          <w:noProof/>
        </w:rPr>
        <w:t>,</w:t>
      </w:r>
      <w:r w:rsidR="7ECEE007" w:rsidRPr="00100AF6">
        <w:rPr>
          <w:noProof/>
        </w:rPr>
        <w:t xml:space="preserve"> SMEs</w:t>
      </w:r>
      <w:r w:rsidR="00341BC1" w:rsidRPr="00100AF6">
        <w:rPr>
          <w:noProof/>
        </w:rPr>
        <w:t>,</w:t>
      </w:r>
      <w:r w:rsidR="00F12F4C" w:rsidRPr="00100AF6">
        <w:rPr>
          <w:noProof/>
        </w:rPr>
        <w:t xml:space="preserve"> and vulnerable households.</w:t>
      </w:r>
      <w:r w:rsidR="00341BC1" w:rsidRPr="00100AF6">
        <w:rPr>
          <w:noProof/>
        </w:rPr>
        <w:t xml:space="preserve"> </w:t>
      </w:r>
    </w:p>
    <w:p w:rsidR="006A5CF5" w:rsidRPr="00AA58D8" w:rsidRDefault="00E26F99" w:rsidP="00AA58D8">
      <w:pPr>
        <w:pStyle w:val="ManualConsidrant"/>
        <w:rPr>
          <w:noProof/>
          <w:color w:val="000000" w:themeColor="text1"/>
        </w:rPr>
      </w:pPr>
      <w:r>
        <w:rPr>
          <w:noProof/>
        </w:rPr>
        <w:t>(16)</w:t>
      </w:r>
      <w:r>
        <w:rPr>
          <w:noProof/>
        </w:rPr>
        <w:tab/>
      </w:r>
      <w:r>
        <w:rPr>
          <w:noProof/>
          <w:color w:val="000000" w:themeColor="text1"/>
        </w:rPr>
        <w:t>M</w:t>
      </w:r>
      <w:r w:rsidR="00AA58D8" w:rsidRPr="00AA58D8">
        <w:rPr>
          <w:noProof/>
          <w:color w:val="000000" w:themeColor="text1"/>
        </w:rPr>
        <w:t xml:space="preserve">easures to lower energy bills and reduce energy poverty, as well as measures to support the renovation of worst performing buildings and to address the needs of vulnerable consumers, </w:t>
      </w:r>
      <w:r w:rsidR="00466D82">
        <w:rPr>
          <w:noProof/>
          <w:color w:val="000000" w:themeColor="text1"/>
        </w:rPr>
        <w:t>are expected to positively contribute to</w:t>
      </w:r>
      <w:r w:rsidR="00AA58D8" w:rsidRPr="00AA58D8">
        <w:rPr>
          <w:noProof/>
          <w:color w:val="000000" w:themeColor="text1"/>
        </w:rPr>
        <w:t xml:space="preserve"> the Commission’s objective to increase the supply and access to affordable housing.</w:t>
      </w:r>
      <w:r w:rsidR="10DD4A67" w:rsidRPr="00AA58D8">
        <w:rPr>
          <w:noProof/>
          <w:szCs w:val="24"/>
        </w:rPr>
        <w:t xml:space="preserve"> </w:t>
      </w:r>
    </w:p>
    <w:p w:rsidR="00D9705E" w:rsidRPr="00100AF6" w:rsidRDefault="0ECC099C" w:rsidP="06B63556">
      <w:pPr>
        <w:pStyle w:val="ManualConsidrant"/>
        <w:rPr>
          <w:noProof/>
          <w:color w:val="000000" w:themeColor="text1"/>
        </w:rPr>
      </w:pPr>
      <w:r>
        <w:rPr>
          <w:noProof/>
        </w:rPr>
        <w:lastRenderedPageBreak/>
        <w:t>(17)</w:t>
      </w:r>
      <w:r>
        <w:rPr>
          <w:noProof/>
        </w:rPr>
        <w:tab/>
      </w:r>
      <w:r w:rsidRPr="00100AF6">
        <w:rPr>
          <w:noProof/>
          <w:color w:val="000000" w:themeColor="text1"/>
        </w:rPr>
        <w:t xml:space="preserve">Specifically </w:t>
      </w:r>
      <w:r w:rsidR="009D0490" w:rsidRPr="00100AF6">
        <w:rPr>
          <w:noProof/>
          <w:color w:val="000000" w:themeColor="text1"/>
        </w:rPr>
        <w:t>regard</w:t>
      </w:r>
      <w:r w:rsidR="00E26F99" w:rsidRPr="00100AF6">
        <w:rPr>
          <w:noProof/>
          <w:color w:val="000000" w:themeColor="text1"/>
        </w:rPr>
        <w:t>ing</w:t>
      </w:r>
      <w:r w:rsidR="009D0490" w:rsidRPr="00100AF6">
        <w:rPr>
          <w:noProof/>
          <w:color w:val="000000" w:themeColor="text1"/>
        </w:rPr>
        <w:t xml:space="preserve"> </w:t>
      </w:r>
      <w:r w:rsidRPr="00100AF6">
        <w:rPr>
          <w:noProof/>
          <w:color w:val="000000" w:themeColor="text1"/>
        </w:rPr>
        <w:t xml:space="preserve">the building sector, the </w:t>
      </w:r>
      <w:r w:rsidR="5F3B9A5A" w:rsidRPr="00100AF6">
        <w:rPr>
          <w:noProof/>
          <w:color w:val="000000" w:themeColor="text1"/>
        </w:rPr>
        <w:t>observed</w:t>
      </w:r>
      <w:r w:rsidRPr="00100AF6">
        <w:rPr>
          <w:noProof/>
          <w:color w:val="000000" w:themeColor="text1"/>
        </w:rPr>
        <w:t xml:space="preserve"> average renovation rate across EU Member States is currently </w:t>
      </w:r>
      <w:r w:rsidR="5F3B9A5A" w:rsidRPr="00100AF6">
        <w:rPr>
          <w:noProof/>
          <w:color w:val="000000" w:themeColor="text1"/>
        </w:rPr>
        <w:t>too low</w:t>
      </w:r>
      <w:r w:rsidR="009D0490" w:rsidRPr="00100AF6">
        <w:rPr>
          <w:noProof/>
          <w:color w:val="000000" w:themeColor="text1"/>
        </w:rPr>
        <w:t xml:space="preserve"> (i.e. below 1%)</w:t>
      </w:r>
      <w:r w:rsidR="5F3B9A5A" w:rsidRPr="00100AF6">
        <w:rPr>
          <w:noProof/>
          <w:color w:val="000000" w:themeColor="text1"/>
        </w:rPr>
        <w:t xml:space="preserve"> to</w:t>
      </w:r>
      <w:r w:rsidR="04EF0568" w:rsidRPr="00100AF6">
        <w:rPr>
          <w:noProof/>
          <w:color w:val="000000" w:themeColor="text1"/>
        </w:rPr>
        <w:t xml:space="preserve"> ensure a timely decarbonisation of the building stock</w:t>
      </w:r>
      <w:r w:rsidR="009D0490" w:rsidRPr="00100AF6">
        <w:rPr>
          <w:noProof/>
          <w:color w:val="000000" w:themeColor="text1"/>
        </w:rPr>
        <w:t>.</w:t>
      </w:r>
      <w:r w:rsidR="04EF0568" w:rsidRPr="00100AF6">
        <w:rPr>
          <w:noProof/>
          <w:color w:val="000000" w:themeColor="text1"/>
        </w:rPr>
        <w:t xml:space="preserve"> </w:t>
      </w:r>
      <w:r w:rsidR="77454D88" w:rsidRPr="00100AF6">
        <w:rPr>
          <w:noProof/>
          <w:color w:val="000000" w:themeColor="text1"/>
        </w:rPr>
        <w:t>Supporting increase</w:t>
      </w:r>
      <w:r w:rsidR="00E26F99" w:rsidRPr="00100AF6">
        <w:rPr>
          <w:noProof/>
          <w:color w:val="000000" w:themeColor="text1"/>
        </w:rPr>
        <w:t>d</w:t>
      </w:r>
      <w:r w:rsidR="77454D88" w:rsidRPr="00100AF6">
        <w:rPr>
          <w:noProof/>
          <w:color w:val="000000" w:themeColor="text1"/>
        </w:rPr>
        <w:t xml:space="preserve"> </w:t>
      </w:r>
      <w:r w:rsidRPr="00100AF6">
        <w:rPr>
          <w:noProof/>
          <w:color w:val="000000" w:themeColor="text1"/>
        </w:rPr>
        <w:t xml:space="preserve">renovation rates and </w:t>
      </w:r>
      <w:r w:rsidR="006E6EEC" w:rsidRPr="00100AF6">
        <w:rPr>
          <w:noProof/>
          <w:color w:val="000000" w:themeColor="text1"/>
        </w:rPr>
        <w:t xml:space="preserve">the </w:t>
      </w:r>
      <w:r w:rsidRPr="00100AF6">
        <w:rPr>
          <w:noProof/>
          <w:color w:val="000000" w:themeColor="text1"/>
        </w:rPr>
        <w:t xml:space="preserve">uptake of energy efficiency measures in enterprises, including via regulatory measures, will </w:t>
      </w:r>
      <w:r w:rsidR="00A35466" w:rsidRPr="00100AF6">
        <w:rPr>
          <w:noProof/>
          <w:color w:val="000000" w:themeColor="text1"/>
        </w:rPr>
        <w:t xml:space="preserve">stimulate </w:t>
      </w:r>
      <w:r w:rsidRPr="00100AF6">
        <w:rPr>
          <w:noProof/>
          <w:color w:val="000000" w:themeColor="text1"/>
        </w:rPr>
        <w:t xml:space="preserve">private investors and market operators’ participation in the development of a thriving market for energy efficiency investments. </w:t>
      </w:r>
    </w:p>
    <w:p w:rsidR="00844AC2" w:rsidRDefault="1114F53C" w:rsidP="00FA17D5">
      <w:pPr>
        <w:pStyle w:val="ManualConsidrant"/>
        <w:rPr>
          <w:noProof/>
        </w:rPr>
      </w:pPr>
      <w:r>
        <w:rPr>
          <w:noProof/>
        </w:rPr>
        <w:t>(18)</w:t>
      </w:r>
      <w:r>
        <w:rPr>
          <w:noProof/>
        </w:rPr>
        <w:tab/>
        <w:t xml:space="preserve">Scaling up private investments for energy efficiency requires </w:t>
      </w:r>
      <w:r w:rsidR="00E26F99">
        <w:rPr>
          <w:noProof/>
        </w:rPr>
        <w:t>recognising</w:t>
      </w:r>
      <w:r>
        <w:rPr>
          <w:noProof/>
        </w:rPr>
        <w:t xml:space="preserve"> existing difference</w:t>
      </w:r>
      <w:r w:rsidR="41FEC78A">
        <w:rPr>
          <w:noProof/>
        </w:rPr>
        <w:t>s</w:t>
      </w:r>
      <w:r>
        <w:rPr>
          <w:noProof/>
        </w:rPr>
        <w:t xml:space="preserve"> across Member States</w:t>
      </w:r>
      <w:r w:rsidR="001B7F8C">
        <w:rPr>
          <w:noProof/>
        </w:rPr>
        <w:t>’</w:t>
      </w:r>
      <w:r>
        <w:rPr>
          <w:noProof/>
        </w:rPr>
        <w:t xml:space="preserve"> energy efficiency market</w:t>
      </w:r>
      <w:r w:rsidR="41FEC78A">
        <w:rPr>
          <w:noProof/>
        </w:rPr>
        <w:t>s</w:t>
      </w:r>
      <w:r>
        <w:rPr>
          <w:noProof/>
        </w:rPr>
        <w:t xml:space="preserve">, financing practices, </w:t>
      </w:r>
      <w:r w:rsidR="41FEC78A">
        <w:rPr>
          <w:noProof/>
        </w:rPr>
        <w:t xml:space="preserve">and their </w:t>
      </w:r>
      <w:r>
        <w:rPr>
          <w:noProof/>
        </w:rPr>
        <w:t>regulatory and support framework</w:t>
      </w:r>
      <w:r w:rsidR="41FEC78A">
        <w:rPr>
          <w:noProof/>
        </w:rPr>
        <w:t>s</w:t>
      </w:r>
      <w:r>
        <w:rPr>
          <w:noProof/>
        </w:rPr>
        <w:t xml:space="preserve">. </w:t>
      </w:r>
      <w:r w:rsidR="4BC58266">
        <w:rPr>
          <w:noProof/>
        </w:rPr>
        <w:t xml:space="preserve">Having identified that different challenges at national and regional level need different policy approaches, the </w:t>
      </w:r>
      <w:r>
        <w:rPr>
          <w:noProof/>
        </w:rPr>
        <w:t xml:space="preserve">Coalition established at Union level is complemented by dedicated Member States-based national hubs. </w:t>
      </w:r>
      <w:r w:rsidR="4BC58266">
        <w:rPr>
          <w:noProof/>
        </w:rPr>
        <w:t xml:space="preserve">The </w:t>
      </w:r>
      <w:r w:rsidR="002D72F0">
        <w:rPr>
          <w:noProof/>
        </w:rPr>
        <w:t xml:space="preserve">aim </w:t>
      </w:r>
      <w:r w:rsidR="4BC58266">
        <w:rPr>
          <w:noProof/>
        </w:rPr>
        <w:t xml:space="preserve">is </w:t>
      </w:r>
      <w:r w:rsidR="002D72F0">
        <w:rPr>
          <w:noProof/>
        </w:rPr>
        <w:t xml:space="preserve">for </w:t>
      </w:r>
      <w:r w:rsidR="4BC58266">
        <w:rPr>
          <w:noProof/>
        </w:rPr>
        <w:t xml:space="preserve">each hub </w:t>
      </w:r>
      <w:r w:rsidR="002D72F0">
        <w:rPr>
          <w:noProof/>
        </w:rPr>
        <w:t xml:space="preserve">to </w:t>
      </w:r>
      <w:r w:rsidR="4BC58266">
        <w:rPr>
          <w:noProof/>
        </w:rPr>
        <w:t>focus on a particular market-drive</w:t>
      </w:r>
      <w:r w:rsidR="00057D47">
        <w:rPr>
          <w:noProof/>
        </w:rPr>
        <w:t>n</w:t>
      </w:r>
      <w:r w:rsidR="4BC58266">
        <w:rPr>
          <w:noProof/>
        </w:rPr>
        <w:t xml:space="preserve"> approach</w:t>
      </w:r>
      <w:r w:rsidR="00057D47">
        <w:rPr>
          <w:noProof/>
        </w:rPr>
        <w:t xml:space="preserve"> to deliver on energy efficiency</w:t>
      </w:r>
      <w:r w:rsidR="4BC58266">
        <w:rPr>
          <w:noProof/>
        </w:rPr>
        <w:t xml:space="preserve">. The national hubs of the Coalition </w:t>
      </w:r>
      <w:r w:rsidR="007A4D01">
        <w:rPr>
          <w:noProof/>
        </w:rPr>
        <w:t>should</w:t>
      </w:r>
      <w:r w:rsidR="4BC58266">
        <w:rPr>
          <w:noProof/>
        </w:rPr>
        <w:t xml:space="preserve"> </w:t>
      </w:r>
      <w:r w:rsidR="00761DAD">
        <w:rPr>
          <w:noProof/>
        </w:rPr>
        <w:t>drive the uptake of</w:t>
      </w:r>
      <w:r w:rsidR="4BC58266">
        <w:rPr>
          <w:noProof/>
        </w:rPr>
        <w:t xml:space="preserve"> financing solutions at national level by </w:t>
      </w:r>
      <w:r w:rsidR="007A4D01">
        <w:rPr>
          <w:noProof/>
        </w:rPr>
        <w:t xml:space="preserve">gathering </w:t>
      </w:r>
      <w:r w:rsidR="4BC58266">
        <w:rPr>
          <w:noProof/>
        </w:rPr>
        <w:t>the right stakeholders, including public authorities</w:t>
      </w:r>
      <w:r w:rsidR="00761DAD">
        <w:rPr>
          <w:noProof/>
        </w:rPr>
        <w:t xml:space="preserve"> and </w:t>
      </w:r>
      <w:r w:rsidR="4BC58266">
        <w:rPr>
          <w:noProof/>
        </w:rPr>
        <w:t xml:space="preserve">financial institutions, </w:t>
      </w:r>
      <w:r w:rsidR="3609A6B6">
        <w:rPr>
          <w:noProof/>
        </w:rPr>
        <w:t>and by providing continuous</w:t>
      </w:r>
      <w:r w:rsidR="4BC58266">
        <w:rPr>
          <w:noProof/>
        </w:rPr>
        <w:t xml:space="preserve"> </w:t>
      </w:r>
      <w:r w:rsidR="3609A6B6">
        <w:rPr>
          <w:noProof/>
        </w:rPr>
        <w:t xml:space="preserve">technical </w:t>
      </w:r>
      <w:r w:rsidR="4B760383">
        <w:rPr>
          <w:noProof/>
        </w:rPr>
        <w:t>support</w:t>
      </w:r>
      <w:r w:rsidR="4BC58266">
        <w:rPr>
          <w:noProof/>
        </w:rPr>
        <w:t xml:space="preserve"> </w:t>
      </w:r>
      <w:r w:rsidR="3609A6B6">
        <w:rPr>
          <w:noProof/>
        </w:rPr>
        <w:t xml:space="preserve">to </w:t>
      </w:r>
      <w:r w:rsidR="4BC58266">
        <w:rPr>
          <w:noProof/>
        </w:rPr>
        <w:t>Member States</w:t>
      </w:r>
      <w:r w:rsidR="00761DAD">
        <w:rPr>
          <w:noProof/>
        </w:rPr>
        <w:t>’</w:t>
      </w:r>
      <w:r w:rsidR="4BC58266">
        <w:rPr>
          <w:noProof/>
        </w:rPr>
        <w:t xml:space="preserve"> authorities to help them </w:t>
      </w:r>
      <w:r w:rsidR="3609A6B6">
        <w:rPr>
          <w:noProof/>
        </w:rPr>
        <w:t xml:space="preserve">develop energy efficiency financing solutions in line with their policy objectives and ambitions. </w:t>
      </w:r>
      <w:r>
        <w:rPr>
          <w:noProof/>
        </w:rPr>
        <w:t xml:space="preserve">Similarly, the present recommendation to unlock private investments in energy efficiency </w:t>
      </w:r>
      <w:r w:rsidR="00326CA7">
        <w:rPr>
          <w:noProof/>
        </w:rPr>
        <w:t>should</w:t>
      </w:r>
      <w:r>
        <w:rPr>
          <w:noProof/>
        </w:rPr>
        <w:t xml:space="preserve"> be tailored to the specific national markets and financing practices. </w:t>
      </w:r>
    </w:p>
    <w:p w:rsidR="00880DD5" w:rsidRPr="008B4FC2" w:rsidRDefault="00880DD5" w:rsidP="00880DD5">
      <w:pPr>
        <w:pStyle w:val="ManualConsidrant"/>
        <w:rPr>
          <w:noProof/>
          <w:lang w:val="en-IE"/>
        </w:rPr>
      </w:pPr>
      <w:r>
        <w:rPr>
          <w:noProof/>
        </w:rPr>
        <w:t>(19)</w:t>
      </w:r>
      <w:r>
        <w:rPr>
          <w:noProof/>
        </w:rPr>
        <w:tab/>
      </w:r>
      <w:r w:rsidRPr="00D80CC1">
        <w:rPr>
          <w:noProof/>
        </w:rPr>
        <w:t xml:space="preserve">In spring 2024, </w:t>
      </w:r>
      <w:r>
        <w:rPr>
          <w:noProof/>
        </w:rPr>
        <w:t xml:space="preserve">the </w:t>
      </w:r>
      <w:r w:rsidRPr="00D80CC1">
        <w:rPr>
          <w:noProof/>
        </w:rPr>
        <w:t>Commission convened a European Citizens’ Panel on Energy Efficiency bringing together 150 European citizens to discuss the challenges and benefits of energy efficiency most relevant to them. As a result of their deliberations the citizens put forward a list of concrete recommendations to feed into upcoming Commission initiatives</w:t>
      </w:r>
      <w:r>
        <w:rPr>
          <w:noProof/>
        </w:rPr>
        <w:t>, highlighting in their recommendations the key role of supporting financing for energy efficiency.</w:t>
      </w:r>
      <w:r>
        <w:rPr>
          <w:rStyle w:val="FootnoteReference"/>
          <w:noProof/>
        </w:rPr>
        <w:footnoteReference w:id="15"/>
      </w:r>
    </w:p>
    <w:p w:rsidR="000C73D7" w:rsidRDefault="1655D3F0" w:rsidP="00270F36">
      <w:pPr>
        <w:pStyle w:val="ManualConsidrant"/>
        <w:rPr>
          <w:noProof/>
        </w:rPr>
      </w:pPr>
      <w:r>
        <w:rPr>
          <w:noProof/>
        </w:rPr>
        <w:t>(20)</w:t>
      </w:r>
      <w:r>
        <w:rPr>
          <w:noProof/>
        </w:rPr>
        <w:tab/>
        <w:t>P</w:t>
      </w:r>
      <w:r w:rsidR="51BF638B">
        <w:rPr>
          <w:noProof/>
        </w:rPr>
        <w:t xml:space="preserve">ursuant to Article 30(10) EED </w:t>
      </w:r>
      <w:r w:rsidR="00723751">
        <w:rPr>
          <w:noProof/>
        </w:rPr>
        <w:t>r</w:t>
      </w:r>
      <w:r w:rsidR="51BF638B">
        <w:rPr>
          <w:noProof/>
        </w:rPr>
        <w:t>ecast</w:t>
      </w:r>
      <w:r w:rsidR="00466D82">
        <w:rPr>
          <w:noProof/>
        </w:rPr>
        <w:t xml:space="preserve"> (EU/2023/1791)</w:t>
      </w:r>
      <w:r w:rsidR="4730EEB8">
        <w:rPr>
          <w:noProof/>
        </w:rPr>
        <w:t xml:space="preserve">, the Commission is required to provide </w:t>
      </w:r>
      <w:r w:rsidR="00AE552A">
        <w:rPr>
          <w:noProof/>
        </w:rPr>
        <w:t>g</w:t>
      </w:r>
      <w:r w:rsidR="4730EEB8">
        <w:rPr>
          <w:noProof/>
        </w:rPr>
        <w:t xml:space="preserve">uidance for Member States and market actors on how to unlock private investments in energy efficiency. The </w:t>
      </w:r>
      <w:r w:rsidR="00AE552A">
        <w:rPr>
          <w:noProof/>
        </w:rPr>
        <w:t>g</w:t>
      </w:r>
      <w:r w:rsidR="4730EEB8">
        <w:rPr>
          <w:noProof/>
        </w:rPr>
        <w:t xml:space="preserve">uidance </w:t>
      </w:r>
      <w:r>
        <w:rPr>
          <w:noProof/>
        </w:rPr>
        <w:t xml:space="preserve">should </w:t>
      </w:r>
      <w:r w:rsidR="00AE552A">
        <w:rPr>
          <w:noProof/>
        </w:rPr>
        <w:t>help</w:t>
      </w:r>
      <w:r w:rsidR="4730EEB8">
        <w:rPr>
          <w:noProof/>
        </w:rPr>
        <w:t xml:space="preserve"> Member States and market actors to develop and implement their energy efficiency investments, </w:t>
      </w:r>
      <w:r w:rsidR="00723751">
        <w:rPr>
          <w:noProof/>
        </w:rPr>
        <w:t>both within and outside of</w:t>
      </w:r>
      <w:r w:rsidR="00290D34">
        <w:rPr>
          <w:noProof/>
        </w:rPr>
        <w:t xml:space="preserve"> </w:t>
      </w:r>
      <w:r w:rsidR="4730EEB8">
        <w:rPr>
          <w:noProof/>
        </w:rPr>
        <w:t xml:space="preserve">the various Union programmes, and </w:t>
      </w:r>
      <w:r>
        <w:rPr>
          <w:noProof/>
        </w:rPr>
        <w:t xml:space="preserve">should </w:t>
      </w:r>
      <w:r w:rsidR="4730EEB8">
        <w:rPr>
          <w:noProof/>
        </w:rPr>
        <w:t>propose adequate financial mechanisms and innovative financing solutions,</w:t>
      </w:r>
      <w:r w:rsidR="7FADE12D">
        <w:rPr>
          <w:noProof/>
        </w:rPr>
        <w:t xml:space="preserve"> </w:t>
      </w:r>
      <w:r w:rsidR="4730EEB8">
        <w:rPr>
          <w:noProof/>
        </w:rPr>
        <w:t xml:space="preserve">with a combination of grants, financial instruments and project development assistance, </w:t>
      </w:r>
      <w:r w:rsidR="00290D34">
        <w:rPr>
          <w:noProof/>
        </w:rPr>
        <w:t xml:space="preserve">for </w:t>
      </w:r>
      <w:r w:rsidR="4730EEB8">
        <w:rPr>
          <w:noProof/>
        </w:rPr>
        <w:t>scal</w:t>
      </w:r>
      <w:r w:rsidR="00290D34">
        <w:rPr>
          <w:noProof/>
        </w:rPr>
        <w:t>ing</w:t>
      </w:r>
      <w:r w:rsidR="4730EEB8">
        <w:rPr>
          <w:noProof/>
        </w:rPr>
        <w:t xml:space="preserve"> up existing initiatives and </w:t>
      </w:r>
      <w:r w:rsidR="00290D34">
        <w:rPr>
          <w:noProof/>
        </w:rPr>
        <w:t>using</w:t>
      </w:r>
      <w:r w:rsidR="4730EEB8">
        <w:rPr>
          <w:noProof/>
        </w:rPr>
        <w:t xml:space="preserve"> Union programmes as a catalyst to leverage and trigger private financing. </w:t>
      </w:r>
    </w:p>
    <w:p w:rsidR="000D51C2" w:rsidRPr="008C3F14" w:rsidRDefault="3CFE9577" w:rsidP="00B27FA3">
      <w:pPr>
        <w:pStyle w:val="ManualConsidrant"/>
        <w:rPr>
          <w:noProof/>
        </w:rPr>
      </w:pPr>
      <w:r>
        <w:rPr>
          <w:noProof/>
        </w:rPr>
        <w:t>(21)</w:t>
      </w:r>
      <w:r>
        <w:rPr>
          <w:noProof/>
        </w:rPr>
        <w:tab/>
        <w:t>Th</w:t>
      </w:r>
      <w:r w:rsidR="00723751">
        <w:rPr>
          <w:noProof/>
        </w:rPr>
        <w:t xml:space="preserve">is </w:t>
      </w:r>
      <w:r>
        <w:rPr>
          <w:noProof/>
        </w:rPr>
        <w:t>Recommendation</w:t>
      </w:r>
      <w:r w:rsidR="00466D82">
        <w:rPr>
          <w:noProof/>
        </w:rPr>
        <w:t xml:space="preserve"> </w:t>
      </w:r>
      <w:r w:rsidR="00AA0193">
        <w:rPr>
          <w:noProof/>
        </w:rPr>
        <w:t>is accompanied</w:t>
      </w:r>
      <w:r>
        <w:rPr>
          <w:noProof/>
        </w:rPr>
        <w:t xml:space="preserve"> by a detailed </w:t>
      </w:r>
      <w:r w:rsidR="00AA0193">
        <w:rPr>
          <w:noProof/>
        </w:rPr>
        <w:t>A</w:t>
      </w:r>
      <w:r>
        <w:rPr>
          <w:noProof/>
        </w:rPr>
        <w:t xml:space="preserve">nnex with examples of </w:t>
      </w:r>
      <w:r w:rsidR="00073C56">
        <w:rPr>
          <w:noProof/>
        </w:rPr>
        <w:t xml:space="preserve">specific actions, </w:t>
      </w:r>
      <w:r>
        <w:rPr>
          <w:noProof/>
        </w:rPr>
        <w:t xml:space="preserve">measures and guidelines for implementation </w:t>
      </w:r>
      <w:r w:rsidR="00723751">
        <w:rPr>
          <w:noProof/>
        </w:rPr>
        <w:t>via the set-up of</w:t>
      </w:r>
      <w:r>
        <w:rPr>
          <w:noProof/>
        </w:rPr>
        <w:t xml:space="preserve"> financing schemes </w:t>
      </w:r>
      <w:r w:rsidR="00723751">
        <w:rPr>
          <w:noProof/>
        </w:rPr>
        <w:t>that can</w:t>
      </w:r>
      <w:r>
        <w:rPr>
          <w:noProof/>
        </w:rPr>
        <w:t xml:space="preserve"> unlock private investments in energy efficiency. </w:t>
      </w:r>
    </w:p>
    <w:p w:rsidR="006D714A" w:rsidRDefault="00636BDB" w:rsidP="006D1F23">
      <w:pPr>
        <w:pStyle w:val="Formuledadoption"/>
        <w:rPr>
          <w:noProof/>
        </w:rPr>
      </w:pPr>
      <w:r w:rsidRPr="00AE2EE9">
        <w:rPr>
          <w:noProof/>
        </w:rPr>
        <w:t>HAS ADOPTED THIS RECOMMENDATION</w:t>
      </w:r>
      <w:r w:rsidR="0082052C" w:rsidRPr="00C27431">
        <w:rPr>
          <w:noProof/>
        </w:rPr>
        <w:t>:</w:t>
      </w:r>
    </w:p>
    <w:p w:rsidR="00CF3037" w:rsidRPr="0087062B" w:rsidRDefault="00CF3037" w:rsidP="00E7137F">
      <w:pPr>
        <w:pStyle w:val="Titrearticle"/>
        <w:jc w:val="both"/>
        <w:rPr>
          <w:iCs/>
          <w:noProof/>
        </w:rPr>
      </w:pPr>
      <w:r>
        <w:rPr>
          <w:i w:val="0"/>
          <w:iCs/>
          <w:noProof/>
        </w:rPr>
        <w:t>Member States and market actors should:</w:t>
      </w:r>
    </w:p>
    <w:p w:rsidR="007D468E" w:rsidRPr="007D468E" w:rsidRDefault="00DA06F3" w:rsidP="002F1282">
      <w:pPr>
        <w:rPr>
          <w:noProof/>
        </w:rPr>
      </w:pPr>
      <w:r>
        <w:rPr>
          <w:b/>
          <w:bCs/>
          <w:noProof/>
        </w:rPr>
        <w:t xml:space="preserve">1. </w:t>
      </w:r>
      <w:r w:rsidR="00CF3037">
        <w:rPr>
          <w:b/>
          <w:bCs/>
          <w:noProof/>
        </w:rPr>
        <w:t>E</w:t>
      </w:r>
      <w:r w:rsidR="33778C25" w:rsidRPr="06B63556">
        <w:rPr>
          <w:b/>
          <w:bCs/>
          <w:noProof/>
        </w:rPr>
        <w:t>stablish a long-term public financing support framework for energy efficiency</w:t>
      </w:r>
      <w:r w:rsidR="33778C25">
        <w:rPr>
          <w:noProof/>
        </w:rPr>
        <w:t>,</w:t>
      </w:r>
      <w:r w:rsidR="0022607A">
        <w:rPr>
          <w:noProof/>
        </w:rPr>
        <w:t xml:space="preserve"> </w:t>
      </w:r>
      <w:r w:rsidR="33778C25">
        <w:rPr>
          <w:noProof/>
        </w:rPr>
        <w:t xml:space="preserve">leveraging </w:t>
      </w:r>
      <w:r w:rsidR="004D71DB">
        <w:rPr>
          <w:noProof/>
        </w:rPr>
        <w:t xml:space="preserve">in particular </w:t>
      </w:r>
      <w:r w:rsidR="33778C25">
        <w:rPr>
          <w:noProof/>
        </w:rPr>
        <w:t xml:space="preserve">the </w:t>
      </w:r>
      <w:r w:rsidR="004D71DB">
        <w:rPr>
          <w:noProof/>
        </w:rPr>
        <w:t>role</w:t>
      </w:r>
      <w:r w:rsidR="33778C25">
        <w:rPr>
          <w:noProof/>
        </w:rPr>
        <w:t xml:space="preserve"> of specialised funding facilities </w:t>
      </w:r>
      <w:r w:rsidR="111D309F">
        <w:rPr>
          <w:noProof/>
        </w:rPr>
        <w:t>of a</w:t>
      </w:r>
      <w:r w:rsidR="33778C25">
        <w:rPr>
          <w:noProof/>
        </w:rPr>
        <w:t xml:space="preserve"> revolving nature</w:t>
      </w:r>
      <w:r w:rsidR="00645BDE">
        <w:rPr>
          <w:noProof/>
        </w:rPr>
        <w:t xml:space="preserve"> and </w:t>
      </w:r>
      <w:r w:rsidR="00645BDE">
        <w:rPr>
          <w:noProof/>
        </w:rPr>
        <w:lastRenderedPageBreak/>
        <w:t>public guarantees</w:t>
      </w:r>
      <w:r w:rsidR="00E01043">
        <w:rPr>
          <w:noProof/>
        </w:rPr>
        <w:t xml:space="preserve"> </w:t>
      </w:r>
      <w:r w:rsidR="004E61C8">
        <w:rPr>
          <w:noProof/>
        </w:rPr>
        <w:t>to</w:t>
      </w:r>
      <w:r w:rsidR="00645BDE">
        <w:rPr>
          <w:noProof/>
        </w:rPr>
        <w:t xml:space="preserve"> increas</w:t>
      </w:r>
      <w:r w:rsidR="004E61C8">
        <w:rPr>
          <w:noProof/>
        </w:rPr>
        <w:t>e</w:t>
      </w:r>
      <w:r w:rsidR="00645BDE">
        <w:rPr>
          <w:noProof/>
        </w:rPr>
        <w:t xml:space="preserve"> access to finance and de-risking investments.</w:t>
      </w:r>
      <w:r w:rsidR="33778C25">
        <w:rPr>
          <w:noProof/>
        </w:rPr>
        <w:t xml:space="preserve"> </w:t>
      </w:r>
      <w:r w:rsidR="00E01043">
        <w:rPr>
          <w:noProof/>
        </w:rPr>
        <w:t>This</w:t>
      </w:r>
      <w:r w:rsidR="33778C25">
        <w:rPr>
          <w:noProof/>
        </w:rPr>
        <w:t xml:space="preserve"> support framework should </w:t>
      </w:r>
      <w:r w:rsidR="00E01043">
        <w:rPr>
          <w:noProof/>
        </w:rPr>
        <w:t xml:space="preserve">provide </w:t>
      </w:r>
      <w:r w:rsidR="004E61C8">
        <w:rPr>
          <w:noProof/>
        </w:rPr>
        <w:t>the</w:t>
      </w:r>
      <w:r w:rsidR="33778C25">
        <w:rPr>
          <w:noProof/>
        </w:rPr>
        <w:t xml:space="preserve"> backbone for </w:t>
      </w:r>
      <w:r w:rsidR="00E01043">
        <w:rPr>
          <w:noProof/>
        </w:rPr>
        <w:t>developing</w:t>
      </w:r>
      <w:r w:rsidR="33778C25">
        <w:rPr>
          <w:noProof/>
        </w:rPr>
        <w:t xml:space="preserve"> energy efficiency lending products and private financing schemes</w:t>
      </w:r>
      <w:r w:rsidR="00645BDE">
        <w:rPr>
          <w:noProof/>
        </w:rPr>
        <w:t xml:space="preserve">, and be based </w:t>
      </w:r>
      <w:r w:rsidR="0039409E">
        <w:rPr>
          <w:noProof/>
        </w:rPr>
        <w:t xml:space="preserve">on </w:t>
      </w:r>
      <w:r w:rsidR="00645BDE">
        <w:rPr>
          <w:noProof/>
        </w:rPr>
        <w:t>a</w:t>
      </w:r>
      <w:r w:rsidR="0039409E">
        <w:rPr>
          <w:noProof/>
        </w:rPr>
        <w:t xml:space="preserve"> predictable energy efficiency regulatory framework </w:t>
      </w:r>
      <w:r w:rsidR="00E01043">
        <w:rPr>
          <w:noProof/>
        </w:rPr>
        <w:t xml:space="preserve">that ensures </w:t>
      </w:r>
      <w:r w:rsidR="0039409E">
        <w:rPr>
          <w:noProof/>
        </w:rPr>
        <w:t>long-term policy visibility and boost</w:t>
      </w:r>
      <w:r w:rsidR="004E61C8">
        <w:rPr>
          <w:noProof/>
        </w:rPr>
        <w:t>s</w:t>
      </w:r>
      <w:r w:rsidR="0039409E">
        <w:rPr>
          <w:noProof/>
        </w:rPr>
        <w:t xml:space="preserve"> investor confidence</w:t>
      </w:r>
      <w:r w:rsidR="0081713D">
        <w:rPr>
          <w:noProof/>
        </w:rPr>
        <w:t>.</w:t>
      </w:r>
      <w:r w:rsidR="00ED74DE">
        <w:rPr>
          <w:noProof/>
        </w:rPr>
        <w:t xml:space="preserve"> </w:t>
      </w:r>
      <w:r w:rsidR="00E01043">
        <w:rPr>
          <w:noProof/>
        </w:rPr>
        <w:t>The framework</w:t>
      </w:r>
      <w:r w:rsidR="0081713D">
        <w:rPr>
          <w:noProof/>
        </w:rPr>
        <w:t xml:space="preserve"> should</w:t>
      </w:r>
      <w:r w:rsidR="00E01043">
        <w:rPr>
          <w:noProof/>
        </w:rPr>
        <w:t xml:space="preserve"> also</w:t>
      </w:r>
      <w:r w:rsidR="0081713D">
        <w:rPr>
          <w:noProof/>
        </w:rPr>
        <w:t xml:space="preserve"> </w:t>
      </w:r>
      <w:r w:rsidR="00645BDE">
        <w:rPr>
          <w:noProof/>
        </w:rPr>
        <w:t>tak</w:t>
      </w:r>
      <w:r w:rsidR="0081713D">
        <w:rPr>
          <w:noProof/>
        </w:rPr>
        <w:t>e</w:t>
      </w:r>
      <w:r w:rsidR="00645BDE">
        <w:rPr>
          <w:noProof/>
        </w:rPr>
        <w:t xml:space="preserve"> advantage of </w:t>
      </w:r>
      <w:r w:rsidR="007D468E">
        <w:rPr>
          <w:noProof/>
        </w:rPr>
        <w:t>regulatory and fiscal incentives to stimulate energy efficiency improvements and investments.</w:t>
      </w:r>
    </w:p>
    <w:p w:rsidR="00AE026F" w:rsidRDefault="00DA06F3" w:rsidP="00AE026F">
      <w:pPr>
        <w:rPr>
          <w:noProof/>
        </w:rPr>
      </w:pPr>
      <w:r>
        <w:rPr>
          <w:b/>
          <w:bCs/>
          <w:noProof/>
        </w:rPr>
        <w:t xml:space="preserve">2. </w:t>
      </w:r>
      <w:r w:rsidR="00073C56">
        <w:rPr>
          <w:b/>
          <w:bCs/>
          <w:noProof/>
        </w:rPr>
        <w:t>E</w:t>
      </w:r>
      <w:r w:rsidR="009764F9" w:rsidRPr="06B63556">
        <w:rPr>
          <w:b/>
          <w:bCs/>
          <w:noProof/>
        </w:rPr>
        <w:t xml:space="preserve">stablish or strengthen the </w:t>
      </w:r>
      <w:r w:rsidR="00510ED7">
        <w:rPr>
          <w:b/>
          <w:bCs/>
          <w:noProof/>
        </w:rPr>
        <w:t>n</w:t>
      </w:r>
      <w:r w:rsidR="009764F9" w:rsidRPr="06B63556">
        <w:rPr>
          <w:b/>
          <w:bCs/>
          <w:noProof/>
        </w:rPr>
        <w:t xml:space="preserve">ational </w:t>
      </w:r>
      <w:r w:rsidR="00510ED7">
        <w:rPr>
          <w:b/>
          <w:bCs/>
          <w:noProof/>
        </w:rPr>
        <w:t>e</w:t>
      </w:r>
      <w:r w:rsidR="009764F9" w:rsidRPr="06B63556">
        <w:rPr>
          <w:b/>
          <w:bCs/>
          <w:noProof/>
        </w:rPr>
        <w:t xml:space="preserve">nergy </w:t>
      </w:r>
      <w:r w:rsidR="00510ED7">
        <w:rPr>
          <w:b/>
          <w:bCs/>
          <w:noProof/>
        </w:rPr>
        <w:t>e</w:t>
      </w:r>
      <w:r w:rsidR="009764F9" w:rsidRPr="06B63556">
        <w:rPr>
          <w:b/>
          <w:bCs/>
          <w:noProof/>
        </w:rPr>
        <w:t xml:space="preserve">fficiency </w:t>
      </w:r>
      <w:r w:rsidR="00510ED7">
        <w:rPr>
          <w:b/>
          <w:bCs/>
          <w:noProof/>
        </w:rPr>
        <w:t>f</w:t>
      </w:r>
      <w:r w:rsidR="009764F9" w:rsidRPr="06B63556">
        <w:rPr>
          <w:b/>
          <w:bCs/>
          <w:noProof/>
        </w:rPr>
        <w:t>und</w:t>
      </w:r>
      <w:r w:rsidR="006374A5">
        <w:rPr>
          <w:b/>
          <w:bCs/>
          <w:noProof/>
        </w:rPr>
        <w:t xml:space="preserve"> (NEEF</w:t>
      </w:r>
      <w:r w:rsidR="006374A5" w:rsidRPr="006374A5">
        <w:rPr>
          <w:b/>
          <w:bCs/>
          <w:noProof/>
        </w:rPr>
        <w:t>)</w:t>
      </w:r>
      <w:r w:rsidR="006D1F23" w:rsidRPr="008B4FC2">
        <w:rPr>
          <w:b/>
          <w:bCs/>
          <w:noProof/>
        </w:rPr>
        <w:t xml:space="preserve"> </w:t>
      </w:r>
      <w:r w:rsidR="009764F9" w:rsidRPr="008B4FC2">
        <w:rPr>
          <w:b/>
          <w:bCs/>
          <w:noProof/>
        </w:rPr>
        <w:t>or equivalent</w:t>
      </w:r>
      <w:r w:rsidR="006374A5" w:rsidRPr="008B4FC2">
        <w:rPr>
          <w:b/>
          <w:bCs/>
          <w:noProof/>
        </w:rPr>
        <w:t xml:space="preserve"> facilities</w:t>
      </w:r>
      <w:r w:rsidR="002A3043">
        <w:rPr>
          <w:b/>
          <w:bCs/>
          <w:noProof/>
        </w:rPr>
        <w:t xml:space="preserve"> </w:t>
      </w:r>
      <w:r w:rsidR="002A3043">
        <w:rPr>
          <w:noProof/>
        </w:rPr>
        <w:t>at national or regional level</w:t>
      </w:r>
      <w:r w:rsidR="009764F9">
        <w:rPr>
          <w:noProof/>
        </w:rPr>
        <w:t xml:space="preserve"> as the dedicated instrument to f</w:t>
      </w:r>
      <w:r w:rsidR="00BC73B6">
        <w:rPr>
          <w:noProof/>
        </w:rPr>
        <w:t>acilitate access to public financing support schemes for energy efficiency</w:t>
      </w:r>
      <w:r w:rsidR="009764F9">
        <w:rPr>
          <w:noProof/>
        </w:rPr>
        <w:t>,</w:t>
      </w:r>
      <w:r w:rsidR="00BC73B6">
        <w:rPr>
          <w:noProof/>
        </w:rPr>
        <w:t xml:space="preserve"> </w:t>
      </w:r>
      <w:r w:rsidR="00401766">
        <w:rPr>
          <w:noProof/>
        </w:rPr>
        <w:t>brining</w:t>
      </w:r>
      <w:r w:rsidR="00BC73B6">
        <w:rPr>
          <w:noProof/>
        </w:rPr>
        <w:t xml:space="preserve"> different funding streams</w:t>
      </w:r>
      <w:r w:rsidR="00C8621D">
        <w:rPr>
          <w:noProof/>
        </w:rPr>
        <w:t xml:space="preserve"> </w:t>
      </w:r>
      <w:r w:rsidR="009764F9">
        <w:rPr>
          <w:noProof/>
        </w:rPr>
        <w:t>and financing tools into a single organisational structure</w:t>
      </w:r>
      <w:r w:rsidR="00BC73B6">
        <w:rPr>
          <w:noProof/>
        </w:rPr>
        <w:t xml:space="preserve">. </w:t>
      </w:r>
      <w:r w:rsidR="00C8621D">
        <w:rPr>
          <w:noProof/>
        </w:rPr>
        <w:t>Such a facility</w:t>
      </w:r>
      <w:r w:rsidR="00BC73B6">
        <w:rPr>
          <w:noProof/>
        </w:rPr>
        <w:t xml:space="preserve"> should streamli</w:t>
      </w:r>
      <w:r w:rsidR="009764F9">
        <w:rPr>
          <w:noProof/>
        </w:rPr>
        <w:t>ne</w:t>
      </w:r>
      <w:r w:rsidR="00BC73B6">
        <w:rPr>
          <w:noProof/>
        </w:rPr>
        <w:t xml:space="preserve"> access to finance, aggregate a robust energy efficiency investment pipeline, and enable the combination of multiple streams of public funding and private financing into a single operation</w:t>
      </w:r>
      <w:r w:rsidR="00C8621D">
        <w:rPr>
          <w:noProof/>
        </w:rPr>
        <w:t>.</w:t>
      </w:r>
      <w:r w:rsidR="009764F9">
        <w:rPr>
          <w:noProof/>
        </w:rPr>
        <w:t xml:space="preserve"> </w:t>
      </w:r>
      <w:r w:rsidR="00C8621D">
        <w:rPr>
          <w:noProof/>
        </w:rPr>
        <w:t xml:space="preserve">Such a facility could deploy, among others, targeted </w:t>
      </w:r>
      <w:r w:rsidR="00BC73B6">
        <w:rPr>
          <w:noProof/>
        </w:rPr>
        <w:t>funding programmes, public guarantees, financial instruments, technical assistance support, credit bundling for securitisation purposes, and forfeiting and factoring schemes</w:t>
      </w:r>
      <w:r w:rsidR="00D52B2A">
        <w:rPr>
          <w:noProof/>
        </w:rPr>
        <w:t>, and</w:t>
      </w:r>
      <w:r w:rsidR="00BC73B6">
        <w:rPr>
          <w:noProof/>
        </w:rPr>
        <w:t xml:space="preserve"> </w:t>
      </w:r>
      <w:r w:rsidR="00C8621D">
        <w:rPr>
          <w:noProof/>
        </w:rPr>
        <w:t xml:space="preserve">contribute </w:t>
      </w:r>
      <w:r w:rsidR="00BC73B6">
        <w:rPr>
          <w:noProof/>
        </w:rPr>
        <w:t>to simplify</w:t>
      </w:r>
      <w:r w:rsidR="00401766">
        <w:rPr>
          <w:noProof/>
        </w:rPr>
        <w:t>ing</w:t>
      </w:r>
      <w:r w:rsidR="00BC73B6">
        <w:rPr>
          <w:noProof/>
        </w:rPr>
        <w:t xml:space="preserve"> processes, rules, and methodologies related to energy efficiency, </w:t>
      </w:r>
      <w:r w:rsidR="009764F9">
        <w:rPr>
          <w:noProof/>
        </w:rPr>
        <w:t>as well as i</w:t>
      </w:r>
      <w:r w:rsidR="0FC96BDF">
        <w:rPr>
          <w:noProof/>
        </w:rPr>
        <w:t>mprov</w:t>
      </w:r>
      <w:r w:rsidR="00401766">
        <w:rPr>
          <w:noProof/>
        </w:rPr>
        <w:t>ing</w:t>
      </w:r>
      <w:r w:rsidR="0FC96BDF">
        <w:rPr>
          <w:noProof/>
        </w:rPr>
        <w:t xml:space="preserve"> visibility</w:t>
      </w:r>
      <w:r w:rsidR="69B6DD5D">
        <w:rPr>
          <w:noProof/>
        </w:rPr>
        <w:t xml:space="preserve"> and</w:t>
      </w:r>
      <w:r w:rsidR="7F3AB5D8">
        <w:rPr>
          <w:noProof/>
        </w:rPr>
        <w:t xml:space="preserve"> awareness </w:t>
      </w:r>
      <w:r w:rsidR="7BB9F8C5">
        <w:rPr>
          <w:noProof/>
        </w:rPr>
        <w:t xml:space="preserve">of </w:t>
      </w:r>
      <w:r w:rsidR="00A6017A">
        <w:rPr>
          <w:noProof/>
        </w:rPr>
        <w:t xml:space="preserve">both </w:t>
      </w:r>
      <w:r w:rsidR="0FC96BDF">
        <w:rPr>
          <w:noProof/>
        </w:rPr>
        <w:t xml:space="preserve">financial support schemes </w:t>
      </w:r>
      <w:r w:rsidR="0DCADCBC">
        <w:rPr>
          <w:noProof/>
        </w:rPr>
        <w:t xml:space="preserve">and financial incentives </w:t>
      </w:r>
      <w:r w:rsidR="683424DC">
        <w:rPr>
          <w:noProof/>
        </w:rPr>
        <w:t>for energy efficiency</w:t>
      </w:r>
      <w:r w:rsidR="00D46789">
        <w:rPr>
          <w:noProof/>
        </w:rPr>
        <w:t>.</w:t>
      </w:r>
      <w:r w:rsidR="008B1CF3">
        <w:rPr>
          <w:noProof/>
        </w:rPr>
        <w:t xml:space="preserve"> </w:t>
      </w:r>
      <w:r w:rsidR="008B1CF3" w:rsidRPr="004614E8">
        <w:rPr>
          <w:noProof/>
        </w:rPr>
        <w:t xml:space="preserve">In </w:t>
      </w:r>
      <w:r w:rsidR="00616BA3">
        <w:rPr>
          <w:noProof/>
        </w:rPr>
        <w:t>addition,</w:t>
      </w:r>
      <w:r w:rsidR="008B1CF3">
        <w:rPr>
          <w:noProof/>
        </w:rPr>
        <w:t xml:space="preserve"> Member States should: </w:t>
      </w:r>
    </w:p>
    <w:p w:rsidR="008B1CF3" w:rsidRDefault="008B1CF3" w:rsidP="00EE0EB6">
      <w:pPr>
        <w:pStyle w:val="Tiret1"/>
        <w:numPr>
          <w:ilvl w:val="0"/>
          <w:numId w:val="7"/>
        </w:numPr>
        <w:rPr>
          <w:noProof/>
        </w:rPr>
      </w:pPr>
      <w:r w:rsidRPr="00073C56">
        <w:rPr>
          <w:noProof/>
        </w:rPr>
        <w:t>Assess the state of the energy efficiency financing schemes</w:t>
      </w:r>
      <w:r>
        <w:rPr>
          <w:noProof/>
        </w:rPr>
        <w:t xml:space="preserve"> in their country;</w:t>
      </w:r>
      <w:r w:rsidR="00673327">
        <w:rPr>
          <w:noProof/>
        </w:rPr>
        <w:t xml:space="preserve"> and</w:t>
      </w:r>
    </w:p>
    <w:p w:rsidR="008B1CF3" w:rsidRPr="00AE026F" w:rsidRDefault="000519FF" w:rsidP="007008F3">
      <w:pPr>
        <w:pStyle w:val="Tiret1"/>
        <w:rPr>
          <w:noProof/>
        </w:rPr>
      </w:pPr>
      <w:r>
        <w:rPr>
          <w:noProof/>
        </w:rPr>
        <w:t>Determine the capitalisation of the National Energy Efficiency Fund</w:t>
      </w:r>
      <w:r w:rsidR="005F2747">
        <w:rPr>
          <w:noProof/>
        </w:rPr>
        <w:t xml:space="preserve"> being established or strengthened</w:t>
      </w:r>
      <w:r w:rsidR="008B1CF3">
        <w:rPr>
          <w:noProof/>
        </w:rPr>
        <w:t xml:space="preserve">. </w:t>
      </w:r>
    </w:p>
    <w:p w:rsidR="00C164DB" w:rsidRDefault="00C164DB" w:rsidP="002F1282">
      <w:pPr>
        <w:rPr>
          <w:b/>
          <w:bCs/>
          <w:noProof/>
        </w:rPr>
      </w:pPr>
    </w:p>
    <w:p w:rsidR="005D4110" w:rsidRDefault="00C164DB" w:rsidP="002F1282">
      <w:pPr>
        <w:rPr>
          <w:noProof/>
        </w:rPr>
      </w:pPr>
      <w:r w:rsidRPr="00AF7B4B">
        <w:rPr>
          <w:b/>
          <w:bCs/>
          <w:noProof/>
        </w:rPr>
        <w:t xml:space="preserve">3. </w:t>
      </w:r>
      <w:r w:rsidR="00E97CBA" w:rsidRPr="00AF7B4B">
        <w:rPr>
          <w:b/>
          <w:bCs/>
          <w:noProof/>
        </w:rPr>
        <w:t xml:space="preserve">Scale-up </w:t>
      </w:r>
      <w:r w:rsidR="00986DD1" w:rsidRPr="00AF7B4B">
        <w:rPr>
          <w:b/>
          <w:bCs/>
          <w:noProof/>
        </w:rPr>
        <w:t>long-term</w:t>
      </w:r>
      <w:r w:rsidR="00DF0EFE" w:rsidRPr="00AF7B4B">
        <w:rPr>
          <w:b/>
          <w:bCs/>
          <w:noProof/>
        </w:rPr>
        <w:t xml:space="preserve"> financial instrument</w:t>
      </w:r>
      <w:r w:rsidR="0013483C" w:rsidRPr="00AF7B4B">
        <w:rPr>
          <w:b/>
          <w:bCs/>
          <w:noProof/>
        </w:rPr>
        <w:t>s</w:t>
      </w:r>
      <w:r w:rsidR="006E5D95" w:rsidRPr="00AF7B4B">
        <w:rPr>
          <w:b/>
          <w:bCs/>
          <w:noProof/>
        </w:rPr>
        <w:t xml:space="preserve"> and</w:t>
      </w:r>
      <w:r w:rsidR="00DF0EFE" w:rsidRPr="00AF7B4B">
        <w:rPr>
          <w:b/>
          <w:bCs/>
          <w:noProof/>
        </w:rPr>
        <w:t xml:space="preserve"> blended financing solutions</w:t>
      </w:r>
      <w:r w:rsidR="00507311" w:rsidRPr="00AF7B4B">
        <w:rPr>
          <w:b/>
          <w:bCs/>
          <w:noProof/>
        </w:rPr>
        <w:t xml:space="preserve">. </w:t>
      </w:r>
      <w:r w:rsidR="00573BF5">
        <w:rPr>
          <w:noProof/>
        </w:rPr>
        <w:t>Member States should r</w:t>
      </w:r>
      <w:r w:rsidR="00C61D7A" w:rsidRPr="00E7137F">
        <w:rPr>
          <w:noProof/>
        </w:rPr>
        <w:t>eview the existing national financing framework, with a view to establishing and making use of</w:t>
      </w:r>
      <w:r w:rsidR="00C61D7A">
        <w:rPr>
          <w:noProof/>
        </w:rPr>
        <w:t xml:space="preserve"> </w:t>
      </w:r>
      <w:r w:rsidR="00507311">
        <w:rPr>
          <w:noProof/>
        </w:rPr>
        <w:t>blended financing solutions</w:t>
      </w:r>
      <w:r w:rsidR="00B4705B">
        <w:rPr>
          <w:noProof/>
        </w:rPr>
        <w:t xml:space="preserve"> combining</w:t>
      </w:r>
      <w:r w:rsidR="00C61D7A">
        <w:rPr>
          <w:noProof/>
        </w:rPr>
        <w:t xml:space="preserve"> low-to-zero interest loans and public guarantees into one operation with</w:t>
      </w:r>
      <w:r w:rsidR="005673B5">
        <w:rPr>
          <w:noProof/>
        </w:rPr>
        <w:t xml:space="preserve"> various type of</w:t>
      </w:r>
      <w:r w:rsidR="00B4705B">
        <w:rPr>
          <w:noProof/>
        </w:rPr>
        <w:t xml:space="preserve"> </w:t>
      </w:r>
      <w:r w:rsidR="00DF0EFE">
        <w:rPr>
          <w:noProof/>
        </w:rPr>
        <w:t>grants</w:t>
      </w:r>
      <w:r w:rsidR="005673B5">
        <w:rPr>
          <w:noProof/>
        </w:rPr>
        <w:t xml:space="preserve"> – interest rate and guarantee fee subsidies, capital rebates, technical </w:t>
      </w:r>
      <w:r w:rsidR="005B62A2">
        <w:rPr>
          <w:noProof/>
        </w:rPr>
        <w:t>assistance grant</w:t>
      </w:r>
      <w:r w:rsidR="00C61D7A">
        <w:rPr>
          <w:noProof/>
        </w:rPr>
        <w:t>s</w:t>
      </w:r>
      <w:r w:rsidR="00521696">
        <w:rPr>
          <w:noProof/>
        </w:rPr>
        <w:t xml:space="preserve"> that can</w:t>
      </w:r>
      <w:r w:rsidR="0068318F">
        <w:rPr>
          <w:noProof/>
        </w:rPr>
        <w:t xml:space="preserve"> </w:t>
      </w:r>
      <w:r w:rsidR="00C61D7A">
        <w:rPr>
          <w:noProof/>
        </w:rPr>
        <w:t xml:space="preserve">together </w:t>
      </w:r>
      <w:r w:rsidR="0068318F">
        <w:rPr>
          <w:noProof/>
        </w:rPr>
        <w:t xml:space="preserve">support the development of private </w:t>
      </w:r>
      <w:r w:rsidR="005A3A13">
        <w:rPr>
          <w:noProof/>
        </w:rPr>
        <w:t>financing offers, financial products and innovative financing instruments</w:t>
      </w:r>
      <w:r w:rsidR="00516815">
        <w:rPr>
          <w:noProof/>
        </w:rPr>
        <w:t>.</w:t>
      </w:r>
      <w:r w:rsidR="00C61D7A">
        <w:rPr>
          <w:noProof/>
        </w:rPr>
        <w:t xml:space="preserve"> </w:t>
      </w:r>
      <w:r w:rsidR="00C61D7A" w:rsidRPr="00616BA3">
        <w:rPr>
          <w:noProof/>
        </w:rPr>
        <w:t>In addition</w:t>
      </w:r>
      <w:r w:rsidR="00C61D7A">
        <w:rPr>
          <w:noProof/>
        </w:rPr>
        <w:t xml:space="preserve">, Member States should: </w:t>
      </w:r>
    </w:p>
    <w:p w:rsidR="00C61D7A" w:rsidRDefault="00C61D7A" w:rsidP="007008F3">
      <w:pPr>
        <w:pStyle w:val="Tiret1"/>
        <w:rPr>
          <w:noProof/>
        </w:rPr>
      </w:pPr>
      <w:r>
        <w:rPr>
          <w:noProof/>
        </w:rPr>
        <w:t xml:space="preserve">Modulate the combined grants support to reduce risk and barriers to access finance; </w:t>
      </w:r>
    </w:p>
    <w:p w:rsidR="00C61D7A" w:rsidRDefault="00C61D7A" w:rsidP="007008F3">
      <w:pPr>
        <w:pStyle w:val="Tiret1"/>
        <w:rPr>
          <w:noProof/>
        </w:rPr>
      </w:pPr>
      <w:r>
        <w:rPr>
          <w:noProof/>
        </w:rPr>
        <w:t>Leverage the revolving funds nature of energy efficiency financial instruments with a combined grants component;</w:t>
      </w:r>
    </w:p>
    <w:p w:rsidR="00673327" w:rsidRDefault="00C61D7A" w:rsidP="007008F3">
      <w:pPr>
        <w:pStyle w:val="Tiret1"/>
        <w:rPr>
          <w:noProof/>
        </w:rPr>
      </w:pPr>
      <w:r>
        <w:rPr>
          <w:noProof/>
        </w:rPr>
        <w:t>Support the development of specific energy efficiency financial vehicles;</w:t>
      </w:r>
      <w:r w:rsidR="00673327">
        <w:rPr>
          <w:noProof/>
        </w:rPr>
        <w:t xml:space="preserve"> and</w:t>
      </w:r>
    </w:p>
    <w:p w:rsidR="00C164DB" w:rsidRDefault="00C61D7A" w:rsidP="002F1282">
      <w:pPr>
        <w:rPr>
          <w:b/>
          <w:bCs/>
          <w:noProof/>
        </w:rPr>
      </w:pPr>
      <w:r>
        <w:rPr>
          <w:noProof/>
        </w:rPr>
        <w:t>Maximise the use of EU-budget funds and programmes to deploy financial instruments at scale.</w:t>
      </w:r>
    </w:p>
    <w:p w:rsidR="00AE026F" w:rsidRPr="00AE026F" w:rsidRDefault="00C164DB" w:rsidP="00AE026F">
      <w:pPr>
        <w:rPr>
          <w:noProof/>
        </w:rPr>
      </w:pPr>
      <w:r>
        <w:rPr>
          <w:b/>
          <w:bCs/>
          <w:noProof/>
        </w:rPr>
        <w:t xml:space="preserve">4. </w:t>
      </w:r>
      <w:r w:rsidR="00681FAD" w:rsidRPr="06B63556">
        <w:rPr>
          <w:b/>
          <w:bCs/>
          <w:noProof/>
        </w:rPr>
        <w:t xml:space="preserve">Deploy </w:t>
      </w:r>
      <w:r w:rsidR="0075026C">
        <w:rPr>
          <w:b/>
          <w:bCs/>
          <w:noProof/>
        </w:rPr>
        <w:t>project development</w:t>
      </w:r>
      <w:r w:rsidR="00681FAD" w:rsidRPr="06B63556">
        <w:rPr>
          <w:b/>
          <w:bCs/>
          <w:noProof/>
        </w:rPr>
        <w:t xml:space="preserve"> assistance facilities and s</w:t>
      </w:r>
      <w:r w:rsidR="7E8525E5" w:rsidRPr="06B63556">
        <w:rPr>
          <w:b/>
          <w:bCs/>
          <w:noProof/>
        </w:rPr>
        <w:t>upport the development of</w:t>
      </w:r>
      <w:r w:rsidR="3E383186" w:rsidRPr="06B63556">
        <w:rPr>
          <w:b/>
          <w:bCs/>
          <w:noProof/>
        </w:rPr>
        <w:t xml:space="preserve"> </w:t>
      </w:r>
      <w:r w:rsidR="632AEFBD" w:rsidRPr="06B63556">
        <w:rPr>
          <w:b/>
          <w:bCs/>
          <w:noProof/>
        </w:rPr>
        <w:t>‘</w:t>
      </w:r>
      <w:r w:rsidR="3E383186" w:rsidRPr="06B63556">
        <w:rPr>
          <w:b/>
          <w:bCs/>
          <w:noProof/>
        </w:rPr>
        <w:t>aggregators</w:t>
      </w:r>
      <w:r w:rsidR="632AEFBD" w:rsidRPr="06B63556">
        <w:rPr>
          <w:b/>
          <w:bCs/>
          <w:noProof/>
        </w:rPr>
        <w:t>’</w:t>
      </w:r>
      <w:r w:rsidR="3E383186" w:rsidRPr="06B63556">
        <w:rPr>
          <w:b/>
          <w:bCs/>
          <w:noProof/>
        </w:rPr>
        <w:t xml:space="preserve"> of energy efficiency pro</w:t>
      </w:r>
      <w:r w:rsidR="6D5DAE1D" w:rsidRPr="06B63556">
        <w:rPr>
          <w:b/>
          <w:bCs/>
          <w:noProof/>
        </w:rPr>
        <w:t>jects</w:t>
      </w:r>
      <w:r w:rsidR="00C307E4">
        <w:rPr>
          <w:noProof/>
        </w:rPr>
        <w:t>. This includes</w:t>
      </w:r>
      <w:r w:rsidR="00751F04">
        <w:rPr>
          <w:noProof/>
        </w:rPr>
        <w:t xml:space="preserve"> </w:t>
      </w:r>
      <w:r w:rsidR="00907D53">
        <w:rPr>
          <w:noProof/>
        </w:rPr>
        <w:t>one-stop</w:t>
      </w:r>
      <w:r w:rsidR="007B0517">
        <w:rPr>
          <w:noProof/>
        </w:rPr>
        <w:t xml:space="preserve"> </w:t>
      </w:r>
      <w:r w:rsidR="00907D53">
        <w:rPr>
          <w:noProof/>
        </w:rPr>
        <w:t>shops</w:t>
      </w:r>
      <w:r w:rsidR="007B0517" w:rsidRPr="06B63556">
        <w:rPr>
          <w:noProof/>
          <w:lang w:val="en-IE"/>
        </w:rPr>
        <w:t xml:space="preserve"> assisting citizens</w:t>
      </w:r>
      <w:r w:rsidR="08012CAD" w:rsidRPr="06B63556">
        <w:rPr>
          <w:noProof/>
          <w:lang w:val="en-IE"/>
        </w:rPr>
        <w:t xml:space="preserve"> </w:t>
      </w:r>
      <w:r w:rsidR="007B0517" w:rsidRPr="06B63556">
        <w:rPr>
          <w:noProof/>
          <w:lang w:val="en-IE"/>
        </w:rPr>
        <w:t>and enterprises in developing and aggregating energy efficiency investment projects</w:t>
      </w:r>
      <w:r w:rsidR="00907D53">
        <w:rPr>
          <w:noProof/>
        </w:rPr>
        <w:t xml:space="preserve">, </w:t>
      </w:r>
      <w:r w:rsidR="00B2536B">
        <w:rPr>
          <w:noProof/>
        </w:rPr>
        <w:t>super-ESCOs</w:t>
      </w:r>
      <w:r w:rsidR="00521696">
        <w:rPr>
          <w:noProof/>
        </w:rPr>
        <w:t xml:space="preserve"> (energy service companies)</w:t>
      </w:r>
      <w:r w:rsidR="00A91447">
        <w:rPr>
          <w:noProof/>
        </w:rPr>
        <w:t xml:space="preserve">, </w:t>
      </w:r>
      <w:r w:rsidR="00E77B1C">
        <w:rPr>
          <w:noProof/>
        </w:rPr>
        <w:t xml:space="preserve">energy communities, </w:t>
      </w:r>
      <w:r w:rsidR="00A91447">
        <w:rPr>
          <w:noProof/>
        </w:rPr>
        <w:t>project development assistance facilities</w:t>
      </w:r>
      <w:r w:rsidR="00907D53">
        <w:rPr>
          <w:noProof/>
        </w:rPr>
        <w:t xml:space="preserve"> an</w:t>
      </w:r>
      <w:r w:rsidR="00A91447">
        <w:rPr>
          <w:noProof/>
        </w:rPr>
        <w:t>d</w:t>
      </w:r>
      <w:r w:rsidR="00907D53">
        <w:rPr>
          <w:noProof/>
        </w:rPr>
        <w:t xml:space="preserve"> other</w:t>
      </w:r>
      <w:r w:rsidR="007B0517">
        <w:rPr>
          <w:noProof/>
        </w:rPr>
        <w:t xml:space="preserve"> </w:t>
      </w:r>
      <w:r w:rsidR="00907D53">
        <w:rPr>
          <w:noProof/>
        </w:rPr>
        <w:t>project developers</w:t>
      </w:r>
      <w:r w:rsidR="00234DBC">
        <w:rPr>
          <w:noProof/>
        </w:rPr>
        <w:t>. The aggregators should be supported</w:t>
      </w:r>
      <w:r w:rsidR="00907D53">
        <w:rPr>
          <w:noProof/>
        </w:rPr>
        <w:t xml:space="preserve"> </w:t>
      </w:r>
      <w:r w:rsidR="3BCB8DAD">
        <w:rPr>
          <w:noProof/>
        </w:rPr>
        <w:t>to reach a critical size</w:t>
      </w:r>
      <w:r w:rsidR="00C307E4">
        <w:rPr>
          <w:noProof/>
        </w:rPr>
        <w:t>, with the objective of establishing a robust pipeline of bankable investments.</w:t>
      </w:r>
      <w:r w:rsidR="3BCB8DAD">
        <w:rPr>
          <w:noProof/>
        </w:rPr>
        <w:t xml:space="preserve"> </w:t>
      </w:r>
      <w:r w:rsidR="00C307E4">
        <w:rPr>
          <w:noProof/>
        </w:rPr>
        <w:t>Member States are encourage</w:t>
      </w:r>
      <w:r w:rsidR="00E7137F">
        <w:rPr>
          <w:noProof/>
        </w:rPr>
        <w:t>d</w:t>
      </w:r>
      <w:r w:rsidR="00C307E4">
        <w:rPr>
          <w:noProof/>
        </w:rPr>
        <w:t xml:space="preserve"> to make use of EU support, for instance through the European Local Energy Assistance (ELENA) Facility, to establish national or regional technical assistance and project development assistance facilities</w:t>
      </w:r>
      <w:r w:rsidR="00573BF5">
        <w:rPr>
          <w:noProof/>
        </w:rPr>
        <w:t>.</w:t>
      </w:r>
      <w:r w:rsidR="00C307E4">
        <w:rPr>
          <w:noProof/>
        </w:rPr>
        <w:t xml:space="preserve"> </w:t>
      </w:r>
    </w:p>
    <w:p w:rsidR="00C164DB" w:rsidRPr="00AF7B4B" w:rsidRDefault="00C164DB" w:rsidP="002F1282">
      <w:pPr>
        <w:rPr>
          <w:noProof/>
          <w:lang w:val="en-IE"/>
        </w:rPr>
      </w:pPr>
    </w:p>
    <w:p w:rsidR="008C3F14" w:rsidRDefault="00C164DB" w:rsidP="002F1282">
      <w:pPr>
        <w:rPr>
          <w:noProof/>
        </w:rPr>
      </w:pPr>
      <w:r>
        <w:rPr>
          <w:b/>
          <w:bCs/>
          <w:noProof/>
        </w:rPr>
        <w:t xml:space="preserve">5. </w:t>
      </w:r>
      <w:r w:rsidR="16EFA46B" w:rsidRPr="00C82CC2">
        <w:rPr>
          <w:b/>
          <w:bCs/>
          <w:noProof/>
        </w:rPr>
        <w:t>P</w:t>
      </w:r>
      <w:r w:rsidR="3F5B5F60" w:rsidRPr="00C82CC2">
        <w:rPr>
          <w:b/>
          <w:bCs/>
          <w:noProof/>
        </w:rPr>
        <w:t xml:space="preserve">articipate </w:t>
      </w:r>
      <w:r w:rsidR="05380222" w:rsidRPr="00C82CC2">
        <w:rPr>
          <w:b/>
          <w:bCs/>
          <w:noProof/>
        </w:rPr>
        <w:t>p</w:t>
      </w:r>
      <w:r w:rsidR="16EFA46B" w:rsidRPr="00C82CC2">
        <w:rPr>
          <w:b/>
          <w:bCs/>
          <w:noProof/>
        </w:rPr>
        <w:t xml:space="preserve">ro-actively </w:t>
      </w:r>
      <w:r w:rsidR="3F5B5F60" w:rsidRPr="00C82CC2">
        <w:rPr>
          <w:b/>
          <w:bCs/>
          <w:noProof/>
        </w:rPr>
        <w:t>in the European Energy Efficiency Financing Coalition</w:t>
      </w:r>
      <w:r w:rsidR="00EA516B">
        <w:rPr>
          <w:b/>
          <w:bCs/>
          <w:noProof/>
        </w:rPr>
        <w:t xml:space="preserve"> to promote </w:t>
      </w:r>
      <w:r w:rsidR="00E020CC">
        <w:rPr>
          <w:b/>
          <w:bCs/>
          <w:noProof/>
        </w:rPr>
        <w:t xml:space="preserve">a </w:t>
      </w:r>
      <w:r w:rsidR="00EA516B">
        <w:rPr>
          <w:b/>
          <w:bCs/>
          <w:noProof/>
        </w:rPr>
        <w:t>close</w:t>
      </w:r>
      <w:r w:rsidR="002E7908">
        <w:rPr>
          <w:b/>
          <w:bCs/>
          <w:noProof/>
        </w:rPr>
        <w:t>r</w:t>
      </w:r>
      <w:r w:rsidR="00EA516B">
        <w:rPr>
          <w:b/>
          <w:bCs/>
          <w:noProof/>
        </w:rPr>
        <w:t xml:space="preserve"> </w:t>
      </w:r>
      <w:r w:rsidR="00AE51CA">
        <w:rPr>
          <w:b/>
          <w:bCs/>
          <w:noProof/>
        </w:rPr>
        <w:t xml:space="preserve">and effective </w:t>
      </w:r>
      <w:r w:rsidR="00EA516B">
        <w:rPr>
          <w:b/>
          <w:bCs/>
          <w:noProof/>
        </w:rPr>
        <w:t>cooperation with financial institutions</w:t>
      </w:r>
      <w:r w:rsidR="00582FFE">
        <w:rPr>
          <w:noProof/>
        </w:rPr>
        <w:t>. This includes</w:t>
      </w:r>
      <w:r w:rsidR="64B8BACA">
        <w:rPr>
          <w:noProof/>
        </w:rPr>
        <w:t xml:space="preserve"> developing </w:t>
      </w:r>
      <w:r w:rsidR="00582FFE">
        <w:rPr>
          <w:noProof/>
        </w:rPr>
        <w:t>its</w:t>
      </w:r>
      <w:r w:rsidR="64B8BACA">
        <w:rPr>
          <w:noProof/>
        </w:rPr>
        <w:t xml:space="preserve"> </w:t>
      </w:r>
      <w:r w:rsidR="16EFA46B">
        <w:rPr>
          <w:noProof/>
        </w:rPr>
        <w:t xml:space="preserve">national </w:t>
      </w:r>
      <w:r w:rsidR="64B8BACA">
        <w:rPr>
          <w:noProof/>
        </w:rPr>
        <w:t>hubs</w:t>
      </w:r>
      <w:r w:rsidR="19327CC2">
        <w:rPr>
          <w:noProof/>
        </w:rPr>
        <w:t>, defining their mandates and work programmes</w:t>
      </w:r>
      <w:r w:rsidR="002E7908">
        <w:rPr>
          <w:noProof/>
        </w:rPr>
        <w:t>.</w:t>
      </w:r>
      <w:r w:rsidR="5E54D615">
        <w:rPr>
          <w:noProof/>
        </w:rPr>
        <w:t xml:space="preserve"> </w:t>
      </w:r>
      <w:r w:rsidR="00582FFE">
        <w:rPr>
          <w:noProof/>
        </w:rPr>
        <w:t xml:space="preserve">In addition, Member States should: </w:t>
      </w:r>
    </w:p>
    <w:p w:rsidR="00582FFE" w:rsidRDefault="00582FFE" w:rsidP="007008F3">
      <w:pPr>
        <w:pStyle w:val="Tiret1"/>
        <w:rPr>
          <w:noProof/>
        </w:rPr>
      </w:pPr>
      <w:r>
        <w:rPr>
          <w:noProof/>
        </w:rPr>
        <w:t xml:space="preserve">Establish partnerships to help commercial banks better leverage the financial co-benefits of energy efficiency investments; and </w:t>
      </w:r>
    </w:p>
    <w:p w:rsidR="00582FFE" w:rsidRDefault="00582FFE" w:rsidP="007008F3">
      <w:pPr>
        <w:pStyle w:val="Tiret1"/>
        <w:rPr>
          <w:noProof/>
        </w:rPr>
      </w:pPr>
      <w:r>
        <w:rPr>
          <w:noProof/>
        </w:rPr>
        <w:t xml:space="preserve">Support and solicit financial institutions in offering customer-friendly financing options for energy efficiency. </w:t>
      </w:r>
    </w:p>
    <w:p w:rsidR="005850AC" w:rsidRPr="005850AC" w:rsidRDefault="005850AC" w:rsidP="002F1282">
      <w:pPr>
        <w:rPr>
          <w:noProof/>
          <w:sz w:val="12"/>
          <w:szCs w:val="12"/>
        </w:rPr>
      </w:pPr>
    </w:p>
    <w:p w:rsidR="001F1957" w:rsidRPr="004430D5" w:rsidRDefault="00C164DB" w:rsidP="002F1282">
      <w:pPr>
        <w:rPr>
          <w:noProof/>
        </w:rPr>
      </w:pPr>
      <w:r>
        <w:rPr>
          <w:b/>
          <w:bCs/>
          <w:noProof/>
        </w:rPr>
        <w:t xml:space="preserve">6. </w:t>
      </w:r>
      <w:r w:rsidR="006E5D95" w:rsidRPr="00234DBC">
        <w:rPr>
          <w:b/>
          <w:bCs/>
          <w:noProof/>
        </w:rPr>
        <w:t xml:space="preserve">Make the best use of </w:t>
      </w:r>
      <w:r w:rsidR="00A21E2E">
        <w:rPr>
          <w:b/>
          <w:bCs/>
          <w:noProof/>
        </w:rPr>
        <w:t>f</w:t>
      </w:r>
      <w:r w:rsidR="006E5D95" w:rsidRPr="00234DBC">
        <w:rPr>
          <w:b/>
          <w:bCs/>
          <w:noProof/>
        </w:rPr>
        <w:t>iscal incentives to mobilise private investments in energy efficiency</w:t>
      </w:r>
      <w:r w:rsidR="006E5D95">
        <w:rPr>
          <w:noProof/>
        </w:rPr>
        <w:t xml:space="preserve">. </w:t>
      </w:r>
      <w:r w:rsidR="00A21E2E">
        <w:rPr>
          <w:noProof/>
        </w:rPr>
        <w:t xml:space="preserve">A key priority should be to remove fiscal measures and subsidises </w:t>
      </w:r>
      <w:r w:rsidR="00602638">
        <w:rPr>
          <w:noProof/>
        </w:rPr>
        <w:t>disincentivising</w:t>
      </w:r>
      <w:r w:rsidR="00A21E2E">
        <w:rPr>
          <w:noProof/>
        </w:rPr>
        <w:t xml:space="preserve"> investments in energy efficiency improvements, such as those that lock-in fossil fuels-based and energy </w:t>
      </w:r>
      <w:r w:rsidR="002038B3">
        <w:rPr>
          <w:noProof/>
        </w:rPr>
        <w:t>inefficient</w:t>
      </w:r>
      <w:r w:rsidR="00A21E2E">
        <w:rPr>
          <w:noProof/>
        </w:rPr>
        <w:t xml:space="preserve"> technologies, and avoid fiscal measures </w:t>
      </w:r>
      <w:r w:rsidR="00602638">
        <w:rPr>
          <w:noProof/>
        </w:rPr>
        <w:t>targeting</w:t>
      </w:r>
      <w:r w:rsidR="00A21E2E">
        <w:rPr>
          <w:noProof/>
        </w:rPr>
        <w:t xml:space="preserve"> with higher fiscal charges the economic co-benefits of energy efficiency improvements. </w:t>
      </w:r>
      <w:r w:rsidR="00BB791D">
        <w:rPr>
          <w:noProof/>
        </w:rPr>
        <w:t xml:space="preserve">In addition, Member States should introduce positive fiscal incentives and tax measures to mobilise energy efficiency investments. </w:t>
      </w:r>
    </w:p>
    <w:p w:rsidR="00C164DB" w:rsidRDefault="00C164DB" w:rsidP="002F1282">
      <w:pPr>
        <w:rPr>
          <w:b/>
          <w:bCs/>
          <w:noProof/>
        </w:rPr>
      </w:pPr>
    </w:p>
    <w:p w:rsidR="005D4110" w:rsidRDefault="00C164DB" w:rsidP="002F1282">
      <w:pPr>
        <w:rPr>
          <w:noProof/>
        </w:rPr>
      </w:pPr>
      <w:r>
        <w:rPr>
          <w:b/>
          <w:bCs/>
          <w:noProof/>
        </w:rPr>
        <w:t xml:space="preserve">7. </w:t>
      </w:r>
      <w:r w:rsidR="0E4070CE" w:rsidRPr="00C82CC2">
        <w:rPr>
          <w:b/>
          <w:bCs/>
          <w:noProof/>
        </w:rPr>
        <w:t xml:space="preserve">Promote </w:t>
      </w:r>
      <w:r w:rsidR="00C46B53">
        <w:rPr>
          <w:b/>
          <w:bCs/>
          <w:noProof/>
        </w:rPr>
        <w:t xml:space="preserve">the development and uptake of </w:t>
      </w:r>
      <w:r w:rsidR="67BA5C82" w:rsidRPr="00C82CC2">
        <w:rPr>
          <w:b/>
          <w:bCs/>
          <w:noProof/>
        </w:rPr>
        <w:t>energy efficiency lending products and private financing via credit agreement</w:t>
      </w:r>
      <w:r w:rsidR="4C92F663" w:rsidRPr="00C82CC2">
        <w:rPr>
          <w:b/>
          <w:bCs/>
          <w:noProof/>
        </w:rPr>
        <w:t>s</w:t>
      </w:r>
      <w:r w:rsidR="00673327">
        <w:rPr>
          <w:noProof/>
        </w:rPr>
        <w:t>. These includes</w:t>
      </w:r>
      <w:r w:rsidR="36C1D097">
        <w:rPr>
          <w:noProof/>
        </w:rPr>
        <w:t xml:space="preserve"> </w:t>
      </w:r>
      <w:r w:rsidR="67BA5C82">
        <w:rPr>
          <w:noProof/>
        </w:rPr>
        <w:t>energy efficiency mortgages</w:t>
      </w:r>
      <w:r w:rsidR="00B1233E">
        <w:rPr>
          <w:noProof/>
        </w:rPr>
        <w:t xml:space="preserve"> and</w:t>
      </w:r>
      <w:r w:rsidR="67BA5C82">
        <w:rPr>
          <w:noProof/>
        </w:rPr>
        <w:t xml:space="preserve"> renovation loans</w:t>
      </w:r>
      <w:r w:rsidR="36C1D097">
        <w:rPr>
          <w:noProof/>
        </w:rPr>
        <w:t>,</w:t>
      </w:r>
      <w:r w:rsidR="67BA5C82">
        <w:rPr>
          <w:noProof/>
        </w:rPr>
        <w:t xml:space="preserve"> </w:t>
      </w:r>
      <w:r w:rsidR="00D95671">
        <w:rPr>
          <w:noProof/>
        </w:rPr>
        <w:t xml:space="preserve">including </w:t>
      </w:r>
      <w:r w:rsidR="002E7908">
        <w:rPr>
          <w:noProof/>
        </w:rPr>
        <w:t>the use of</w:t>
      </w:r>
      <w:r w:rsidR="00B1233E">
        <w:rPr>
          <w:noProof/>
        </w:rPr>
        <w:t xml:space="preserve"> </w:t>
      </w:r>
      <w:r w:rsidR="67BA5C82">
        <w:rPr>
          <w:noProof/>
        </w:rPr>
        <w:t>public guarantees</w:t>
      </w:r>
      <w:r w:rsidR="00BA67ED">
        <w:rPr>
          <w:noProof/>
        </w:rPr>
        <w:t>,</w:t>
      </w:r>
      <w:r w:rsidR="00B77197">
        <w:rPr>
          <w:noProof/>
        </w:rPr>
        <w:t xml:space="preserve"> </w:t>
      </w:r>
      <w:r w:rsidR="00124C18">
        <w:rPr>
          <w:noProof/>
        </w:rPr>
        <w:t xml:space="preserve">other de-risking measures, </w:t>
      </w:r>
      <w:r w:rsidR="67BA5C82">
        <w:rPr>
          <w:noProof/>
        </w:rPr>
        <w:t>tax incentives</w:t>
      </w:r>
      <w:r w:rsidR="00DE72BA">
        <w:rPr>
          <w:noProof/>
        </w:rPr>
        <w:t>, s</w:t>
      </w:r>
      <w:r w:rsidR="005D6447">
        <w:rPr>
          <w:noProof/>
        </w:rPr>
        <w:t>trengthen</w:t>
      </w:r>
      <w:r w:rsidR="00DE72BA">
        <w:rPr>
          <w:noProof/>
        </w:rPr>
        <w:t>ing</w:t>
      </w:r>
      <w:r w:rsidR="005D6447">
        <w:rPr>
          <w:noProof/>
        </w:rPr>
        <w:t xml:space="preserve"> the</w:t>
      </w:r>
      <w:r w:rsidR="67BA5C82">
        <w:rPr>
          <w:noProof/>
        </w:rPr>
        <w:t xml:space="preserve"> retail banking sector</w:t>
      </w:r>
      <w:r w:rsidR="00D2070C">
        <w:rPr>
          <w:noProof/>
        </w:rPr>
        <w:t>’s</w:t>
      </w:r>
      <w:r w:rsidR="67BA5C82">
        <w:rPr>
          <w:noProof/>
        </w:rPr>
        <w:t xml:space="preserve"> role</w:t>
      </w:r>
      <w:r w:rsidR="00A5068B">
        <w:rPr>
          <w:noProof/>
        </w:rPr>
        <w:t xml:space="preserve">, </w:t>
      </w:r>
      <w:r w:rsidR="00D95671">
        <w:rPr>
          <w:noProof/>
        </w:rPr>
        <w:t xml:space="preserve">and </w:t>
      </w:r>
      <w:r w:rsidR="00805D60">
        <w:rPr>
          <w:noProof/>
        </w:rPr>
        <w:t xml:space="preserve">valuation of </w:t>
      </w:r>
      <w:r w:rsidR="67BA5C82">
        <w:rPr>
          <w:noProof/>
        </w:rPr>
        <w:t xml:space="preserve">energy savings </w:t>
      </w:r>
      <w:r w:rsidR="00597376">
        <w:rPr>
          <w:noProof/>
        </w:rPr>
        <w:t xml:space="preserve">in </w:t>
      </w:r>
      <w:r w:rsidR="00206DF4">
        <w:rPr>
          <w:noProof/>
        </w:rPr>
        <w:t xml:space="preserve">creditworthiness </w:t>
      </w:r>
      <w:r w:rsidR="00746692">
        <w:rPr>
          <w:noProof/>
        </w:rPr>
        <w:t>assessments</w:t>
      </w:r>
      <w:r w:rsidR="00A5068B">
        <w:rPr>
          <w:noProof/>
        </w:rPr>
        <w:t xml:space="preserve">. </w:t>
      </w:r>
      <w:r w:rsidR="00E0621D">
        <w:rPr>
          <w:noProof/>
        </w:rPr>
        <w:t xml:space="preserve">In line with the EED </w:t>
      </w:r>
      <w:r w:rsidR="002E7908">
        <w:rPr>
          <w:noProof/>
        </w:rPr>
        <w:t>r</w:t>
      </w:r>
      <w:r w:rsidR="00E0621D">
        <w:rPr>
          <w:noProof/>
        </w:rPr>
        <w:t>ecast</w:t>
      </w:r>
      <w:r w:rsidR="002038B3">
        <w:rPr>
          <w:noProof/>
        </w:rPr>
        <w:t xml:space="preserve"> (EU/2023/1791)</w:t>
      </w:r>
      <w:r w:rsidR="00E0621D">
        <w:rPr>
          <w:noProof/>
        </w:rPr>
        <w:t>, ensure that energy efficiency lending products are offered widely and in a non-discriminatory manner by financial institutions – meaning that they are promoted against traditional financial products when this meet</w:t>
      </w:r>
      <w:r w:rsidR="002E7908">
        <w:rPr>
          <w:noProof/>
        </w:rPr>
        <w:t>s</w:t>
      </w:r>
      <w:r w:rsidR="00E0621D">
        <w:rPr>
          <w:noProof/>
        </w:rPr>
        <w:t xml:space="preserve"> the best interest</w:t>
      </w:r>
      <w:r w:rsidR="002E7908">
        <w:rPr>
          <w:noProof/>
        </w:rPr>
        <w:t>s</w:t>
      </w:r>
      <w:r w:rsidR="00E0621D">
        <w:rPr>
          <w:noProof/>
        </w:rPr>
        <w:t xml:space="preserve"> of </w:t>
      </w:r>
      <w:r w:rsidR="002E7908">
        <w:rPr>
          <w:noProof/>
        </w:rPr>
        <w:t xml:space="preserve">potential </w:t>
      </w:r>
      <w:r w:rsidR="00E0621D">
        <w:rPr>
          <w:noProof/>
        </w:rPr>
        <w:t xml:space="preserve">customers – and, are visible and accessible to consumers, including via support from third-party actors and public authorities. </w:t>
      </w:r>
      <w:r w:rsidR="00673327">
        <w:rPr>
          <w:noProof/>
        </w:rPr>
        <w:t xml:space="preserve">In addition, Member States should: </w:t>
      </w:r>
    </w:p>
    <w:p w:rsidR="00673327" w:rsidRDefault="00673327" w:rsidP="007008F3">
      <w:pPr>
        <w:pStyle w:val="Tiret1"/>
        <w:rPr>
          <w:noProof/>
        </w:rPr>
      </w:pPr>
      <w:r>
        <w:rPr>
          <w:noProof/>
        </w:rPr>
        <w:t xml:space="preserve">Enable co-ownership associations to take on loans jointly to finance energy efficiency investments; and </w:t>
      </w:r>
    </w:p>
    <w:p w:rsidR="005A512D" w:rsidRDefault="005A512D" w:rsidP="007008F3">
      <w:pPr>
        <w:pStyle w:val="Tiret1"/>
        <w:rPr>
          <w:noProof/>
        </w:rPr>
      </w:pPr>
      <w:r>
        <w:rPr>
          <w:noProof/>
        </w:rPr>
        <w:t xml:space="preserve">Provide technical assistance and advice to financing institutions to build the necessary capacity for loan officers to market energy efficiency lending products. </w:t>
      </w:r>
    </w:p>
    <w:p w:rsidR="005A512D" w:rsidRDefault="005A512D" w:rsidP="005A512D">
      <w:pPr>
        <w:rPr>
          <w:noProof/>
        </w:rPr>
      </w:pPr>
      <w:r>
        <w:rPr>
          <w:noProof/>
        </w:rPr>
        <w:t xml:space="preserve">Market actors should: </w:t>
      </w:r>
    </w:p>
    <w:p w:rsidR="005A512D" w:rsidRDefault="005A512D" w:rsidP="007008F3">
      <w:pPr>
        <w:pStyle w:val="Tiret1"/>
        <w:rPr>
          <w:noProof/>
        </w:rPr>
      </w:pPr>
      <w:r>
        <w:rPr>
          <w:noProof/>
        </w:rPr>
        <w:t>Develop and market energy efficiency lending products; and</w:t>
      </w:r>
    </w:p>
    <w:p w:rsidR="005A512D" w:rsidRPr="00FD054B" w:rsidRDefault="005A512D" w:rsidP="007008F3">
      <w:pPr>
        <w:pStyle w:val="Tiret1"/>
        <w:rPr>
          <w:noProof/>
        </w:rPr>
      </w:pPr>
      <w:r>
        <w:rPr>
          <w:noProof/>
        </w:rPr>
        <w:t xml:space="preserve">Provide customer-friendly financing and lending solutions for energy efficiency in line with EED Article 30. </w:t>
      </w:r>
    </w:p>
    <w:p w:rsidR="005850AC" w:rsidRPr="00945FF9" w:rsidRDefault="005850AC" w:rsidP="002F1282">
      <w:pPr>
        <w:rPr>
          <w:noProof/>
          <w:sz w:val="12"/>
          <w:szCs w:val="12"/>
        </w:rPr>
      </w:pPr>
      <w:r>
        <w:rPr>
          <w:noProof/>
        </w:rPr>
        <w:br/>
      </w:r>
    </w:p>
    <w:p w:rsidR="00522CFD" w:rsidRDefault="00C164DB" w:rsidP="002F1282">
      <w:pPr>
        <w:rPr>
          <w:b/>
          <w:bCs/>
          <w:noProof/>
        </w:rPr>
      </w:pPr>
      <w:r>
        <w:rPr>
          <w:b/>
          <w:bCs/>
          <w:noProof/>
        </w:rPr>
        <w:t xml:space="preserve">8. </w:t>
      </w:r>
      <w:r w:rsidR="00C46B53">
        <w:rPr>
          <w:b/>
          <w:bCs/>
          <w:noProof/>
        </w:rPr>
        <w:t>Enable the necessary regulatory framework and s</w:t>
      </w:r>
      <w:r w:rsidR="0022795E">
        <w:rPr>
          <w:b/>
          <w:bCs/>
          <w:noProof/>
        </w:rPr>
        <w:t>upport the development of innovative financing schemes</w:t>
      </w:r>
      <w:r w:rsidR="00522CFD">
        <w:rPr>
          <w:b/>
          <w:bCs/>
          <w:noProof/>
        </w:rPr>
        <w:t xml:space="preserve">. </w:t>
      </w:r>
      <w:r w:rsidR="00522CFD" w:rsidRPr="00E7137F">
        <w:rPr>
          <w:noProof/>
        </w:rPr>
        <w:t>Schemes</w:t>
      </w:r>
      <w:r w:rsidR="0022795E" w:rsidRPr="00E7137F">
        <w:rPr>
          <w:noProof/>
        </w:rPr>
        <w:t xml:space="preserve"> such as</w:t>
      </w:r>
      <w:r w:rsidR="56706AB3" w:rsidRPr="00E7137F">
        <w:rPr>
          <w:noProof/>
        </w:rPr>
        <w:t xml:space="preserve"> </w:t>
      </w:r>
      <w:r w:rsidR="75DBAB6B" w:rsidRPr="00E7137F">
        <w:rPr>
          <w:noProof/>
        </w:rPr>
        <w:t xml:space="preserve">on-tax financing </w:t>
      </w:r>
      <w:r w:rsidR="00601448" w:rsidRPr="00E7137F">
        <w:rPr>
          <w:noProof/>
        </w:rPr>
        <w:t>and on-bill financing</w:t>
      </w:r>
      <w:r w:rsidR="00522CFD">
        <w:rPr>
          <w:noProof/>
        </w:rPr>
        <w:t xml:space="preserve"> should be developed</w:t>
      </w:r>
      <w:r w:rsidR="75DBAB6B">
        <w:rPr>
          <w:noProof/>
        </w:rPr>
        <w:t xml:space="preserve"> by</w:t>
      </w:r>
      <w:r w:rsidR="0ED1E74A">
        <w:rPr>
          <w:noProof/>
        </w:rPr>
        <w:t xml:space="preserve"> </w:t>
      </w:r>
      <w:r w:rsidR="009D5FD2">
        <w:rPr>
          <w:noProof/>
        </w:rPr>
        <w:t>enabling</w:t>
      </w:r>
      <w:r w:rsidR="0ED1E74A">
        <w:rPr>
          <w:noProof/>
        </w:rPr>
        <w:t xml:space="preserve"> </w:t>
      </w:r>
      <w:r w:rsidR="00522CFD">
        <w:rPr>
          <w:noProof/>
        </w:rPr>
        <w:t>relevant public</w:t>
      </w:r>
      <w:r w:rsidR="0ED1E74A">
        <w:rPr>
          <w:noProof/>
        </w:rPr>
        <w:t xml:space="preserve"> authorities to </w:t>
      </w:r>
      <w:r w:rsidR="00475FDB">
        <w:rPr>
          <w:noProof/>
        </w:rPr>
        <w:t xml:space="preserve">use </w:t>
      </w:r>
      <w:r w:rsidR="00DC388A">
        <w:rPr>
          <w:noProof/>
        </w:rPr>
        <w:t xml:space="preserve">taxes and other charges as </w:t>
      </w:r>
      <w:r w:rsidR="004C52AB">
        <w:rPr>
          <w:noProof/>
        </w:rPr>
        <w:t xml:space="preserve">debt </w:t>
      </w:r>
      <w:r w:rsidR="00DC388A">
        <w:rPr>
          <w:noProof/>
        </w:rPr>
        <w:t>repayment vehicles</w:t>
      </w:r>
      <w:r w:rsidR="004C52AB">
        <w:rPr>
          <w:noProof/>
        </w:rPr>
        <w:t>,</w:t>
      </w:r>
      <w:r w:rsidR="0057100F">
        <w:rPr>
          <w:noProof/>
        </w:rPr>
        <w:t xml:space="preserve"> </w:t>
      </w:r>
      <w:r w:rsidR="00601448">
        <w:rPr>
          <w:noProof/>
        </w:rPr>
        <w:t>by involving energy utilities and distributors in financing energy efficiency measures and allow debt repayments via energy bills</w:t>
      </w:r>
      <w:r w:rsidR="002E7908">
        <w:rPr>
          <w:noProof/>
        </w:rPr>
        <w:t>.</w:t>
      </w:r>
      <w:r w:rsidR="00601448">
        <w:rPr>
          <w:noProof/>
        </w:rPr>
        <w:t xml:space="preserve"> </w:t>
      </w:r>
      <w:r w:rsidR="002E7908">
        <w:rPr>
          <w:noProof/>
        </w:rPr>
        <w:t>A</w:t>
      </w:r>
      <w:r w:rsidR="00E07B6E">
        <w:rPr>
          <w:noProof/>
        </w:rPr>
        <w:t xml:space="preserve">nd </w:t>
      </w:r>
      <w:r w:rsidR="00601448">
        <w:rPr>
          <w:noProof/>
        </w:rPr>
        <w:t xml:space="preserve">by </w:t>
      </w:r>
      <w:r w:rsidR="002E7908">
        <w:rPr>
          <w:noProof/>
        </w:rPr>
        <w:t xml:space="preserve">making it possible </w:t>
      </w:r>
      <w:r w:rsidR="00E82CEC">
        <w:rPr>
          <w:noProof/>
        </w:rPr>
        <w:lastRenderedPageBreak/>
        <w:t>for</w:t>
      </w:r>
      <w:r w:rsidR="00E07B6E">
        <w:rPr>
          <w:noProof/>
        </w:rPr>
        <w:t xml:space="preserve"> the debt to </w:t>
      </w:r>
      <w:r w:rsidR="00423E9A">
        <w:rPr>
          <w:noProof/>
        </w:rPr>
        <w:t>be</w:t>
      </w:r>
      <w:r w:rsidR="004C52AB">
        <w:rPr>
          <w:noProof/>
        </w:rPr>
        <w:t xml:space="preserve"> tied to </w:t>
      </w:r>
      <w:r w:rsidR="002E7908">
        <w:rPr>
          <w:noProof/>
        </w:rPr>
        <w:t>a</w:t>
      </w:r>
      <w:r w:rsidR="005D5260">
        <w:rPr>
          <w:noProof/>
        </w:rPr>
        <w:t xml:space="preserve"> </w:t>
      </w:r>
      <w:r w:rsidR="004C52AB">
        <w:rPr>
          <w:noProof/>
        </w:rPr>
        <w:t>property</w:t>
      </w:r>
      <w:r w:rsidR="005D5260">
        <w:rPr>
          <w:noProof/>
        </w:rPr>
        <w:t xml:space="preserve"> and transferred with property ownership</w:t>
      </w:r>
      <w:r w:rsidR="56629383">
        <w:rPr>
          <w:noProof/>
        </w:rPr>
        <w:t>.</w:t>
      </w:r>
      <w:r w:rsidR="005850AC" w:rsidRPr="005850AC">
        <w:rPr>
          <w:b/>
          <w:bCs/>
          <w:noProof/>
        </w:rPr>
        <w:t xml:space="preserve"> </w:t>
      </w:r>
      <w:r w:rsidR="00522CFD" w:rsidRPr="00E7137F">
        <w:rPr>
          <w:noProof/>
        </w:rPr>
        <w:t>Specifically, Member States should:</w:t>
      </w:r>
      <w:r w:rsidR="00522CFD">
        <w:rPr>
          <w:b/>
          <w:bCs/>
          <w:noProof/>
        </w:rPr>
        <w:t xml:space="preserve"> </w:t>
      </w:r>
    </w:p>
    <w:p w:rsidR="00522CFD" w:rsidRDefault="00522CFD" w:rsidP="007008F3">
      <w:pPr>
        <w:pStyle w:val="Tiret1"/>
        <w:rPr>
          <w:noProof/>
        </w:rPr>
      </w:pPr>
      <w:r w:rsidRPr="00E7137F">
        <w:rPr>
          <w:noProof/>
        </w:rPr>
        <w:t xml:space="preserve">Assess </w:t>
      </w:r>
      <w:r>
        <w:rPr>
          <w:noProof/>
        </w:rPr>
        <w:t xml:space="preserve">whether the national framework allows for the development of on-tax and on-bill financing schemes; </w:t>
      </w:r>
    </w:p>
    <w:p w:rsidR="00522CFD" w:rsidRDefault="00522CFD" w:rsidP="007008F3">
      <w:pPr>
        <w:pStyle w:val="Tiret1"/>
        <w:rPr>
          <w:noProof/>
        </w:rPr>
      </w:pPr>
      <w:r>
        <w:rPr>
          <w:noProof/>
        </w:rPr>
        <w:t xml:space="preserve">Establish energy utilities’ right to provide financing for energy efficiency; </w:t>
      </w:r>
    </w:p>
    <w:p w:rsidR="00522CFD" w:rsidRDefault="00522CFD" w:rsidP="007008F3">
      <w:pPr>
        <w:pStyle w:val="Tiret1"/>
        <w:rPr>
          <w:noProof/>
        </w:rPr>
      </w:pPr>
      <w:r>
        <w:rPr>
          <w:noProof/>
        </w:rPr>
        <w:t xml:space="preserve">Establish procedures to ensure repayments via property-related taxes and transfer of debt together with ownership; </w:t>
      </w:r>
    </w:p>
    <w:p w:rsidR="00522CFD" w:rsidRDefault="00522CFD" w:rsidP="007008F3">
      <w:pPr>
        <w:pStyle w:val="Tiret1"/>
        <w:rPr>
          <w:noProof/>
        </w:rPr>
      </w:pPr>
      <w:r>
        <w:rPr>
          <w:noProof/>
        </w:rPr>
        <w:t>Ensure sufficient cashflow in implementing entities (e.g. utilities, ESCOs), and/or establish national or local guarantee and support funds to a</w:t>
      </w:r>
      <w:r w:rsidR="00573BF5">
        <w:rPr>
          <w:noProof/>
        </w:rPr>
        <w:t>c</w:t>
      </w:r>
      <w:r>
        <w:rPr>
          <w:noProof/>
        </w:rPr>
        <w:t xml:space="preserve">hieve scale; </w:t>
      </w:r>
    </w:p>
    <w:p w:rsidR="00522CFD" w:rsidRDefault="00522CFD" w:rsidP="00522CFD">
      <w:pPr>
        <w:rPr>
          <w:noProof/>
        </w:rPr>
      </w:pPr>
      <w:r>
        <w:rPr>
          <w:noProof/>
        </w:rPr>
        <w:t xml:space="preserve">Market actors should: </w:t>
      </w:r>
    </w:p>
    <w:p w:rsidR="00522CFD" w:rsidRPr="00522CFD" w:rsidRDefault="00522CFD" w:rsidP="007008F3">
      <w:pPr>
        <w:pStyle w:val="Tiret1"/>
        <w:rPr>
          <w:noProof/>
        </w:rPr>
      </w:pPr>
      <w:r>
        <w:rPr>
          <w:noProof/>
        </w:rPr>
        <w:t>Develop and market on-bill financing sch</w:t>
      </w:r>
      <w:r w:rsidR="00573BF5">
        <w:rPr>
          <w:noProof/>
        </w:rPr>
        <w:t>e</w:t>
      </w:r>
      <w:r>
        <w:rPr>
          <w:noProof/>
        </w:rPr>
        <w:t>mes for energy effi</w:t>
      </w:r>
      <w:r w:rsidR="00573BF5">
        <w:rPr>
          <w:noProof/>
        </w:rPr>
        <w:t>c</w:t>
      </w:r>
      <w:r>
        <w:rPr>
          <w:noProof/>
        </w:rPr>
        <w:t xml:space="preserve">iency, by favouring cooperation between energy utilities and energy service companies. </w:t>
      </w:r>
    </w:p>
    <w:p w:rsidR="004430D5" w:rsidRPr="00C313C5" w:rsidRDefault="004430D5" w:rsidP="002F1282">
      <w:pPr>
        <w:rPr>
          <w:noProof/>
        </w:rPr>
      </w:pPr>
    </w:p>
    <w:p w:rsidR="00604EF5" w:rsidRDefault="00C164DB" w:rsidP="002F1282">
      <w:pPr>
        <w:rPr>
          <w:noProof/>
        </w:rPr>
      </w:pPr>
      <w:r>
        <w:rPr>
          <w:b/>
          <w:bCs/>
          <w:noProof/>
        </w:rPr>
        <w:t xml:space="preserve">9. </w:t>
      </w:r>
      <w:r w:rsidR="00630D4E">
        <w:rPr>
          <w:b/>
          <w:bCs/>
          <w:noProof/>
        </w:rPr>
        <w:t>Remove barriers and</w:t>
      </w:r>
      <w:r w:rsidR="006579DD">
        <w:rPr>
          <w:b/>
          <w:bCs/>
          <w:noProof/>
        </w:rPr>
        <w:t xml:space="preserve"> </w:t>
      </w:r>
      <w:r w:rsidR="005F0E88">
        <w:rPr>
          <w:b/>
          <w:bCs/>
          <w:noProof/>
        </w:rPr>
        <w:t>scale-up</w:t>
      </w:r>
      <w:r w:rsidR="00986B0B" w:rsidRPr="00C82CC2">
        <w:rPr>
          <w:b/>
          <w:bCs/>
          <w:noProof/>
        </w:rPr>
        <w:t xml:space="preserve"> energy efficiency financing via </w:t>
      </w:r>
      <w:r w:rsidR="0049746C" w:rsidRPr="00C82CC2">
        <w:rPr>
          <w:b/>
          <w:bCs/>
          <w:noProof/>
        </w:rPr>
        <w:t>service agreements</w:t>
      </w:r>
      <w:r w:rsidR="00361719" w:rsidRPr="00C82CC2">
        <w:rPr>
          <w:b/>
          <w:bCs/>
          <w:noProof/>
        </w:rPr>
        <w:t xml:space="preserve"> and foster a market for </w:t>
      </w:r>
      <w:r w:rsidR="003F550F" w:rsidRPr="00C82CC2">
        <w:rPr>
          <w:b/>
          <w:bCs/>
          <w:noProof/>
        </w:rPr>
        <w:t xml:space="preserve">energy </w:t>
      </w:r>
      <w:r w:rsidR="00986B0B" w:rsidRPr="00C82CC2">
        <w:rPr>
          <w:b/>
          <w:bCs/>
          <w:noProof/>
        </w:rPr>
        <w:t>service</w:t>
      </w:r>
      <w:r w:rsidR="005F0E88">
        <w:rPr>
          <w:b/>
          <w:bCs/>
          <w:noProof/>
        </w:rPr>
        <w:t>s</w:t>
      </w:r>
      <w:r w:rsidR="00604EF5">
        <w:rPr>
          <w:noProof/>
        </w:rPr>
        <w:t>. Examples include</w:t>
      </w:r>
      <w:r w:rsidR="00361719">
        <w:rPr>
          <w:noProof/>
        </w:rPr>
        <w:t xml:space="preserve"> supporting energy efficiency improvements via operational expenditures (OPEX),</w:t>
      </w:r>
      <w:r w:rsidR="00A55505">
        <w:rPr>
          <w:noProof/>
        </w:rPr>
        <w:t xml:space="preserve"> removing administrative bottlenecks </w:t>
      </w:r>
      <w:r w:rsidR="00C95D00">
        <w:rPr>
          <w:noProof/>
        </w:rPr>
        <w:t xml:space="preserve">and barriers </w:t>
      </w:r>
      <w:r w:rsidR="00A55505">
        <w:rPr>
          <w:noProof/>
        </w:rPr>
        <w:t xml:space="preserve">to ESCOs </w:t>
      </w:r>
      <w:r w:rsidR="002420AD">
        <w:rPr>
          <w:noProof/>
        </w:rPr>
        <w:t xml:space="preserve">market </w:t>
      </w:r>
      <w:r w:rsidR="00A55505">
        <w:rPr>
          <w:noProof/>
        </w:rPr>
        <w:t>development</w:t>
      </w:r>
      <w:r w:rsidR="00805D60">
        <w:rPr>
          <w:noProof/>
        </w:rPr>
        <w:t xml:space="preserve">, </w:t>
      </w:r>
      <w:r w:rsidR="004C03D4">
        <w:rPr>
          <w:noProof/>
        </w:rPr>
        <w:t>leverag</w:t>
      </w:r>
      <w:r w:rsidR="00805D60">
        <w:rPr>
          <w:noProof/>
        </w:rPr>
        <w:t>ing</w:t>
      </w:r>
      <w:r w:rsidR="004C03D4">
        <w:rPr>
          <w:noProof/>
        </w:rPr>
        <w:t xml:space="preserve"> </w:t>
      </w:r>
      <w:r w:rsidR="00D84031" w:rsidRPr="000C5391">
        <w:rPr>
          <w:noProof/>
        </w:rPr>
        <w:t>performance-based</w:t>
      </w:r>
      <w:r w:rsidR="005E3638" w:rsidRPr="000C5391">
        <w:rPr>
          <w:noProof/>
        </w:rPr>
        <w:t xml:space="preserve"> instruments</w:t>
      </w:r>
      <w:r w:rsidR="002E7908">
        <w:rPr>
          <w:noProof/>
        </w:rPr>
        <w:t xml:space="preserve"> </w:t>
      </w:r>
      <w:r w:rsidR="00604EF5">
        <w:rPr>
          <w:noProof/>
        </w:rPr>
        <w:t>such as</w:t>
      </w:r>
      <w:r w:rsidR="00E554FD" w:rsidRPr="000C5391">
        <w:rPr>
          <w:noProof/>
        </w:rPr>
        <w:t xml:space="preserve"> </w:t>
      </w:r>
      <w:r w:rsidR="006261F7" w:rsidRPr="000C5391">
        <w:rPr>
          <w:noProof/>
        </w:rPr>
        <w:t>energy performance contracting</w:t>
      </w:r>
      <w:r w:rsidR="004C03D4" w:rsidRPr="000C5391">
        <w:rPr>
          <w:noProof/>
        </w:rPr>
        <w:t xml:space="preserve"> </w:t>
      </w:r>
      <w:r w:rsidR="00604EF5">
        <w:rPr>
          <w:noProof/>
        </w:rPr>
        <w:t>and other innovative energy service solutions</w:t>
      </w:r>
      <w:r w:rsidR="00AC49A5">
        <w:rPr>
          <w:noProof/>
        </w:rPr>
        <w:t>.</w:t>
      </w:r>
      <w:r w:rsidR="00604EF5">
        <w:rPr>
          <w:noProof/>
        </w:rPr>
        <w:t xml:space="preserve"> Member States and market actors should: </w:t>
      </w:r>
    </w:p>
    <w:p w:rsidR="00604EF5" w:rsidRDefault="00604EF5" w:rsidP="007008F3">
      <w:pPr>
        <w:pStyle w:val="Tiret1"/>
        <w:rPr>
          <w:noProof/>
        </w:rPr>
      </w:pPr>
      <w:r w:rsidRPr="001763A6">
        <w:rPr>
          <w:noProof/>
        </w:rPr>
        <w:t>Use EU and national public budget support to develop the ESCOs market, by facilitating financing for ESCOs and energy efficiency special purpose vehicles</w:t>
      </w:r>
      <w:r>
        <w:rPr>
          <w:noProof/>
        </w:rPr>
        <w:t>;</w:t>
      </w:r>
    </w:p>
    <w:p w:rsidR="00604EF5" w:rsidRDefault="00604EF5" w:rsidP="007008F3">
      <w:pPr>
        <w:pStyle w:val="Tiret1"/>
        <w:rPr>
          <w:noProof/>
        </w:rPr>
      </w:pPr>
      <w:r w:rsidRPr="001763A6">
        <w:rPr>
          <w:noProof/>
        </w:rPr>
        <w:t xml:space="preserve">Promote the role of ESCOs and new contracting modalities, such as </w:t>
      </w:r>
      <w:r>
        <w:rPr>
          <w:noProof/>
        </w:rPr>
        <w:t>e</w:t>
      </w:r>
      <w:r w:rsidRPr="001763A6">
        <w:rPr>
          <w:noProof/>
        </w:rPr>
        <w:t>nergy</w:t>
      </w:r>
      <w:r>
        <w:rPr>
          <w:noProof/>
        </w:rPr>
        <w:t xml:space="preserve"> efficiency</w:t>
      </w:r>
      <w:r w:rsidRPr="001763A6">
        <w:rPr>
          <w:noProof/>
        </w:rPr>
        <w:t xml:space="preserve"> as a </w:t>
      </w:r>
      <w:r>
        <w:rPr>
          <w:noProof/>
        </w:rPr>
        <w:t>s</w:t>
      </w:r>
      <w:r w:rsidRPr="001763A6">
        <w:rPr>
          <w:noProof/>
        </w:rPr>
        <w:t xml:space="preserve">ervice and </w:t>
      </w:r>
      <w:r>
        <w:rPr>
          <w:noProof/>
        </w:rPr>
        <w:t>energy performance contracts</w:t>
      </w:r>
      <w:r w:rsidRPr="001763A6">
        <w:rPr>
          <w:noProof/>
        </w:rPr>
        <w:t>, as a pillar of national energy efficiency policy</w:t>
      </w:r>
      <w:r>
        <w:rPr>
          <w:noProof/>
        </w:rPr>
        <w:t xml:space="preserve">; </w:t>
      </w:r>
    </w:p>
    <w:p w:rsidR="00604EF5" w:rsidRDefault="00604EF5" w:rsidP="007008F3">
      <w:pPr>
        <w:pStyle w:val="Tiret1"/>
        <w:rPr>
          <w:noProof/>
        </w:rPr>
      </w:pPr>
      <w:r w:rsidRPr="001763A6">
        <w:rPr>
          <w:noProof/>
        </w:rPr>
        <w:t>Promote the update of legislative frameworks and public tenders to explicitly recognise and facilitate ESCOs financing and energy performance contracting</w:t>
      </w:r>
      <w:r>
        <w:rPr>
          <w:noProof/>
        </w:rPr>
        <w:t>; and</w:t>
      </w:r>
    </w:p>
    <w:p w:rsidR="00604EF5" w:rsidRDefault="00604EF5" w:rsidP="007008F3">
      <w:pPr>
        <w:pStyle w:val="Tiret1"/>
        <w:rPr>
          <w:noProof/>
        </w:rPr>
      </w:pPr>
      <w:r>
        <w:rPr>
          <w:noProof/>
        </w:rPr>
        <w:t xml:space="preserve">Support the </w:t>
      </w:r>
      <w:r w:rsidRPr="006C2F82">
        <w:rPr>
          <w:noProof/>
        </w:rPr>
        <w:t>deployment of advanced metering infrastructure</w:t>
      </w:r>
      <w:r>
        <w:rPr>
          <w:noProof/>
        </w:rPr>
        <w:t xml:space="preserve"> that can automatically monitor energy flows and savings. </w:t>
      </w:r>
    </w:p>
    <w:p w:rsidR="00604EF5" w:rsidRDefault="00604EF5" w:rsidP="00604EF5">
      <w:pPr>
        <w:pStyle w:val="Text1"/>
        <w:spacing w:before="0"/>
        <w:ind w:left="0"/>
        <w:rPr>
          <w:noProof/>
        </w:rPr>
      </w:pPr>
      <w:r>
        <w:rPr>
          <w:noProof/>
        </w:rPr>
        <w:t xml:space="preserve">Market actors should: </w:t>
      </w:r>
    </w:p>
    <w:p w:rsidR="00604EF5" w:rsidRDefault="00604EF5" w:rsidP="007008F3">
      <w:pPr>
        <w:pStyle w:val="Tiret1"/>
        <w:rPr>
          <w:noProof/>
        </w:rPr>
      </w:pPr>
      <w:r>
        <w:rPr>
          <w:noProof/>
        </w:rPr>
        <w:t>Leverage public support and the single EU market to foster a vibrant market for energy efficiency as a service, including across internal EU borders; and</w:t>
      </w:r>
    </w:p>
    <w:p w:rsidR="00604EF5" w:rsidRPr="004430D5" w:rsidRDefault="00604EF5" w:rsidP="007008F3">
      <w:pPr>
        <w:pStyle w:val="Tiret1"/>
        <w:rPr>
          <w:noProof/>
        </w:rPr>
      </w:pPr>
      <w:r>
        <w:rPr>
          <w:noProof/>
        </w:rPr>
        <w:t>Develop partnerships</w:t>
      </w:r>
      <w:r w:rsidRPr="001763A6">
        <w:rPr>
          <w:noProof/>
        </w:rPr>
        <w:t xml:space="preserve"> between technology providers, energy distributors,</w:t>
      </w:r>
      <w:r>
        <w:rPr>
          <w:noProof/>
        </w:rPr>
        <w:t xml:space="preserve"> </w:t>
      </w:r>
      <w:r w:rsidRPr="001763A6">
        <w:rPr>
          <w:noProof/>
        </w:rPr>
        <w:t>and energy service companies and financial institutions</w:t>
      </w:r>
      <w:r>
        <w:rPr>
          <w:noProof/>
        </w:rPr>
        <w:t xml:space="preserve">. </w:t>
      </w:r>
    </w:p>
    <w:p w:rsidR="004430D5" w:rsidRDefault="004430D5" w:rsidP="002F1282">
      <w:pPr>
        <w:rPr>
          <w:b/>
          <w:bCs/>
          <w:noProof/>
        </w:rPr>
      </w:pPr>
    </w:p>
    <w:p w:rsidR="005D4110" w:rsidRDefault="00C164DB" w:rsidP="002F1282">
      <w:pPr>
        <w:rPr>
          <w:noProof/>
        </w:rPr>
      </w:pPr>
      <w:r>
        <w:rPr>
          <w:b/>
          <w:bCs/>
          <w:noProof/>
        </w:rPr>
        <w:t xml:space="preserve">10. </w:t>
      </w:r>
      <w:r w:rsidR="00DB3231">
        <w:rPr>
          <w:b/>
          <w:bCs/>
          <w:noProof/>
        </w:rPr>
        <w:t>D</w:t>
      </w:r>
      <w:r w:rsidR="005F0E88">
        <w:rPr>
          <w:b/>
          <w:bCs/>
          <w:noProof/>
        </w:rPr>
        <w:t xml:space="preserve">eploy </w:t>
      </w:r>
      <w:r w:rsidR="00400C0E">
        <w:rPr>
          <w:b/>
          <w:bCs/>
          <w:noProof/>
        </w:rPr>
        <w:t xml:space="preserve">long-term </w:t>
      </w:r>
      <w:r w:rsidR="005F0E88">
        <w:rPr>
          <w:b/>
          <w:bCs/>
          <w:noProof/>
        </w:rPr>
        <w:t>public guarantees and other de-risking tools able to increase access to private finance for energy efficiency</w:t>
      </w:r>
      <w:r w:rsidR="00400C0E">
        <w:rPr>
          <w:b/>
          <w:bCs/>
          <w:noProof/>
        </w:rPr>
        <w:t xml:space="preserve">. </w:t>
      </w:r>
      <w:r w:rsidR="00400C0E" w:rsidRPr="00E7137F">
        <w:rPr>
          <w:noProof/>
        </w:rPr>
        <w:t>These</w:t>
      </w:r>
      <w:r w:rsidR="005F0E88">
        <w:rPr>
          <w:b/>
          <w:bCs/>
          <w:noProof/>
        </w:rPr>
        <w:t xml:space="preserve"> </w:t>
      </w:r>
      <w:r w:rsidR="005F0E88">
        <w:rPr>
          <w:noProof/>
        </w:rPr>
        <w:t>are key</w:t>
      </w:r>
      <w:r w:rsidR="003C33B2">
        <w:rPr>
          <w:noProof/>
        </w:rPr>
        <w:t xml:space="preserve"> to</w:t>
      </w:r>
      <w:r w:rsidR="007C730C">
        <w:rPr>
          <w:noProof/>
        </w:rPr>
        <w:t xml:space="preserve"> improv</w:t>
      </w:r>
      <w:r w:rsidR="00400C0E">
        <w:rPr>
          <w:noProof/>
        </w:rPr>
        <w:t>ing</w:t>
      </w:r>
      <w:r w:rsidR="007C730C">
        <w:rPr>
          <w:noProof/>
        </w:rPr>
        <w:t xml:space="preserve"> the business case for energy efficiency by reducing the overall investment risk, by providing credit enhancement support to increase access to finance for specific markets and population segments, and by underpinning more competitive interest rates.</w:t>
      </w:r>
      <w:r w:rsidR="00400C0E">
        <w:rPr>
          <w:noProof/>
        </w:rPr>
        <w:t xml:space="preserve"> In addition, Member States should identify country-specific risks and difficulties in accessing</w:t>
      </w:r>
      <w:r w:rsidR="000D49D2">
        <w:rPr>
          <w:noProof/>
        </w:rPr>
        <w:t xml:space="preserve"> finance</w:t>
      </w:r>
      <w:r w:rsidR="00400C0E">
        <w:rPr>
          <w:noProof/>
        </w:rPr>
        <w:t xml:space="preserve"> for market participants. </w:t>
      </w:r>
    </w:p>
    <w:p w:rsidR="004430D5" w:rsidRPr="005D4110" w:rsidRDefault="004430D5" w:rsidP="002F1282">
      <w:pPr>
        <w:rPr>
          <w:noProof/>
        </w:rPr>
      </w:pPr>
    </w:p>
    <w:p w:rsidR="00A642F1" w:rsidRDefault="00C164DB" w:rsidP="004430D5">
      <w:pPr>
        <w:rPr>
          <w:noProof/>
        </w:rPr>
      </w:pPr>
      <w:r>
        <w:rPr>
          <w:b/>
          <w:bCs/>
          <w:noProof/>
        </w:rPr>
        <w:lastRenderedPageBreak/>
        <w:t xml:space="preserve">11. </w:t>
      </w:r>
      <w:r w:rsidR="004C2DC6">
        <w:rPr>
          <w:b/>
          <w:bCs/>
          <w:noProof/>
        </w:rPr>
        <w:t>P</w:t>
      </w:r>
      <w:r w:rsidR="00C16151">
        <w:rPr>
          <w:b/>
          <w:bCs/>
          <w:noProof/>
        </w:rPr>
        <w:t>romote re-financing opportunities and fa</w:t>
      </w:r>
      <w:r w:rsidR="00805D60" w:rsidRPr="00C82CC2">
        <w:rPr>
          <w:b/>
          <w:bCs/>
          <w:noProof/>
        </w:rPr>
        <w:t xml:space="preserve">vour the development of a secondary market for energy efficiency </w:t>
      </w:r>
      <w:r w:rsidR="3516CC0F">
        <w:rPr>
          <w:noProof/>
        </w:rPr>
        <w:t>with private financial institutions</w:t>
      </w:r>
      <w:r w:rsidR="51F1E86C">
        <w:rPr>
          <w:noProof/>
        </w:rPr>
        <w:t>.</w:t>
      </w:r>
      <w:r w:rsidR="4D91AC1B">
        <w:rPr>
          <w:noProof/>
        </w:rPr>
        <w:t xml:space="preserve"> Such facilities could</w:t>
      </w:r>
      <w:r w:rsidR="68E59080">
        <w:rPr>
          <w:noProof/>
        </w:rPr>
        <w:t xml:space="preserve"> </w:t>
      </w:r>
      <w:r w:rsidR="07F49302">
        <w:rPr>
          <w:noProof/>
        </w:rPr>
        <w:t xml:space="preserve">support </w:t>
      </w:r>
      <w:r w:rsidR="0B5B99A1">
        <w:rPr>
          <w:noProof/>
        </w:rPr>
        <w:t xml:space="preserve">forfeiting and factoring schemes for </w:t>
      </w:r>
      <w:r w:rsidR="6E65E1EC">
        <w:rPr>
          <w:noProof/>
        </w:rPr>
        <w:t>ESCOs</w:t>
      </w:r>
      <w:r w:rsidR="0DD6198D">
        <w:rPr>
          <w:noProof/>
        </w:rPr>
        <w:t xml:space="preserve">’ </w:t>
      </w:r>
      <w:r w:rsidR="0B5B99A1">
        <w:rPr>
          <w:noProof/>
        </w:rPr>
        <w:t>energy performance contracts</w:t>
      </w:r>
      <w:r w:rsidR="4D91AC1B">
        <w:rPr>
          <w:noProof/>
        </w:rPr>
        <w:t>,</w:t>
      </w:r>
      <w:r w:rsidR="6E65E1EC">
        <w:rPr>
          <w:noProof/>
        </w:rPr>
        <w:t xml:space="preserve"> </w:t>
      </w:r>
      <w:r w:rsidR="00FE32A9">
        <w:rPr>
          <w:noProof/>
        </w:rPr>
        <w:t xml:space="preserve">bundle </w:t>
      </w:r>
      <w:r w:rsidR="6E65E1EC">
        <w:rPr>
          <w:noProof/>
        </w:rPr>
        <w:t xml:space="preserve">energy efficiency receivables from different </w:t>
      </w:r>
      <w:r w:rsidR="4D91AC1B">
        <w:rPr>
          <w:noProof/>
        </w:rPr>
        <w:t xml:space="preserve">loan </w:t>
      </w:r>
      <w:r w:rsidR="6E65E1EC">
        <w:rPr>
          <w:noProof/>
        </w:rPr>
        <w:t>originators for securitisation purposes</w:t>
      </w:r>
      <w:r w:rsidR="4D91AC1B">
        <w:rPr>
          <w:noProof/>
        </w:rPr>
        <w:t>,</w:t>
      </w:r>
      <w:r w:rsidR="000E41BF">
        <w:rPr>
          <w:noProof/>
        </w:rPr>
        <w:t xml:space="preserve"> </w:t>
      </w:r>
      <w:r w:rsidR="4D91AC1B">
        <w:rPr>
          <w:noProof/>
        </w:rPr>
        <w:t xml:space="preserve">and facilitate the creation of </w:t>
      </w:r>
      <w:r w:rsidR="006E3D3D">
        <w:rPr>
          <w:noProof/>
        </w:rPr>
        <w:t>s</w:t>
      </w:r>
      <w:r w:rsidR="4D91AC1B">
        <w:rPr>
          <w:noProof/>
        </w:rPr>
        <w:t>uper</w:t>
      </w:r>
      <w:r w:rsidR="006E3D3D">
        <w:rPr>
          <w:noProof/>
        </w:rPr>
        <w:t>-</w:t>
      </w:r>
      <w:r w:rsidR="4D91AC1B">
        <w:rPr>
          <w:noProof/>
        </w:rPr>
        <w:t>ESCOs</w:t>
      </w:r>
      <w:r w:rsidR="00F74390">
        <w:rPr>
          <w:noProof/>
        </w:rPr>
        <w:t xml:space="preserve"> or similar</w:t>
      </w:r>
      <w:r w:rsidR="4D91AC1B">
        <w:rPr>
          <w:noProof/>
        </w:rPr>
        <w:t xml:space="preserve"> </w:t>
      </w:r>
      <w:r w:rsidR="00F74390">
        <w:rPr>
          <w:noProof/>
        </w:rPr>
        <w:t xml:space="preserve">structures that </w:t>
      </w:r>
      <w:r w:rsidR="4D91AC1B">
        <w:rPr>
          <w:noProof/>
        </w:rPr>
        <w:t>intermedia</w:t>
      </w:r>
      <w:r w:rsidR="00F74390">
        <w:rPr>
          <w:noProof/>
        </w:rPr>
        <w:t>te</w:t>
      </w:r>
      <w:r w:rsidR="4D91AC1B">
        <w:rPr>
          <w:noProof/>
        </w:rPr>
        <w:t xml:space="preserve"> between ESCOs and institutional investors</w:t>
      </w:r>
      <w:r w:rsidR="3516CC0F">
        <w:rPr>
          <w:noProof/>
        </w:rPr>
        <w:t>.</w:t>
      </w:r>
      <w:r w:rsidR="00A642F1">
        <w:rPr>
          <w:noProof/>
        </w:rPr>
        <w:t xml:space="preserve"> In addition, Member States and market actors should: </w:t>
      </w:r>
    </w:p>
    <w:p w:rsidR="00A642F1" w:rsidRDefault="00A642F1" w:rsidP="007008F3">
      <w:pPr>
        <w:pStyle w:val="Tiret1"/>
        <w:rPr>
          <w:noProof/>
        </w:rPr>
      </w:pPr>
      <w:r>
        <w:rPr>
          <w:noProof/>
        </w:rPr>
        <w:t>Drive the development of the green bonds market in their national context; and</w:t>
      </w:r>
    </w:p>
    <w:p w:rsidR="00A642F1" w:rsidRDefault="00A642F1" w:rsidP="007008F3">
      <w:pPr>
        <w:pStyle w:val="Tiret1"/>
        <w:rPr>
          <w:noProof/>
        </w:rPr>
      </w:pPr>
      <w:r>
        <w:rPr>
          <w:noProof/>
        </w:rPr>
        <w:t>Establish and reinforce dedicated dialogue with financial institutions on the development of a secondary market for energy efficiency; and</w:t>
      </w:r>
    </w:p>
    <w:p w:rsidR="004430D5" w:rsidRDefault="00A642F1" w:rsidP="007008F3">
      <w:pPr>
        <w:pStyle w:val="Tiret1"/>
        <w:rPr>
          <w:noProof/>
        </w:rPr>
      </w:pPr>
      <w:r>
        <w:rPr>
          <w:noProof/>
        </w:rPr>
        <w:t xml:space="preserve">Support the establishment of dedicated energy efficiency re-financing facilities.  </w:t>
      </w:r>
    </w:p>
    <w:p w:rsidR="004430D5" w:rsidRDefault="004430D5" w:rsidP="002F1282">
      <w:pPr>
        <w:rPr>
          <w:b/>
          <w:bCs/>
          <w:noProof/>
          <w:lang w:val="en-IE"/>
        </w:rPr>
      </w:pPr>
    </w:p>
    <w:p w:rsidR="00AD7DC2" w:rsidRPr="00AD7DC2" w:rsidRDefault="00C164DB" w:rsidP="002F1282">
      <w:pPr>
        <w:rPr>
          <w:noProof/>
          <w:lang w:val="en-IE"/>
        </w:rPr>
      </w:pPr>
      <w:r>
        <w:rPr>
          <w:b/>
          <w:bCs/>
          <w:noProof/>
          <w:lang w:val="en-IE"/>
        </w:rPr>
        <w:t xml:space="preserve">12. </w:t>
      </w:r>
      <w:r w:rsidR="00297A8F">
        <w:rPr>
          <w:b/>
          <w:bCs/>
          <w:noProof/>
          <w:lang w:val="en-IE"/>
        </w:rPr>
        <w:t>I</w:t>
      </w:r>
      <w:r w:rsidR="0047146C" w:rsidRPr="00C82CC2">
        <w:rPr>
          <w:b/>
          <w:bCs/>
          <w:noProof/>
          <w:lang w:val="en-IE"/>
        </w:rPr>
        <w:t xml:space="preserve">mprove data collection </w:t>
      </w:r>
      <w:r w:rsidR="00297A8F">
        <w:rPr>
          <w:b/>
          <w:bCs/>
          <w:noProof/>
          <w:lang w:val="en-IE"/>
        </w:rPr>
        <w:t>on energy efficiency</w:t>
      </w:r>
      <w:r w:rsidR="00F728E5">
        <w:rPr>
          <w:b/>
          <w:bCs/>
          <w:noProof/>
          <w:lang w:val="en-IE"/>
        </w:rPr>
        <w:t xml:space="preserve">. </w:t>
      </w:r>
      <w:r w:rsidR="00F728E5" w:rsidRPr="00E7137F">
        <w:rPr>
          <w:noProof/>
          <w:lang w:val="en-IE"/>
        </w:rPr>
        <w:t>This includes data</w:t>
      </w:r>
      <w:r w:rsidR="00F728E5">
        <w:rPr>
          <w:noProof/>
          <w:lang w:val="en-IE"/>
        </w:rPr>
        <w:t xml:space="preserve"> </w:t>
      </w:r>
      <w:r w:rsidR="00297A8F" w:rsidRPr="00E7137F">
        <w:rPr>
          <w:noProof/>
          <w:lang w:val="en-IE"/>
        </w:rPr>
        <w:t>on energy efficiency investment financial performance and</w:t>
      </w:r>
      <w:r w:rsidR="00573BF5">
        <w:rPr>
          <w:noProof/>
          <w:lang w:val="en-IE"/>
        </w:rPr>
        <w:t xml:space="preserve"> data</w:t>
      </w:r>
      <w:r w:rsidR="00297A8F" w:rsidRPr="00E7137F">
        <w:rPr>
          <w:noProof/>
          <w:lang w:val="en-IE"/>
        </w:rPr>
        <w:t xml:space="preserve"> to support energy savings monitoring and verification measures. </w:t>
      </w:r>
      <w:r w:rsidR="000224ED">
        <w:rPr>
          <w:noProof/>
          <w:lang w:val="en-IE"/>
        </w:rPr>
        <w:t>Member States and market actors should support the d</w:t>
      </w:r>
      <w:r w:rsidR="0047146C" w:rsidRPr="00997B4B">
        <w:rPr>
          <w:noProof/>
          <w:lang w:val="en-IE"/>
        </w:rPr>
        <w:t>evelop</w:t>
      </w:r>
      <w:r w:rsidR="000224ED">
        <w:rPr>
          <w:noProof/>
          <w:lang w:val="en-IE"/>
        </w:rPr>
        <w:t>ment</w:t>
      </w:r>
      <w:r w:rsidR="00453DF6">
        <w:rPr>
          <w:noProof/>
          <w:lang w:val="en-IE"/>
        </w:rPr>
        <w:t>, harmonis</w:t>
      </w:r>
      <w:r w:rsidR="000224ED">
        <w:rPr>
          <w:noProof/>
          <w:lang w:val="en-IE"/>
        </w:rPr>
        <w:t>ation</w:t>
      </w:r>
      <w:r w:rsidR="00453DF6">
        <w:rPr>
          <w:noProof/>
          <w:lang w:val="en-IE"/>
        </w:rPr>
        <w:t>,</w:t>
      </w:r>
      <w:r w:rsidR="0047146C">
        <w:rPr>
          <w:noProof/>
          <w:lang w:val="en-IE"/>
        </w:rPr>
        <w:t xml:space="preserve"> standardis</w:t>
      </w:r>
      <w:r w:rsidR="000224ED">
        <w:rPr>
          <w:noProof/>
          <w:lang w:val="en-IE"/>
        </w:rPr>
        <w:t>ation</w:t>
      </w:r>
      <w:r w:rsidR="00453DF6">
        <w:rPr>
          <w:noProof/>
          <w:lang w:val="en-IE"/>
        </w:rPr>
        <w:t xml:space="preserve"> and simplif</w:t>
      </w:r>
      <w:r w:rsidR="000224ED">
        <w:rPr>
          <w:noProof/>
          <w:lang w:val="en-IE"/>
        </w:rPr>
        <w:t>ication of</w:t>
      </w:r>
      <w:r w:rsidR="0047146C">
        <w:rPr>
          <w:noProof/>
          <w:lang w:val="en-IE"/>
        </w:rPr>
        <w:t xml:space="preserve"> </w:t>
      </w:r>
      <w:r w:rsidR="0047146C" w:rsidRPr="00997B4B">
        <w:rPr>
          <w:noProof/>
          <w:lang w:val="en-IE"/>
        </w:rPr>
        <w:t>project rating methodologies, including the valuation of non-energy benefits</w:t>
      </w:r>
      <w:r w:rsidR="00C95BB7">
        <w:rPr>
          <w:noProof/>
          <w:lang w:val="en-IE"/>
        </w:rPr>
        <w:t xml:space="preserve"> and</w:t>
      </w:r>
      <w:r w:rsidR="00453DF6">
        <w:rPr>
          <w:noProof/>
          <w:lang w:val="en-IE"/>
        </w:rPr>
        <w:t xml:space="preserve"> </w:t>
      </w:r>
      <w:r w:rsidR="007048E5">
        <w:rPr>
          <w:noProof/>
          <w:lang w:val="en-IE"/>
        </w:rPr>
        <w:t xml:space="preserve">the </w:t>
      </w:r>
      <w:r w:rsidR="00453DF6">
        <w:rPr>
          <w:noProof/>
          <w:lang w:val="en-IE"/>
        </w:rPr>
        <w:t>energy savings monitoring and verification measures</w:t>
      </w:r>
      <w:r w:rsidR="006E3D3D">
        <w:rPr>
          <w:noProof/>
          <w:lang w:val="en-IE"/>
        </w:rPr>
        <w:t xml:space="preserve"> which</w:t>
      </w:r>
      <w:r w:rsidR="004F333C">
        <w:rPr>
          <w:noProof/>
          <w:lang w:val="en-IE"/>
        </w:rPr>
        <w:t xml:space="preserve"> is key to </w:t>
      </w:r>
      <w:r w:rsidR="001B41CD">
        <w:rPr>
          <w:noProof/>
          <w:lang w:val="en-IE"/>
        </w:rPr>
        <w:t>increas</w:t>
      </w:r>
      <w:r w:rsidR="00E0621D">
        <w:rPr>
          <w:noProof/>
          <w:lang w:val="en-IE"/>
        </w:rPr>
        <w:t>ing</w:t>
      </w:r>
      <w:r w:rsidR="00453DF6">
        <w:rPr>
          <w:noProof/>
          <w:lang w:val="en-IE"/>
        </w:rPr>
        <w:t xml:space="preserve"> investors’ trust and certainty, and secure the monetary value of energy savings as a tradable commodity. </w:t>
      </w:r>
    </w:p>
    <w:p w:rsidR="005850AC" w:rsidRDefault="005850AC" w:rsidP="002F1282">
      <w:pPr>
        <w:rPr>
          <w:noProof/>
        </w:rPr>
      </w:pPr>
    </w:p>
    <w:p w:rsidR="00DC791B" w:rsidRDefault="00B61A2A" w:rsidP="002F1282">
      <w:pPr>
        <w:rPr>
          <w:noProof/>
        </w:rPr>
      </w:pPr>
      <w:r w:rsidRPr="008B4FC2">
        <w:rPr>
          <w:noProof/>
        </w:rPr>
        <w:t>In</w:t>
      </w:r>
      <w:r w:rsidR="00DC791B" w:rsidRPr="008B4FC2">
        <w:rPr>
          <w:noProof/>
        </w:rPr>
        <w:t xml:space="preserve"> implementing these Recommendation, Member States and market actors should give appropriate considerations to </w:t>
      </w:r>
      <w:r w:rsidR="00787A99">
        <w:rPr>
          <w:noProof/>
        </w:rPr>
        <w:t>Annex to this Recommendation providing detailed</w:t>
      </w:r>
      <w:r w:rsidR="00DC791B">
        <w:rPr>
          <w:noProof/>
        </w:rPr>
        <w:t xml:space="preserve"> guidelines on specific </w:t>
      </w:r>
      <w:r w:rsidR="00787A99">
        <w:rPr>
          <w:noProof/>
        </w:rPr>
        <w:t xml:space="preserve">policy and financing measures for mobilising private investment in energy efficiency, including specific recommended </w:t>
      </w:r>
      <w:r w:rsidR="00DC791B">
        <w:rPr>
          <w:noProof/>
        </w:rPr>
        <w:t xml:space="preserve">actions, </w:t>
      </w:r>
      <w:r w:rsidR="00787A99">
        <w:rPr>
          <w:noProof/>
        </w:rPr>
        <w:t xml:space="preserve">reasoned </w:t>
      </w:r>
      <w:r w:rsidR="00DC791B">
        <w:rPr>
          <w:noProof/>
        </w:rPr>
        <w:t xml:space="preserve">background and examples of </w:t>
      </w:r>
      <w:r w:rsidR="00787A99">
        <w:rPr>
          <w:noProof/>
        </w:rPr>
        <w:t>successful use cases</w:t>
      </w:r>
      <w:r w:rsidR="00DC791B">
        <w:rPr>
          <w:noProof/>
        </w:rPr>
        <w:t xml:space="preserve">. </w:t>
      </w:r>
    </w:p>
    <w:p w:rsidR="00B60058" w:rsidRDefault="00866D0E" w:rsidP="00FD7EE6">
      <w:pPr>
        <w:pStyle w:val="Fait"/>
        <w:rPr>
          <w:noProof/>
        </w:rPr>
      </w:pPr>
      <w:r>
        <w:rPr>
          <w:noProof/>
        </w:rPr>
        <w:t>Done at Brussels, 10.3.2026</w:t>
      </w:r>
    </w:p>
    <w:p w:rsidR="00B60058" w:rsidRDefault="00B60058" w:rsidP="00FD7EE6">
      <w:pPr>
        <w:pStyle w:val="Institutionquisigne"/>
        <w:rPr>
          <w:noProof/>
        </w:rPr>
      </w:pPr>
      <w:r w:rsidRPr="00B60058">
        <w:rPr>
          <w:noProof/>
        </w:rPr>
        <w:tab/>
        <w:t>For the Commission</w:t>
      </w:r>
    </w:p>
    <w:p w:rsidR="00B60058" w:rsidRPr="00B60058" w:rsidRDefault="00B60058" w:rsidP="00FD7EE6">
      <w:pPr>
        <w:pStyle w:val="Personnequisigne"/>
        <w:keepNext/>
        <w:rPr>
          <w:noProof/>
        </w:rPr>
      </w:pPr>
      <w:r w:rsidRPr="00B60058">
        <w:rPr>
          <w:noProof/>
        </w:rPr>
        <w:tab/>
      </w:r>
      <w:r w:rsidR="006A754D" w:rsidRPr="003D51A7">
        <w:rPr>
          <w:noProof/>
        </w:rPr>
        <w:t>Dan Jørgensen</w:t>
      </w:r>
      <w:r w:rsidR="006A754D" w:rsidRPr="00B60058" w:rsidDel="006A754D">
        <w:rPr>
          <w:noProof/>
        </w:rPr>
        <w:t xml:space="preserve"> </w:t>
      </w:r>
      <w:r w:rsidRPr="00B60058">
        <w:rPr>
          <w:noProof/>
        </w:rPr>
        <w:br/>
      </w:r>
      <w:r w:rsidRPr="00B60058">
        <w:rPr>
          <w:noProof/>
        </w:rPr>
        <w:tab/>
        <w:t>Member of the Commission</w:t>
      </w:r>
    </w:p>
    <w:tbl>
      <w:tblPr>
        <w:tblW w:w="0" w:type="auto"/>
        <w:tblInd w:w="4252" w:type="dxa"/>
        <w:tblCellMar>
          <w:top w:w="567" w:type="dxa"/>
          <w:left w:w="0" w:type="dxa"/>
          <w:right w:w="0" w:type="dxa"/>
        </w:tblCellMar>
        <w:tblLook w:val="0000" w:firstRow="0" w:lastRow="0" w:firstColumn="0" w:lastColumn="0" w:noHBand="0" w:noVBand="0"/>
      </w:tblPr>
      <w:tblGrid>
        <w:gridCol w:w="3765"/>
      </w:tblGrid>
      <w:tr w:rsidR="00342EC1">
        <w:trPr>
          <w:cantSplit/>
        </w:trPr>
        <w:tc>
          <w:tcPr>
            <w:tcW w:w="0" w:type="auto"/>
            <w:shd w:val="clear" w:color="auto" w:fill="auto"/>
          </w:tcPr>
          <w:p w:rsidR="00342EC1" w:rsidRDefault="00695C3A">
            <w:pPr>
              <w:rPr>
                <w:noProof/>
              </w:rPr>
            </w:pPr>
            <w:r>
              <w:rPr>
                <w:noProof/>
              </w:rPr>
              <w:pict>
                <v:shape id="_x0000_i1026" type="#_x0000_t75" style="width:188.25pt;height:102pt">
                  <v:imagedata r:id="rId14" o:title=""/>
                </v:shape>
              </w:pict>
            </w:r>
          </w:p>
        </w:tc>
      </w:tr>
    </w:tbl>
    <w:p w:rsidR="00000000" w:rsidRDefault="00AE6823">
      <w:pPr>
        <w:rPr>
          <w:noProof/>
        </w:rPr>
      </w:pPr>
    </w:p>
    <w:sectPr w:rsidR="00000000" w:rsidSect="00D06F83">
      <w:headerReference w:type="even" r:id="rId15"/>
      <w:footerReference w:type="even" r:id="rId16"/>
      <w:footerReference w:type="default" r:id="rId17"/>
      <w:headerReference w:type="first" r:id="rId18"/>
      <w:footerReference w:type="first" r:id="rId19"/>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F9F" w:rsidRDefault="00D00F9F" w:rsidP="00B60058">
      <w:pPr>
        <w:spacing w:before="0" w:after="0"/>
      </w:pPr>
      <w:r>
        <w:separator/>
      </w:r>
    </w:p>
  </w:endnote>
  <w:endnote w:type="continuationSeparator" w:id="0">
    <w:p w:rsidR="00D00F9F" w:rsidRDefault="00D00F9F" w:rsidP="00B60058">
      <w:pPr>
        <w:spacing w:before="0" w:after="0"/>
      </w:pPr>
      <w:r>
        <w:continuationSeparator/>
      </w:r>
    </w:p>
  </w:endnote>
  <w:endnote w:type="continuationNotice" w:id="1">
    <w:p w:rsidR="00D00F9F" w:rsidRDefault="00D00F9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F83" w:rsidRPr="00D06F83" w:rsidRDefault="00D06F83" w:rsidP="00D06F83">
    <w:pPr>
      <w:pStyle w:val="Footer"/>
      <w:rPr>
        <w:rFonts w:ascii="Arial" w:hAnsi="Arial" w:cs="Arial"/>
        <w:b/>
        <w:sz w:val="48"/>
      </w:rPr>
    </w:pPr>
    <w:r w:rsidRPr="00D06F83">
      <w:rPr>
        <w:rFonts w:ascii="Arial" w:hAnsi="Arial" w:cs="Arial"/>
        <w:b/>
        <w:sz w:val="48"/>
      </w:rPr>
      <w:t>EN</w:t>
    </w:r>
    <w:r w:rsidRPr="00D06F83">
      <w:rPr>
        <w:rFonts w:ascii="Arial" w:hAnsi="Arial" w:cs="Arial"/>
        <w:b/>
        <w:sz w:val="48"/>
      </w:rPr>
      <w:tab/>
    </w:r>
    <w:r w:rsidRPr="00D06F83">
      <w:rPr>
        <w:rFonts w:ascii="Arial" w:hAnsi="Arial" w:cs="Arial"/>
        <w:b/>
        <w:sz w:val="48"/>
      </w:rPr>
      <w:tab/>
    </w:r>
    <w:r w:rsidRPr="00D06F83">
      <w:tab/>
    </w:r>
    <w:r w:rsidRPr="00D06F83">
      <w:rPr>
        <w:rFonts w:ascii="Arial" w:hAnsi="Arial" w:cs="Arial"/>
        <w:b/>
        <w:sz w:val="48"/>
      </w:rPr>
      <w:t>EN</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F83" w:rsidRPr="00D06F83" w:rsidRDefault="00D06F83" w:rsidP="00D06F83">
    <w:pPr>
      <w:pStyle w:val="Footer"/>
      <w:rPr>
        <w:rFonts w:ascii="Arial" w:hAnsi="Arial" w:cs="Arial"/>
        <w:b/>
        <w:sz w:val="48"/>
      </w:rPr>
    </w:pPr>
    <w:r w:rsidRPr="00D06F83">
      <w:rPr>
        <w:rFonts w:ascii="Arial" w:hAnsi="Arial" w:cs="Arial"/>
        <w:b/>
        <w:sz w:val="48"/>
      </w:rPr>
      <w:t>EN</w:t>
    </w:r>
    <w:r w:rsidRPr="00D06F83">
      <w:rPr>
        <w:rFonts w:ascii="Arial" w:hAnsi="Arial" w:cs="Arial"/>
        <w:b/>
        <w:sz w:val="48"/>
      </w:rPr>
      <w:tab/>
    </w:r>
    <w:r w:rsidRPr="00D06F83">
      <w:rPr>
        <w:rFonts w:ascii="Arial" w:hAnsi="Arial" w:cs="Arial"/>
        <w:b/>
        <w:sz w:val="48"/>
      </w:rPr>
      <w:tab/>
    </w:r>
    <w:r w:rsidRPr="00D06F83">
      <w:tab/>
    </w:r>
    <w:r w:rsidRPr="00D06F83">
      <w:rPr>
        <w:rFonts w:ascii="Arial" w:hAnsi="Arial" w:cs="Arial"/>
        <w:b/>
        <w:sz w:val="48"/>
      </w:rPr>
      <w:t>EN</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F83" w:rsidRDefault="00D06F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F83" w:rsidRPr="00D06F83" w:rsidRDefault="00D06F83" w:rsidP="00D06F83">
    <w:pPr>
      <w:pStyle w:val="Footer"/>
      <w:rPr>
        <w:rFonts w:ascii="Arial" w:hAnsi="Arial" w:cs="Arial"/>
        <w:b/>
        <w:sz w:val="48"/>
      </w:rPr>
    </w:pPr>
    <w:r w:rsidRPr="00D06F83">
      <w:rPr>
        <w:rFonts w:ascii="Arial" w:hAnsi="Arial" w:cs="Arial"/>
        <w:b/>
        <w:sz w:val="48"/>
      </w:rPr>
      <w:t>EN</w:t>
    </w:r>
    <w:r w:rsidRPr="00D06F83">
      <w:rPr>
        <w:rFonts w:ascii="Arial" w:hAnsi="Arial" w:cs="Arial"/>
        <w:b/>
        <w:sz w:val="48"/>
      </w:rPr>
      <w:tab/>
    </w:r>
    <w:r>
      <w:fldChar w:fldCharType="begin"/>
    </w:r>
    <w:r>
      <w:instrText xml:space="preserve"> PAGE  \* MERGEFORMAT </w:instrText>
    </w:r>
    <w:r>
      <w:fldChar w:fldCharType="separate"/>
    </w:r>
    <w:r w:rsidR="00FD7EE6">
      <w:rPr>
        <w:noProof/>
      </w:rPr>
      <w:t>9</w:t>
    </w:r>
    <w:r>
      <w:fldChar w:fldCharType="end"/>
    </w:r>
    <w:r>
      <w:tab/>
    </w:r>
    <w:r w:rsidRPr="00D06F83">
      <w:tab/>
    </w:r>
    <w:r w:rsidRPr="00D06F83">
      <w:rPr>
        <w:rFonts w:ascii="Arial" w:hAnsi="Arial" w:cs="Arial"/>
        <w:b/>
        <w:sz w:val="48"/>
      </w:rPr>
      <w:t>EN</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F83" w:rsidRDefault="00D06F83" w:rsidP="00D06F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F9F" w:rsidRDefault="00D00F9F" w:rsidP="00B60058">
      <w:pPr>
        <w:spacing w:before="0" w:after="0"/>
      </w:pPr>
      <w:r>
        <w:separator/>
      </w:r>
    </w:p>
  </w:footnote>
  <w:footnote w:type="continuationSeparator" w:id="0">
    <w:p w:rsidR="00D00F9F" w:rsidRDefault="00D00F9F" w:rsidP="00B60058">
      <w:pPr>
        <w:spacing w:before="0" w:after="0"/>
      </w:pPr>
      <w:r>
        <w:continuationSeparator/>
      </w:r>
    </w:p>
  </w:footnote>
  <w:footnote w:type="continuationNotice" w:id="1">
    <w:p w:rsidR="00D00F9F" w:rsidRDefault="00D00F9F">
      <w:pPr>
        <w:spacing w:before="0" w:after="0"/>
      </w:pPr>
    </w:p>
  </w:footnote>
  <w:footnote w:id="2">
    <w:p w:rsidR="00FC3114" w:rsidRDefault="00FC3114" w:rsidP="00DB30EB">
      <w:pPr>
        <w:pStyle w:val="FootnoteText"/>
      </w:pPr>
      <w:r w:rsidRPr="003D51A7">
        <w:rPr>
          <w:rStyle w:val="FootnoteReference"/>
        </w:rPr>
        <w:footnoteRef/>
      </w:r>
      <w:r w:rsidR="003D51A7">
        <w:tab/>
      </w:r>
      <w:r>
        <w:t>Communication from the Commission to the European Parliament, the Council, the European Economic and Social Committee and the Committee of the Regions “Stepping up Europe’s 2030 climate ambition Investing in a climate-neutral future for the benefit of our people” COM/2020/562 final</w:t>
      </w:r>
      <w:r w:rsidR="002F6B60">
        <w:t xml:space="preserve">, </w:t>
      </w:r>
      <w:hyperlink r:id="rId1" w:history="1">
        <w:r w:rsidR="002F6B60" w:rsidRPr="001B6C0E">
          <w:rPr>
            <w:rStyle w:val="Hyperlink"/>
          </w:rPr>
          <w:t>https://eur-lex.europa.eu/legal-content/EN/TXT/?uri=celex:52020DC0562</w:t>
        </w:r>
      </w:hyperlink>
      <w:r w:rsidR="002F6B60">
        <w:t xml:space="preserve"> . </w:t>
      </w:r>
    </w:p>
  </w:footnote>
  <w:footnote w:id="3">
    <w:p w:rsidR="00941863" w:rsidRPr="000C5391" w:rsidRDefault="00941863">
      <w:pPr>
        <w:pStyle w:val="FootnoteText"/>
        <w:rPr>
          <w:lang w:val="en-IE"/>
        </w:rPr>
      </w:pPr>
      <w:r w:rsidRPr="003D51A7">
        <w:rPr>
          <w:rStyle w:val="FootnoteReference"/>
        </w:rPr>
        <w:footnoteRef/>
      </w:r>
      <w:r w:rsidR="003D51A7">
        <w:tab/>
      </w:r>
      <w:r>
        <w:t xml:space="preserve">Communication from the Commission to the European Parliament, the Council, the European Economic and Social Committee and the Committee of the Regions “The European Green Deal” </w:t>
      </w:r>
      <w:r w:rsidR="004D02F9" w:rsidRPr="004D02F9">
        <w:t>COM(2019) 640 final</w:t>
      </w:r>
      <w:r w:rsidR="002F6B60">
        <w:t xml:space="preserve">, </w:t>
      </w:r>
      <w:hyperlink r:id="rId2" w:history="1">
        <w:r w:rsidR="002F6B60" w:rsidRPr="001B6C0E">
          <w:rPr>
            <w:rStyle w:val="Hyperlink"/>
          </w:rPr>
          <w:t>https://eur-lex.europa.eu/legal-content/EN/TXT/?uri=celex:52019DC0640</w:t>
        </w:r>
      </w:hyperlink>
      <w:r w:rsidR="002F6B60">
        <w:t xml:space="preserve"> . </w:t>
      </w:r>
      <w:r w:rsidR="004D02F9">
        <w:t xml:space="preserve"> </w:t>
      </w:r>
    </w:p>
  </w:footnote>
  <w:footnote w:id="4">
    <w:p w:rsidR="00FC3114" w:rsidRDefault="00FC3114" w:rsidP="00A85040">
      <w:pPr>
        <w:pStyle w:val="FootnoteText"/>
      </w:pPr>
      <w:r w:rsidRPr="003D51A7">
        <w:rPr>
          <w:rStyle w:val="FootnoteReference"/>
        </w:rPr>
        <w:footnoteRef/>
      </w:r>
      <w:r w:rsidR="003D51A7">
        <w:tab/>
      </w:r>
      <w:r>
        <w:t>Directive (EU) 2023/1791 of the European Parliament and of the Council of 13 September 2023 on energy efficiency and amending Regulation (EU) 2023/955 (recast) (OJ L 231, 20.9.2023, p. 1–111)</w:t>
      </w:r>
      <w:r w:rsidR="002F6B60">
        <w:t xml:space="preserve">, </w:t>
      </w:r>
      <w:r w:rsidR="002F6B60" w:rsidRPr="002F6B60">
        <w:t xml:space="preserve">ELI: </w:t>
      </w:r>
      <w:hyperlink r:id="rId3" w:history="1">
        <w:r w:rsidR="00AE026F" w:rsidRPr="00AE026F">
          <w:rPr>
            <w:rStyle w:val="Hyperlink"/>
          </w:rPr>
          <w:t>Directive - 2023/1791 - EN - EUR-Lex</w:t>
        </w:r>
      </w:hyperlink>
      <w:r w:rsidR="002F6B60">
        <w:t>.</w:t>
      </w:r>
    </w:p>
  </w:footnote>
  <w:footnote w:id="5">
    <w:p w:rsidR="00A0674D" w:rsidRPr="00A0674D" w:rsidRDefault="00A0674D">
      <w:pPr>
        <w:pStyle w:val="FootnoteText"/>
      </w:pPr>
      <w:r w:rsidRPr="003D51A7">
        <w:rPr>
          <w:rStyle w:val="FootnoteReference"/>
        </w:rPr>
        <w:footnoteRef/>
      </w:r>
      <w:r w:rsidR="003D51A7">
        <w:tab/>
      </w:r>
      <w:r w:rsidR="00425505">
        <w:rPr>
          <w:lang w:val="en-IE"/>
        </w:rPr>
        <w:t>Communication from the Commission to the European Parliament, the Council, the European Economic and Social Committee, and the Committee of the Regions “</w:t>
      </w:r>
      <w:r w:rsidR="00B909D8">
        <w:rPr>
          <w:lang w:val="en-IE"/>
        </w:rPr>
        <w:t>Action Plan for Affordable Energy – Unlocking the true value of our Energy Union to secure affordable, efficient and clean energy for all Europeans”</w:t>
      </w:r>
      <w:r w:rsidR="00256EF8">
        <w:rPr>
          <w:lang w:val="en-IE"/>
        </w:rPr>
        <w:t xml:space="preserve"> COM(2025) 79 final</w:t>
      </w:r>
      <w:r w:rsidR="002F6B60">
        <w:rPr>
          <w:lang w:val="en-IE"/>
        </w:rPr>
        <w:t xml:space="preserve">, </w:t>
      </w:r>
      <w:hyperlink r:id="rId4" w:history="1">
        <w:r w:rsidR="002F6B60" w:rsidRPr="001B6C0E">
          <w:rPr>
            <w:rStyle w:val="Hyperlink"/>
            <w:lang w:val="en-IE"/>
          </w:rPr>
          <w:t>https://eur-lex.europa.eu/legal-content/EN/TXT/?uri=celex:52025DC0079</w:t>
        </w:r>
      </w:hyperlink>
      <w:r w:rsidR="002F6B60">
        <w:rPr>
          <w:lang w:val="en-IE"/>
        </w:rPr>
        <w:t xml:space="preserve"> . </w:t>
      </w:r>
      <w:r w:rsidR="00256EF8">
        <w:rPr>
          <w:lang w:val="en-IE"/>
        </w:rPr>
        <w:t xml:space="preserve"> </w:t>
      </w:r>
    </w:p>
  </w:footnote>
  <w:footnote w:id="6">
    <w:p w:rsidR="00D56C92" w:rsidRPr="00D56C92" w:rsidRDefault="00D56C92">
      <w:pPr>
        <w:pStyle w:val="FootnoteText"/>
      </w:pPr>
      <w:r w:rsidRPr="003D51A7">
        <w:rPr>
          <w:rStyle w:val="FootnoteReference"/>
        </w:rPr>
        <w:footnoteRef/>
      </w:r>
      <w:r w:rsidR="003D51A7">
        <w:tab/>
      </w:r>
      <w:r w:rsidR="00256EF8">
        <w:rPr>
          <w:lang w:val="en-IE"/>
        </w:rPr>
        <w:t>Communication from the Commission to the European Parliament, the Council, the European Economic and Social Committee, and the Committee of the Regions</w:t>
      </w:r>
      <w:r w:rsidR="00160DC5">
        <w:rPr>
          <w:lang w:val="en-IE"/>
        </w:rPr>
        <w:t xml:space="preserve"> “The Clean Industrial Deal: A joint roadmap for competitiveness and decarbonisation”</w:t>
      </w:r>
      <w:r w:rsidR="00171077">
        <w:rPr>
          <w:lang w:val="en-IE"/>
        </w:rPr>
        <w:t xml:space="preserve"> COM(2025) 85 final</w:t>
      </w:r>
      <w:r w:rsidR="002F6B60">
        <w:rPr>
          <w:lang w:val="en-IE"/>
        </w:rPr>
        <w:t xml:space="preserve">, </w:t>
      </w:r>
      <w:hyperlink r:id="rId5" w:history="1">
        <w:r w:rsidR="002F6B60" w:rsidRPr="001B6C0E">
          <w:rPr>
            <w:rStyle w:val="Hyperlink"/>
            <w:lang w:val="en-IE"/>
          </w:rPr>
          <w:t>https://eur-lex.europa.eu/legal-content/EN/TXT/?uri=celex:52025DC0085</w:t>
        </w:r>
      </w:hyperlink>
      <w:r w:rsidR="002F6B60">
        <w:rPr>
          <w:lang w:val="en-IE"/>
        </w:rPr>
        <w:t xml:space="preserve"> . </w:t>
      </w:r>
      <w:r w:rsidR="00171077">
        <w:rPr>
          <w:lang w:val="en-IE"/>
        </w:rPr>
        <w:t xml:space="preserve"> </w:t>
      </w:r>
    </w:p>
  </w:footnote>
  <w:footnote w:id="7">
    <w:p w:rsidR="00A85040" w:rsidRPr="00A85040" w:rsidRDefault="00A85040">
      <w:pPr>
        <w:pStyle w:val="FootnoteText"/>
        <w:rPr>
          <w:lang w:val="en-IE"/>
        </w:rPr>
      </w:pPr>
      <w:r w:rsidRPr="003D51A7">
        <w:rPr>
          <w:rStyle w:val="FootnoteReference"/>
        </w:rPr>
        <w:footnoteRef/>
      </w:r>
      <w:r w:rsidR="003D51A7">
        <w:tab/>
      </w:r>
      <w:r>
        <w:rPr>
          <w:lang w:val="en-IE"/>
        </w:rPr>
        <w:t>Communication from the Commission to the European Parliament, the Council, the European Economic and Social Committee, and the Committee of the Regions “A Renovation Wave for Europe – greening our buildings, creating jobs, improving lives” COM(2020) 662 final</w:t>
      </w:r>
      <w:r w:rsidR="002F6B60">
        <w:rPr>
          <w:lang w:val="en-IE"/>
        </w:rPr>
        <w:t xml:space="preserve">, </w:t>
      </w:r>
      <w:r w:rsidR="002F6B60" w:rsidRPr="002F6B60">
        <w:rPr>
          <w:lang w:val="en-IE"/>
        </w:rPr>
        <w:t>https://eur-lex.europa.eu/legal-content/EN/TXT/?uri=celex:52020DC0662</w:t>
      </w:r>
    </w:p>
  </w:footnote>
  <w:footnote w:id="8">
    <w:p w:rsidR="00673CDA" w:rsidRPr="00673CDA" w:rsidRDefault="00673CDA">
      <w:pPr>
        <w:pStyle w:val="FootnoteText"/>
        <w:rPr>
          <w:lang w:val="en-IE"/>
        </w:rPr>
      </w:pPr>
      <w:r w:rsidRPr="003D51A7">
        <w:rPr>
          <w:rStyle w:val="FootnoteReference"/>
        </w:rPr>
        <w:footnoteRef/>
      </w:r>
      <w:r w:rsidR="003D51A7">
        <w:tab/>
      </w:r>
      <w:r>
        <w:t>Directive (EU) 2024/1275 of the European Parliament and of the Council of 13 September 2023 on the energy performance of buildings (recast) (</w:t>
      </w:r>
      <w:r w:rsidRPr="00673CDA">
        <w:t>OJ L, 2024/1275, 8.5.2024</w:t>
      </w:r>
      <w:r>
        <w:t>)</w:t>
      </w:r>
      <w:r w:rsidR="002F6B60">
        <w:t xml:space="preserve">, </w:t>
      </w:r>
      <w:r w:rsidR="002F6B60" w:rsidRPr="002F6B60">
        <w:t>ELI: </w:t>
      </w:r>
      <w:hyperlink r:id="rId6" w:tooltip="Gives access to this document through its ELI URI." w:history="1">
        <w:r w:rsidR="002F6B60" w:rsidRPr="002F6B60">
          <w:rPr>
            <w:rStyle w:val="Hyperlink"/>
          </w:rPr>
          <w:t>http://data.europa.eu/eli/dir/2024/1275/oj</w:t>
        </w:r>
      </w:hyperlink>
      <w:r w:rsidR="002F6B60">
        <w:t xml:space="preserve">. </w:t>
      </w:r>
    </w:p>
  </w:footnote>
  <w:footnote w:id="9">
    <w:p w:rsidR="00AF350A" w:rsidRPr="005E6D65" w:rsidRDefault="00AF350A" w:rsidP="00AF350A">
      <w:pPr>
        <w:pStyle w:val="FootnoteText"/>
      </w:pPr>
      <w:r w:rsidRPr="003D51A7">
        <w:rPr>
          <w:rStyle w:val="FootnoteReference"/>
        </w:rPr>
        <w:footnoteRef/>
      </w:r>
      <w:r w:rsidR="003D51A7">
        <w:tab/>
      </w:r>
      <w:r>
        <w:t xml:space="preserve">Communication from the Commission to the European Parliament, the European Council, the Council, the European Economic and Social Committee and the Committee of the Regions “REPowerEU Plan”, COM/2022/230 final, </w:t>
      </w:r>
      <w:hyperlink r:id="rId7" w:history="1">
        <w:r w:rsidRPr="00317BFC">
          <w:rPr>
            <w:rStyle w:val="Hyperlink"/>
          </w:rPr>
          <w:t>https://eur-lex.europa.eu/legal-content/EN/TXT/?uri=COM%3A2022%3A230%3AFIN&amp;qid=1653033742483</w:t>
        </w:r>
      </w:hyperlink>
    </w:p>
  </w:footnote>
  <w:footnote w:id="10">
    <w:p w:rsidR="00AF350A" w:rsidRPr="00724C53" w:rsidRDefault="00AF350A" w:rsidP="00AF350A">
      <w:pPr>
        <w:pStyle w:val="FootnoteText"/>
      </w:pPr>
      <w:r w:rsidRPr="003D51A7">
        <w:rPr>
          <w:rStyle w:val="FootnoteReference"/>
        </w:rPr>
        <w:footnoteRef/>
      </w:r>
      <w:r w:rsidR="003D51A7">
        <w:tab/>
      </w:r>
      <w:r>
        <w:t>Communication from the Commission to the European Parliament, the European Council, the Council, the European Economic and Social Committee and the Committee of the Regions “</w:t>
      </w:r>
      <w:r w:rsidRPr="008E76D6">
        <w:t>Roadmap towards ending Russian energy imports</w:t>
      </w:r>
      <w:r>
        <w:t>”, COM/</w:t>
      </w:r>
      <w:r w:rsidRPr="001352AE">
        <w:t>2025/440 final/2</w:t>
      </w:r>
      <w:r>
        <w:t xml:space="preserve">, </w:t>
      </w:r>
      <w:hyperlink r:id="rId8" w:history="1">
        <w:r w:rsidRPr="00C33641">
          <w:rPr>
            <w:rStyle w:val="Hyperlink"/>
          </w:rPr>
          <w:t>https://eur-lex.europa.eu/legal-content/EN/TXT/?uri=CELEX%3A52025DC0440R%2801%29&amp;qid=1747125158211</w:t>
        </w:r>
      </w:hyperlink>
      <w:r>
        <w:t xml:space="preserve"> </w:t>
      </w:r>
    </w:p>
  </w:footnote>
  <w:footnote w:id="11">
    <w:p w:rsidR="00AF350A" w:rsidRPr="00671832" w:rsidRDefault="00AF350A" w:rsidP="00AF350A">
      <w:pPr>
        <w:pStyle w:val="FootnoteText"/>
      </w:pPr>
      <w:r w:rsidRPr="003D51A7">
        <w:rPr>
          <w:rStyle w:val="FootnoteReference"/>
        </w:rPr>
        <w:footnoteRef/>
      </w:r>
      <w:r w:rsidR="003D51A7">
        <w:tab/>
      </w:r>
      <w:r>
        <w:t xml:space="preserve">Proposal for a Regulation of the European Parliament and of the Council on phasing </w:t>
      </w:r>
      <w:r w:rsidRPr="00BD1FC3">
        <w:t>ut Russian natural gas imports, improving monitoring of potential energy dependencies and amending Regulation (EU) 2017/1938</w:t>
      </w:r>
      <w:r>
        <w:t xml:space="preserve">, </w:t>
      </w:r>
      <w:r w:rsidRPr="00841631">
        <w:t>COM/2025/828 final</w:t>
      </w:r>
      <w:r>
        <w:t xml:space="preserve">, </w:t>
      </w:r>
      <w:r w:rsidRPr="009A1673">
        <w:t>2025/0180(COD)</w:t>
      </w:r>
      <w:r>
        <w:t xml:space="preserve">, </w:t>
      </w:r>
      <w:hyperlink r:id="rId9" w:history="1">
        <w:r w:rsidRPr="00C33641">
          <w:rPr>
            <w:rStyle w:val="Hyperlink"/>
          </w:rPr>
          <w:t>https://eur-lex.europa.eu/legal-content/EN/TXT/?uri=CELEX%3A52025PC0828&amp;qid=1750669110360</w:t>
        </w:r>
      </w:hyperlink>
      <w:r>
        <w:t xml:space="preserve"> </w:t>
      </w:r>
    </w:p>
  </w:footnote>
  <w:footnote w:id="12">
    <w:p w:rsidR="00AF350A" w:rsidRPr="00AF350A" w:rsidRDefault="00AF350A">
      <w:pPr>
        <w:pStyle w:val="FootnoteText"/>
      </w:pPr>
      <w:r w:rsidRPr="003D51A7">
        <w:rPr>
          <w:rStyle w:val="FootnoteReference"/>
        </w:rPr>
        <w:footnoteRef/>
      </w:r>
      <w:r w:rsidR="003D51A7">
        <w:tab/>
      </w:r>
      <w:r>
        <w:t>IEA Report, “World Energy Investment 202</w:t>
      </w:r>
      <w:r w:rsidR="0087062B">
        <w:t>5</w:t>
      </w:r>
      <w:r>
        <w:t xml:space="preserve">”, </w:t>
      </w:r>
      <w:r w:rsidR="0087062B" w:rsidRPr="0087062B">
        <w:t>https://iea.blob.core.windows.net/assets/1c136349-1c31-4201-9ed7-1a7d532e4306/WorldEnergyInvestment2025.pdf</w:t>
      </w:r>
    </w:p>
  </w:footnote>
  <w:footnote w:id="13">
    <w:p w:rsidR="004034B5" w:rsidRPr="000C5391" w:rsidRDefault="004034B5">
      <w:pPr>
        <w:pStyle w:val="FootnoteText"/>
        <w:rPr>
          <w:lang w:val="en-IE"/>
        </w:rPr>
      </w:pPr>
      <w:r w:rsidRPr="003D51A7">
        <w:rPr>
          <w:rStyle w:val="FootnoteReference"/>
        </w:rPr>
        <w:footnoteRef/>
      </w:r>
      <w:r w:rsidR="003D51A7">
        <w:tab/>
      </w:r>
      <w:r w:rsidR="00BB1520">
        <w:t>Report from the Commission to the European Parliament and the Council on Energy Efficiency financing in Europe: An assessment of public spending for energy efficiency and the energy performance of building COM(2026)118</w:t>
      </w:r>
      <w:r w:rsidR="00BB1520" w:rsidRPr="00073F0A">
        <w:t>.</w:t>
      </w:r>
    </w:p>
  </w:footnote>
  <w:footnote w:id="14">
    <w:p w:rsidR="00A9204B" w:rsidRPr="00232F3F" w:rsidRDefault="00A9204B" w:rsidP="00A9204B">
      <w:pPr>
        <w:pStyle w:val="FootnoteText"/>
      </w:pPr>
      <w:r w:rsidRPr="003D51A7">
        <w:rPr>
          <w:rStyle w:val="FootnoteReference"/>
        </w:rPr>
        <w:footnoteRef/>
      </w:r>
      <w:r w:rsidRPr="00232F3F">
        <w:tab/>
        <w:t xml:space="preserve">IEA 2024 Energy Efficiency Report, </w:t>
      </w:r>
      <w:hyperlink r:id="rId10" w:history="1">
        <w:r w:rsidRPr="00232F3F">
          <w:rPr>
            <w:rStyle w:val="Hyperlink"/>
          </w:rPr>
          <w:t>https://iea.blob.core.windows.net/assets/f304f2ba-e9a2-4e6d-b529-fb67cd13f646/EnergyEfficiency2024.pdf</w:t>
        </w:r>
      </w:hyperlink>
      <w:r>
        <w:t xml:space="preserve">; and </w:t>
      </w:r>
      <w:r w:rsidRPr="00232F3F">
        <w:t xml:space="preserve">Bruegel, How to finance the European Union’s building decarbonisation plan, source: </w:t>
      </w:r>
      <w:hyperlink r:id="rId11" w:history="1">
        <w:r w:rsidRPr="00232F3F">
          <w:rPr>
            <w:rStyle w:val="Hyperlink"/>
          </w:rPr>
          <w:t>PB 12 2024.pdf</w:t>
        </w:r>
      </w:hyperlink>
      <w:r w:rsidRPr="00232F3F">
        <w:t>.</w:t>
      </w:r>
    </w:p>
  </w:footnote>
  <w:footnote w:id="15">
    <w:p w:rsidR="00880DD5" w:rsidRPr="00E17882" w:rsidRDefault="00880DD5" w:rsidP="00880DD5">
      <w:pPr>
        <w:pStyle w:val="FootnoteText"/>
        <w:rPr>
          <w:lang w:val="en-IE"/>
        </w:rPr>
      </w:pPr>
      <w:r w:rsidRPr="003D51A7">
        <w:rPr>
          <w:rStyle w:val="FootnoteReference"/>
        </w:rPr>
        <w:footnoteRef/>
      </w:r>
      <w:r w:rsidR="003D51A7">
        <w:tab/>
      </w:r>
      <w:r>
        <w:rPr>
          <w:lang w:val="en-IE"/>
        </w:rPr>
        <w:t xml:space="preserve">Final Recommendations, European Citizens’ Panel on Energy Efficiency, </w:t>
      </w:r>
      <w:r w:rsidRPr="00D80CC1">
        <w:rPr>
          <w:lang w:val="en-IE"/>
        </w:rPr>
        <w:t>https://citizens.ec.europa.eu/document/download/52a3608d-662c-4b0e-b463-684a9dbef302_en?filename=Final%20recommendations%20European%20Citizens%60%20Panel%20on%20Energy%20Efficiency.pdf</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F83" w:rsidRDefault="00D06F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6F83" w:rsidRDefault="00D06F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20024EF8"/>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7CFC3E82"/>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F10D366"/>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3C840F16"/>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F6B4182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6"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decimal"/>
      <w:pStyle w:val="NumPar5"/>
      <w:lvlText w:val="%1.%2.%3.%4.%5."/>
      <w:lvlJc w:val="left"/>
      <w:pPr>
        <w:tabs>
          <w:tab w:val="num" w:pos="1417"/>
        </w:tabs>
        <w:ind w:left="1417" w:hanging="1417"/>
      </w:pPr>
    </w:lvl>
    <w:lvl w:ilvl="5">
      <w:start w:val="1"/>
      <w:numFmt w:val="decimal"/>
      <w:pStyle w:val="NumPar6"/>
      <w:lvlText w:val="%1.%2.%3.%4.%5.%6."/>
      <w:lvlJc w:val="left"/>
      <w:pPr>
        <w:tabs>
          <w:tab w:val="num" w:pos="1417"/>
        </w:tabs>
        <w:ind w:left="1417" w:hanging="1417"/>
      </w:pPr>
    </w:lvl>
    <w:lvl w:ilvl="6">
      <w:start w:val="1"/>
      <w:numFmt w:val="decimal"/>
      <w:pStyle w:val="NumPar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8"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9"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0"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1" w15:restartNumberingAfterBreak="0">
    <w:nsid w:val="42FC077D"/>
    <w:multiLevelType w:val="singleLevel"/>
    <w:tmpl w:val="4128FD03"/>
    <w:name w:val="Tiret 5"/>
    <w:lvl w:ilvl="0">
      <w:start w:val="1"/>
      <w:numFmt w:val="bullet"/>
      <w:lvlRestart w:val="0"/>
      <w:pStyle w:val="Tiret5"/>
      <w:lvlText w:val="–"/>
      <w:lvlJc w:val="left"/>
      <w:pPr>
        <w:tabs>
          <w:tab w:val="num" w:pos="3685"/>
        </w:tabs>
        <w:ind w:left="3685" w:hanging="567"/>
      </w:pPr>
    </w:lvl>
  </w:abstractNum>
  <w:abstractNum w:abstractNumId="12"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3"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4"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5"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6"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17"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decimal"/>
      <w:pStyle w:val="Heading5"/>
      <w:lvlText w:val="%1.%2.%3.%4.%5."/>
      <w:lvlJc w:val="left"/>
      <w:pPr>
        <w:tabs>
          <w:tab w:val="num" w:pos="1417"/>
        </w:tabs>
        <w:ind w:left="1417" w:hanging="1417"/>
      </w:pPr>
    </w:lvl>
    <w:lvl w:ilvl="5">
      <w:start w:val="1"/>
      <w:numFmt w:val="decimal"/>
      <w:pStyle w:val="Heading6"/>
      <w:lvlText w:val="%1.%2.%3.%4.%5.%6."/>
      <w:lvlJc w:val="left"/>
      <w:pPr>
        <w:tabs>
          <w:tab w:val="num" w:pos="1417"/>
        </w:tabs>
        <w:ind w:left="1417" w:hanging="1417"/>
      </w:pPr>
    </w:lvl>
    <w:lvl w:ilvl="6">
      <w:start w:val="1"/>
      <w:numFmt w:val="decimal"/>
      <w:pStyle w:val="Heading7"/>
      <w:lvlText w:val="%1.%2.%3.%4.%5.%6.%7."/>
      <w:lvlJc w:val="left"/>
      <w:pPr>
        <w:tabs>
          <w:tab w:val="num" w:pos="1417"/>
        </w:tabs>
        <w:ind w:left="1417" w:hanging="1417"/>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19"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abstractNumId w:val="4"/>
  </w:num>
  <w:num w:numId="2">
    <w:abstractNumId w:val="2"/>
  </w:num>
  <w:num w:numId="3">
    <w:abstractNumId w:val="1"/>
  </w:num>
  <w:num w:numId="4">
    <w:abstractNumId w:val="0"/>
  </w:num>
  <w:num w:numId="5">
    <w:abstractNumId w:val="3"/>
  </w:num>
  <w:num w:numId="6">
    <w:abstractNumId w:val="19"/>
    <w:lvlOverride w:ilvl="0">
      <w:startOverride w:val="1"/>
    </w:lvlOverride>
  </w:num>
  <w:num w:numId="7">
    <w:abstractNumId w:val="9"/>
    <w:lvlOverride w:ilvl="0">
      <w:startOverride w:val="1"/>
    </w:lvlOverride>
  </w:num>
  <w:num w:numId="8">
    <w:abstractNumId w:val="16"/>
  </w:num>
  <w:num w:numId="9">
    <w:abstractNumId w:val="9"/>
  </w:num>
  <w:num w:numId="10">
    <w:abstractNumId w:val="18"/>
  </w:num>
  <w:num w:numId="11">
    <w:abstractNumId w:val="8"/>
  </w:num>
  <w:num w:numId="12">
    <w:abstractNumId w:val="10"/>
  </w:num>
  <w:num w:numId="13">
    <w:abstractNumId w:val="11"/>
  </w:num>
  <w:num w:numId="14">
    <w:abstractNumId w:val="6"/>
  </w:num>
  <w:num w:numId="15">
    <w:abstractNumId w:val="17"/>
  </w:num>
  <w:num w:numId="16">
    <w:abstractNumId w:val="5"/>
  </w:num>
  <w:num w:numId="17">
    <w:abstractNumId w:val="12"/>
  </w:num>
  <w:num w:numId="18">
    <w:abstractNumId w:val="14"/>
  </w:num>
  <w:num w:numId="19">
    <w:abstractNumId w:val="15"/>
  </w:num>
  <w:num w:numId="20">
    <w:abstractNumId w:val="7"/>
  </w:num>
  <w:num w:numId="21">
    <w:abstractNumId w:val="13"/>
  </w:num>
  <w:num w:numId="22">
    <w:abstractNumId w:val="1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hideSpellingErrors/>
  <w:hideGrammaticalErrors/>
  <w:attachedTemplate r:id="rId1"/>
  <w:revisionView w:markup="0"/>
  <w:defaultTabStop w:val="720"/>
  <w:hyphenationZone w:val="425"/>
  <w:characterSpacingControl w:val="doNotCompress"/>
  <w:hdrShapeDefaults>
    <o:shapedefaults v:ext="edit" spidmax="2052"/>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_RefLast" w:val="0"/>
    <w:docVar w:name="DQCDateTime" w:val="2026-03-04 20:31:22"/>
    <w:docVar w:name="DQCResult_Distribution" w:val="0;0"/>
    <w:docVar w:name="DQCResult_DocumentContent" w:val="0;0"/>
    <w:docVar w:name="DQCResult_DocumentSize" w:val="0;0"/>
    <w:docVar w:name="DQCResult_InvalidFootnotes" w:val="0;0"/>
    <w:docVar w:name="DQCResult_ModifiedMarkers" w:val="0;0"/>
    <w:docVar w:name="DQCResult_ModifiedNumbering" w:val="0;0"/>
    <w:docVar w:name="DQCResult_Objects" w:val="0;0"/>
    <w:docVar w:name="DQCResult_StructureCheck" w:val="0;0"/>
    <w:docVar w:name="DQCStatus" w:val="Green"/>
    <w:docVar w:name="DQCVersion" w:val="3"/>
    <w:docVar w:name="DQCWithWarnings" w:val="0"/>
    <w:docVar w:name="LW_CORRIGENDUM" w:val="&lt;UNUSED&gt;"/>
    <w:docVar w:name="LW_COVERPAGE_EXISTS" w:val="True"/>
    <w:docVar w:name="LW_COVERPAGE_GUID" w:val="2FC30AD2-0B2F-4CA0-8B92-AEC0B8E8CBBF"/>
    <w:docVar w:name="LW_COVERPAGE_TYPE" w:val="1"/>
    <w:docVar w:name="LW_CROSSREFERENCE" w:val="&lt;UNUSED&gt;"/>
    <w:docVar w:name="LW_DATE.ADOPT.CP" w:val="of 10.3.2026"/>
    <w:docVar w:name="LW_DATE.ADOPT.CP_DATEFORMAT" w:val="of %DATE%"/>
    <w:docVar w:name="LW_DATE.ADOPT.CP_ISODATE" w:val="2026-03-10"/>
    <w:docVar w:name="LW_DocType" w:val="COM"/>
    <w:docVar w:name="LW_EMISSION" w:val="10.3.2026"/>
    <w:docVar w:name="LW_EMISSION_ISODATE" w:val="2026-03-10"/>
    <w:docVar w:name="LW_EMISSION_LOCATION" w:val="BRX"/>
    <w:docVar w:name="LW_EMISSION_PREFIX" w:val="Brussels, "/>
    <w:docVar w:name="LW_EMISSION_SUFFIX" w:val=" "/>
    <w:docVar w:name="LW_ID_DOCMODEL" w:val="SJ-014"/>
    <w:docVar w:name="LW_ID_DOCSIGNATURE" w:val="SJ-014"/>
    <w:docVar w:name="LW_ID_DOCSTRUCTURE" w:val="COM/AA/NOEEA"/>
    <w:docVar w:name="LW_ID_DOCTYPE" w:val="SJ-014"/>
    <w:docVar w:name="LW_LANGUE" w:val="EN"/>
    <w:docVar w:name="LW_LANGUESFAISANTFOI.CP" w:val="&lt;UNUSED&gt;"/>
    <w:docVar w:name="LW_LEVEL_OF_SENSITIVITY" w:val="Standard treatment"/>
    <w:docVar w:name="LW_NOM.INST" w:val="EUROPEAN COMMISSION"/>
    <w:docVar w:name="LW_NOM.INST_JOINTDOC" w:val="&lt;EMPTY&gt;"/>
    <w:docVar w:name="LW_PART_NBR" w:val="1"/>
    <w:docVar w:name="LW_PART_NBR_TOTAL" w:val="1"/>
    <w:docVar w:name="LW_REF.INST.NEW" w:val="C"/>
    <w:docVar w:name="LW_REF.INST.NEW_ADOPTED" w:val="final"/>
    <w:docVar w:name="LW_REF.INST.NEW_TEXT" w:val="(2026) 1526"/>
    <w:docVar w:name="LW_REF.INTERNE" w:val="&lt;UNUSED&gt;"/>
    <w:docVar w:name="LW_SENSITIVITY" w:val="&lt;?xml version=&quot;1.0&quot; encoding=&quot;utf-8&quot;?&gt;_x000d__x000a_&lt;SensitivityLevel xmlns:xsd=&quot;http://www.w3.org/2001/XMLSchema&quot; xmlns:xsi=&quot;http://www.w3.org/2001/XMLSchema-instance&quot; id=&quot;standard&quot;&gt;_x000d__x000a_  &lt;nicename EN=&quot;Standard treatment&quot; FR=&quot;Traitement standard&quot; /&gt;_x000d__x000a_  &lt;documentProperty&gt;Standard treatment&lt;/documentProperty&gt;_x000d__x000a_  &lt;markingConfig isAvailable=&quot;false&quot; isMandatory=&quot;false&quot; sensitiveMarkingMandatory=&quot;false&quot; specialMarkingMandatory=&quot;true&quot; isOptionDisplayInHeaderAvailable=&quot;true&quot; sensitiveMarkingListSee=&quot;SensitiveMarkings&quot; specialMarkingListSee=&quot;SpecialMarkings&quot; sensitiveFootnoteTextSee=&quot;sensitiveFootnote&quot; specialFootnoteTextSee=&quot;specialFootnote&quot; /&gt;_x000d__x000a_  &lt;chosenMainMarking xsi:nil=&quot;true&quot; /&gt;_x000d__x000a_  &lt;dateMarking xsi:nil=&quot;true&quot; /&gt;_x000d__x000a_  &lt;releasableToConfig isAvailable=&quot;false&quot; institutionListSee=&quot;DefaultInstitutions&quot; /&gt;_x000d__x000a_  &lt;chosenReleasableTo xsi:nil=&quot;true&quot; /&gt;_x000d__x000a_  &lt;detached xsi:nil=&quot;true&quot; /&gt;_x000d__x000a_  &lt;declassify xsi:nil=&quot;true&quot; /&gt;_x000d__x000a_  &lt;headerTexts xsi:nil=&quot;true&quot; /&gt;_x000d__x000a_  &lt;footerTexts xsi:nil=&quot;true&quot; /&gt;_x000d__x000a_  &lt;isRestricted&gt;false&lt;/isRestricted&gt;_x000d__x000a_&lt;/SensitivityLevel&gt;"/>
    <w:docVar w:name="LW_SUPERTITRE" w:val="&lt;UNUSED&gt;"/>
    <w:docVar w:name="LW_TITRE.OBJ.CP" w:val="on unlocking private investment in energy efficiency"/>
    <w:docVar w:name="LW_TYPE.DOC.CP" w:val="COMMISSION RECOMMENDATION"/>
    <w:docVar w:name="LwApiVersions" w:val="LW4CoDe 1.24.5.0; LW 9.2, Build 20251112"/>
  </w:docVars>
  <w:rsids>
    <w:rsidRoot w:val="00B60058"/>
    <w:rsid w:val="00000B11"/>
    <w:rsid w:val="000016C4"/>
    <w:rsid w:val="00002552"/>
    <w:rsid w:val="00002644"/>
    <w:rsid w:val="000032FE"/>
    <w:rsid w:val="0000433B"/>
    <w:rsid w:val="000048B6"/>
    <w:rsid w:val="000048EE"/>
    <w:rsid w:val="00004A16"/>
    <w:rsid w:val="0000514A"/>
    <w:rsid w:val="00005BF2"/>
    <w:rsid w:val="00007F26"/>
    <w:rsid w:val="00010136"/>
    <w:rsid w:val="0001171F"/>
    <w:rsid w:val="00011C71"/>
    <w:rsid w:val="000126F9"/>
    <w:rsid w:val="00014454"/>
    <w:rsid w:val="00015FA3"/>
    <w:rsid w:val="0001603D"/>
    <w:rsid w:val="000165BA"/>
    <w:rsid w:val="00017E33"/>
    <w:rsid w:val="00017EE7"/>
    <w:rsid w:val="00021526"/>
    <w:rsid w:val="00021A7E"/>
    <w:rsid w:val="000222A1"/>
    <w:rsid w:val="000224ED"/>
    <w:rsid w:val="00022EB6"/>
    <w:rsid w:val="00023ADE"/>
    <w:rsid w:val="00024180"/>
    <w:rsid w:val="00024811"/>
    <w:rsid w:val="0002486B"/>
    <w:rsid w:val="0002790A"/>
    <w:rsid w:val="0003024A"/>
    <w:rsid w:val="0003454B"/>
    <w:rsid w:val="00035650"/>
    <w:rsid w:val="00035FAC"/>
    <w:rsid w:val="00037D40"/>
    <w:rsid w:val="00037E2E"/>
    <w:rsid w:val="00042A3A"/>
    <w:rsid w:val="0004518B"/>
    <w:rsid w:val="0005056B"/>
    <w:rsid w:val="0005113B"/>
    <w:rsid w:val="000519FF"/>
    <w:rsid w:val="0005236C"/>
    <w:rsid w:val="00052640"/>
    <w:rsid w:val="00052AD5"/>
    <w:rsid w:val="00052C57"/>
    <w:rsid w:val="000530DA"/>
    <w:rsid w:val="000532E8"/>
    <w:rsid w:val="0005344C"/>
    <w:rsid w:val="0005358E"/>
    <w:rsid w:val="00055AB8"/>
    <w:rsid w:val="0005661A"/>
    <w:rsid w:val="00057ABC"/>
    <w:rsid w:val="00057D47"/>
    <w:rsid w:val="00060210"/>
    <w:rsid w:val="00061B8F"/>
    <w:rsid w:val="000639A3"/>
    <w:rsid w:val="00071585"/>
    <w:rsid w:val="0007181B"/>
    <w:rsid w:val="00073428"/>
    <w:rsid w:val="00073ACE"/>
    <w:rsid w:val="00073C56"/>
    <w:rsid w:val="00073D80"/>
    <w:rsid w:val="000748CA"/>
    <w:rsid w:val="00074C81"/>
    <w:rsid w:val="00074E0A"/>
    <w:rsid w:val="00075F50"/>
    <w:rsid w:val="000772F3"/>
    <w:rsid w:val="00077844"/>
    <w:rsid w:val="000803D2"/>
    <w:rsid w:val="00081F6F"/>
    <w:rsid w:val="000838B5"/>
    <w:rsid w:val="000856A8"/>
    <w:rsid w:val="0008676C"/>
    <w:rsid w:val="000868D9"/>
    <w:rsid w:val="0009042A"/>
    <w:rsid w:val="0009156D"/>
    <w:rsid w:val="00092718"/>
    <w:rsid w:val="00093688"/>
    <w:rsid w:val="000954BD"/>
    <w:rsid w:val="000A05FB"/>
    <w:rsid w:val="000A5F9E"/>
    <w:rsid w:val="000A7B82"/>
    <w:rsid w:val="000B152B"/>
    <w:rsid w:val="000B2100"/>
    <w:rsid w:val="000B2872"/>
    <w:rsid w:val="000B3122"/>
    <w:rsid w:val="000B3D34"/>
    <w:rsid w:val="000B3D52"/>
    <w:rsid w:val="000B41F7"/>
    <w:rsid w:val="000B4942"/>
    <w:rsid w:val="000B5CBB"/>
    <w:rsid w:val="000B6F55"/>
    <w:rsid w:val="000B701D"/>
    <w:rsid w:val="000B7A55"/>
    <w:rsid w:val="000C02F7"/>
    <w:rsid w:val="000C0D5E"/>
    <w:rsid w:val="000C2382"/>
    <w:rsid w:val="000C3DB9"/>
    <w:rsid w:val="000C5391"/>
    <w:rsid w:val="000C61C2"/>
    <w:rsid w:val="000C655F"/>
    <w:rsid w:val="000C6C69"/>
    <w:rsid w:val="000C73D7"/>
    <w:rsid w:val="000C7FED"/>
    <w:rsid w:val="000D2E67"/>
    <w:rsid w:val="000D3B18"/>
    <w:rsid w:val="000D3D40"/>
    <w:rsid w:val="000D49D2"/>
    <w:rsid w:val="000D5130"/>
    <w:rsid w:val="000D51C2"/>
    <w:rsid w:val="000D5DE1"/>
    <w:rsid w:val="000D5E4D"/>
    <w:rsid w:val="000D79A6"/>
    <w:rsid w:val="000E030B"/>
    <w:rsid w:val="000E1710"/>
    <w:rsid w:val="000E2C51"/>
    <w:rsid w:val="000E414E"/>
    <w:rsid w:val="000E41BF"/>
    <w:rsid w:val="000E479E"/>
    <w:rsid w:val="000E6B21"/>
    <w:rsid w:val="000E7415"/>
    <w:rsid w:val="000E75C7"/>
    <w:rsid w:val="000F0AFB"/>
    <w:rsid w:val="000F2441"/>
    <w:rsid w:val="000F2D77"/>
    <w:rsid w:val="000F3990"/>
    <w:rsid w:val="000F4390"/>
    <w:rsid w:val="000F5861"/>
    <w:rsid w:val="000F6651"/>
    <w:rsid w:val="00100AF6"/>
    <w:rsid w:val="0010123D"/>
    <w:rsid w:val="0010159B"/>
    <w:rsid w:val="001016B5"/>
    <w:rsid w:val="00101B63"/>
    <w:rsid w:val="00101E9D"/>
    <w:rsid w:val="001022B1"/>
    <w:rsid w:val="00102C1D"/>
    <w:rsid w:val="00103EC0"/>
    <w:rsid w:val="00105911"/>
    <w:rsid w:val="00105D8E"/>
    <w:rsid w:val="00105E50"/>
    <w:rsid w:val="001065F5"/>
    <w:rsid w:val="00107503"/>
    <w:rsid w:val="00107D93"/>
    <w:rsid w:val="0011002D"/>
    <w:rsid w:val="001104BD"/>
    <w:rsid w:val="0011117F"/>
    <w:rsid w:val="00111382"/>
    <w:rsid w:val="00111BAA"/>
    <w:rsid w:val="00111CA1"/>
    <w:rsid w:val="00112A5C"/>
    <w:rsid w:val="00113617"/>
    <w:rsid w:val="00114B04"/>
    <w:rsid w:val="00116A4C"/>
    <w:rsid w:val="00117585"/>
    <w:rsid w:val="00117DE8"/>
    <w:rsid w:val="00120319"/>
    <w:rsid w:val="001207B5"/>
    <w:rsid w:val="00120D45"/>
    <w:rsid w:val="00121010"/>
    <w:rsid w:val="0012101C"/>
    <w:rsid w:val="00121042"/>
    <w:rsid w:val="00122E94"/>
    <w:rsid w:val="001232F5"/>
    <w:rsid w:val="001238EF"/>
    <w:rsid w:val="001241BB"/>
    <w:rsid w:val="00124C18"/>
    <w:rsid w:val="001260B4"/>
    <w:rsid w:val="001262CB"/>
    <w:rsid w:val="001264AF"/>
    <w:rsid w:val="00130C28"/>
    <w:rsid w:val="001312F6"/>
    <w:rsid w:val="00131C77"/>
    <w:rsid w:val="0013271E"/>
    <w:rsid w:val="00133320"/>
    <w:rsid w:val="0013333E"/>
    <w:rsid w:val="0013483C"/>
    <w:rsid w:val="00134B0F"/>
    <w:rsid w:val="0013722E"/>
    <w:rsid w:val="00137D91"/>
    <w:rsid w:val="00140194"/>
    <w:rsid w:val="00141941"/>
    <w:rsid w:val="001426A4"/>
    <w:rsid w:val="00143930"/>
    <w:rsid w:val="00143AC6"/>
    <w:rsid w:val="0014478E"/>
    <w:rsid w:val="00145003"/>
    <w:rsid w:val="0014594E"/>
    <w:rsid w:val="00146AF4"/>
    <w:rsid w:val="00147153"/>
    <w:rsid w:val="00150E42"/>
    <w:rsid w:val="001512D8"/>
    <w:rsid w:val="0015174B"/>
    <w:rsid w:val="00151BA4"/>
    <w:rsid w:val="001526E9"/>
    <w:rsid w:val="00152CD4"/>
    <w:rsid w:val="00152D90"/>
    <w:rsid w:val="001552B8"/>
    <w:rsid w:val="001566D2"/>
    <w:rsid w:val="00156BC5"/>
    <w:rsid w:val="0016057B"/>
    <w:rsid w:val="00160D73"/>
    <w:rsid w:val="00160DC5"/>
    <w:rsid w:val="00161919"/>
    <w:rsid w:val="001668FA"/>
    <w:rsid w:val="00167A68"/>
    <w:rsid w:val="00170245"/>
    <w:rsid w:val="00171077"/>
    <w:rsid w:val="00171615"/>
    <w:rsid w:val="00173239"/>
    <w:rsid w:val="00174117"/>
    <w:rsid w:val="001741E1"/>
    <w:rsid w:val="0017469D"/>
    <w:rsid w:val="00175391"/>
    <w:rsid w:val="001763A6"/>
    <w:rsid w:val="00177995"/>
    <w:rsid w:val="00180F31"/>
    <w:rsid w:val="0018152A"/>
    <w:rsid w:val="001836EC"/>
    <w:rsid w:val="00184242"/>
    <w:rsid w:val="00184419"/>
    <w:rsid w:val="001846D6"/>
    <w:rsid w:val="00185E42"/>
    <w:rsid w:val="0018631A"/>
    <w:rsid w:val="001919BB"/>
    <w:rsid w:val="001921AE"/>
    <w:rsid w:val="00192553"/>
    <w:rsid w:val="00193A05"/>
    <w:rsid w:val="001945C3"/>
    <w:rsid w:val="00195DCA"/>
    <w:rsid w:val="00195F41"/>
    <w:rsid w:val="00196125"/>
    <w:rsid w:val="0019671E"/>
    <w:rsid w:val="00197085"/>
    <w:rsid w:val="00197094"/>
    <w:rsid w:val="00197613"/>
    <w:rsid w:val="00197AF9"/>
    <w:rsid w:val="00197BAF"/>
    <w:rsid w:val="001A1889"/>
    <w:rsid w:val="001A2701"/>
    <w:rsid w:val="001A515C"/>
    <w:rsid w:val="001A5A6D"/>
    <w:rsid w:val="001A5A75"/>
    <w:rsid w:val="001A5CFA"/>
    <w:rsid w:val="001A615C"/>
    <w:rsid w:val="001A6891"/>
    <w:rsid w:val="001A7AB6"/>
    <w:rsid w:val="001B0AF2"/>
    <w:rsid w:val="001B179E"/>
    <w:rsid w:val="001B2BA6"/>
    <w:rsid w:val="001B354D"/>
    <w:rsid w:val="001B41CD"/>
    <w:rsid w:val="001B4C24"/>
    <w:rsid w:val="001B56AD"/>
    <w:rsid w:val="001B5DB7"/>
    <w:rsid w:val="001B5EB1"/>
    <w:rsid w:val="001B5FBF"/>
    <w:rsid w:val="001B69FB"/>
    <w:rsid w:val="001B76EF"/>
    <w:rsid w:val="001B7E48"/>
    <w:rsid w:val="001B7F8C"/>
    <w:rsid w:val="001C09F2"/>
    <w:rsid w:val="001C11B0"/>
    <w:rsid w:val="001C1466"/>
    <w:rsid w:val="001C4443"/>
    <w:rsid w:val="001C5F49"/>
    <w:rsid w:val="001C7937"/>
    <w:rsid w:val="001D028A"/>
    <w:rsid w:val="001D08D6"/>
    <w:rsid w:val="001D0C41"/>
    <w:rsid w:val="001D131D"/>
    <w:rsid w:val="001D13CC"/>
    <w:rsid w:val="001D20FD"/>
    <w:rsid w:val="001D2AEF"/>
    <w:rsid w:val="001D461D"/>
    <w:rsid w:val="001D4CB2"/>
    <w:rsid w:val="001D509B"/>
    <w:rsid w:val="001D5230"/>
    <w:rsid w:val="001D5B62"/>
    <w:rsid w:val="001D74AD"/>
    <w:rsid w:val="001E1CB2"/>
    <w:rsid w:val="001E2A04"/>
    <w:rsid w:val="001E5875"/>
    <w:rsid w:val="001E60F1"/>
    <w:rsid w:val="001E6731"/>
    <w:rsid w:val="001E756F"/>
    <w:rsid w:val="001E75F5"/>
    <w:rsid w:val="001E7A26"/>
    <w:rsid w:val="001E7BC0"/>
    <w:rsid w:val="001E7CD1"/>
    <w:rsid w:val="001F1547"/>
    <w:rsid w:val="001F1957"/>
    <w:rsid w:val="001F27C2"/>
    <w:rsid w:val="001F3722"/>
    <w:rsid w:val="001F4393"/>
    <w:rsid w:val="001F4C64"/>
    <w:rsid w:val="001F4D3C"/>
    <w:rsid w:val="001F5024"/>
    <w:rsid w:val="0020046E"/>
    <w:rsid w:val="00200D75"/>
    <w:rsid w:val="00202061"/>
    <w:rsid w:val="00202250"/>
    <w:rsid w:val="00202310"/>
    <w:rsid w:val="002038B3"/>
    <w:rsid w:val="002042FE"/>
    <w:rsid w:val="0020603C"/>
    <w:rsid w:val="00206138"/>
    <w:rsid w:val="00206DF4"/>
    <w:rsid w:val="002112B5"/>
    <w:rsid w:val="002116E9"/>
    <w:rsid w:val="002118C7"/>
    <w:rsid w:val="00213655"/>
    <w:rsid w:val="00213C00"/>
    <w:rsid w:val="00214833"/>
    <w:rsid w:val="00214BCA"/>
    <w:rsid w:val="00215094"/>
    <w:rsid w:val="00215B79"/>
    <w:rsid w:val="002176EC"/>
    <w:rsid w:val="00217A48"/>
    <w:rsid w:val="00220322"/>
    <w:rsid w:val="00220EF7"/>
    <w:rsid w:val="002235C3"/>
    <w:rsid w:val="0022467F"/>
    <w:rsid w:val="00224BA7"/>
    <w:rsid w:val="00225A6D"/>
    <w:rsid w:val="0022607A"/>
    <w:rsid w:val="0022785D"/>
    <w:rsid w:val="0022795E"/>
    <w:rsid w:val="00230F87"/>
    <w:rsid w:val="002322E6"/>
    <w:rsid w:val="00232DE8"/>
    <w:rsid w:val="00233DC7"/>
    <w:rsid w:val="00234DBC"/>
    <w:rsid w:val="00235349"/>
    <w:rsid w:val="00235865"/>
    <w:rsid w:val="00236B14"/>
    <w:rsid w:val="00237FE3"/>
    <w:rsid w:val="00240272"/>
    <w:rsid w:val="00240A92"/>
    <w:rsid w:val="00241BB5"/>
    <w:rsid w:val="002420AD"/>
    <w:rsid w:val="002424FD"/>
    <w:rsid w:val="0024328C"/>
    <w:rsid w:val="00243E63"/>
    <w:rsid w:val="00244958"/>
    <w:rsid w:val="00244A96"/>
    <w:rsid w:val="00245224"/>
    <w:rsid w:val="00245668"/>
    <w:rsid w:val="002460F1"/>
    <w:rsid w:val="00246F05"/>
    <w:rsid w:val="00247779"/>
    <w:rsid w:val="002477A0"/>
    <w:rsid w:val="002479AC"/>
    <w:rsid w:val="00247A5C"/>
    <w:rsid w:val="00247E15"/>
    <w:rsid w:val="002534E8"/>
    <w:rsid w:val="00254C3C"/>
    <w:rsid w:val="00254DF3"/>
    <w:rsid w:val="002550B2"/>
    <w:rsid w:val="002554DF"/>
    <w:rsid w:val="00255F3D"/>
    <w:rsid w:val="00256652"/>
    <w:rsid w:val="00256EF8"/>
    <w:rsid w:val="00257382"/>
    <w:rsid w:val="002608E0"/>
    <w:rsid w:val="0026279A"/>
    <w:rsid w:val="00265500"/>
    <w:rsid w:val="0026562E"/>
    <w:rsid w:val="002667D0"/>
    <w:rsid w:val="00270163"/>
    <w:rsid w:val="00270D9C"/>
    <w:rsid w:val="00270F36"/>
    <w:rsid w:val="00271737"/>
    <w:rsid w:val="0027310D"/>
    <w:rsid w:val="00275847"/>
    <w:rsid w:val="00275FA7"/>
    <w:rsid w:val="002805A6"/>
    <w:rsid w:val="00280C1E"/>
    <w:rsid w:val="00281D69"/>
    <w:rsid w:val="00282440"/>
    <w:rsid w:val="00282560"/>
    <w:rsid w:val="002828C2"/>
    <w:rsid w:val="00282948"/>
    <w:rsid w:val="0028515F"/>
    <w:rsid w:val="00285BEE"/>
    <w:rsid w:val="00290B80"/>
    <w:rsid w:val="00290D34"/>
    <w:rsid w:val="0029503F"/>
    <w:rsid w:val="0029533F"/>
    <w:rsid w:val="00296B9A"/>
    <w:rsid w:val="00296D84"/>
    <w:rsid w:val="002975D5"/>
    <w:rsid w:val="00297880"/>
    <w:rsid w:val="00297A8F"/>
    <w:rsid w:val="002A0010"/>
    <w:rsid w:val="002A015C"/>
    <w:rsid w:val="002A0AE4"/>
    <w:rsid w:val="002A1D68"/>
    <w:rsid w:val="002A3043"/>
    <w:rsid w:val="002A352B"/>
    <w:rsid w:val="002A398F"/>
    <w:rsid w:val="002A3B20"/>
    <w:rsid w:val="002A3BD6"/>
    <w:rsid w:val="002A3FB5"/>
    <w:rsid w:val="002A48EA"/>
    <w:rsid w:val="002A4F94"/>
    <w:rsid w:val="002A5553"/>
    <w:rsid w:val="002A5CE6"/>
    <w:rsid w:val="002A61AE"/>
    <w:rsid w:val="002A68E9"/>
    <w:rsid w:val="002A728D"/>
    <w:rsid w:val="002B061F"/>
    <w:rsid w:val="002B0855"/>
    <w:rsid w:val="002B18B6"/>
    <w:rsid w:val="002B30AF"/>
    <w:rsid w:val="002B4082"/>
    <w:rsid w:val="002B44DC"/>
    <w:rsid w:val="002B63CC"/>
    <w:rsid w:val="002B648B"/>
    <w:rsid w:val="002B6504"/>
    <w:rsid w:val="002B7E29"/>
    <w:rsid w:val="002C06A0"/>
    <w:rsid w:val="002C27C8"/>
    <w:rsid w:val="002C33E7"/>
    <w:rsid w:val="002C35E5"/>
    <w:rsid w:val="002C37DD"/>
    <w:rsid w:val="002C3A5A"/>
    <w:rsid w:val="002C473A"/>
    <w:rsid w:val="002C47A9"/>
    <w:rsid w:val="002C5925"/>
    <w:rsid w:val="002C7110"/>
    <w:rsid w:val="002C7321"/>
    <w:rsid w:val="002C75D7"/>
    <w:rsid w:val="002D0EB3"/>
    <w:rsid w:val="002D14B0"/>
    <w:rsid w:val="002D1A6F"/>
    <w:rsid w:val="002D1C7D"/>
    <w:rsid w:val="002D3DBD"/>
    <w:rsid w:val="002D3E9A"/>
    <w:rsid w:val="002D46E2"/>
    <w:rsid w:val="002D5F80"/>
    <w:rsid w:val="002D6249"/>
    <w:rsid w:val="002D69E7"/>
    <w:rsid w:val="002D72F0"/>
    <w:rsid w:val="002D74DE"/>
    <w:rsid w:val="002D75C1"/>
    <w:rsid w:val="002D7D25"/>
    <w:rsid w:val="002E0DCA"/>
    <w:rsid w:val="002E1BB7"/>
    <w:rsid w:val="002E1F90"/>
    <w:rsid w:val="002E20FC"/>
    <w:rsid w:val="002E2425"/>
    <w:rsid w:val="002E2E9D"/>
    <w:rsid w:val="002E37BE"/>
    <w:rsid w:val="002E4359"/>
    <w:rsid w:val="002E480C"/>
    <w:rsid w:val="002E4B51"/>
    <w:rsid w:val="002E6216"/>
    <w:rsid w:val="002E69A1"/>
    <w:rsid w:val="002E7908"/>
    <w:rsid w:val="002F01D0"/>
    <w:rsid w:val="002F0C88"/>
    <w:rsid w:val="002F1282"/>
    <w:rsid w:val="002F2930"/>
    <w:rsid w:val="002F35B1"/>
    <w:rsid w:val="002F3DF0"/>
    <w:rsid w:val="002F4854"/>
    <w:rsid w:val="002F4DC6"/>
    <w:rsid w:val="002F4F5A"/>
    <w:rsid w:val="002F6B60"/>
    <w:rsid w:val="002F6B8B"/>
    <w:rsid w:val="002F72FC"/>
    <w:rsid w:val="003004E2"/>
    <w:rsid w:val="003015F6"/>
    <w:rsid w:val="003025EC"/>
    <w:rsid w:val="00302D60"/>
    <w:rsid w:val="00303C12"/>
    <w:rsid w:val="00303EC4"/>
    <w:rsid w:val="003059A1"/>
    <w:rsid w:val="00305BCB"/>
    <w:rsid w:val="00310018"/>
    <w:rsid w:val="003112D4"/>
    <w:rsid w:val="003112EA"/>
    <w:rsid w:val="00311F4B"/>
    <w:rsid w:val="00312059"/>
    <w:rsid w:val="0031325A"/>
    <w:rsid w:val="00314095"/>
    <w:rsid w:val="00314437"/>
    <w:rsid w:val="003150C1"/>
    <w:rsid w:val="003156D6"/>
    <w:rsid w:val="00315982"/>
    <w:rsid w:val="00316F7F"/>
    <w:rsid w:val="003171FF"/>
    <w:rsid w:val="00320269"/>
    <w:rsid w:val="00320C27"/>
    <w:rsid w:val="003212BA"/>
    <w:rsid w:val="00323D9F"/>
    <w:rsid w:val="003244B1"/>
    <w:rsid w:val="003250A7"/>
    <w:rsid w:val="00325115"/>
    <w:rsid w:val="00325322"/>
    <w:rsid w:val="00326A59"/>
    <w:rsid w:val="00326CA7"/>
    <w:rsid w:val="00326D84"/>
    <w:rsid w:val="00327469"/>
    <w:rsid w:val="00327631"/>
    <w:rsid w:val="00327D34"/>
    <w:rsid w:val="00327FB3"/>
    <w:rsid w:val="00330062"/>
    <w:rsid w:val="003321A6"/>
    <w:rsid w:val="00332B74"/>
    <w:rsid w:val="0033344A"/>
    <w:rsid w:val="00333D72"/>
    <w:rsid w:val="00336297"/>
    <w:rsid w:val="003364D8"/>
    <w:rsid w:val="00336819"/>
    <w:rsid w:val="00337085"/>
    <w:rsid w:val="0034029E"/>
    <w:rsid w:val="00341BC1"/>
    <w:rsid w:val="00341E6A"/>
    <w:rsid w:val="00342EC1"/>
    <w:rsid w:val="00343844"/>
    <w:rsid w:val="00343DBA"/>
    <w:rsid w:val="0034401F"/>
    <w:rsid w:val="00344444"/>
    <w:rsid w:val="00345A6F"/>
    <w:rsid w:val="00345D22"/>
    <w:rsid w:val="00346462"/>
    <w:rsid w:val="00347772"/>
    <w:rsid w:val="00351544"/>
    <w:rsid w:val="00351ECA"/>
    <w:rsid w:val="00351EF6"/>
    <w:rsid w:val="00354371"/>
    <w:rsid w:val="0035446D"/>
    <w:rsid w:val="003565B1"/>
    <w:rsid w:val="00361115"/>
    <w:rsid w:val="00361719"/>
    <w:rsid w:val="00361CC2"/>
    <w:rsid w:val="00363FB9"/>
    <w:rsid w:val="003643DB"/>
    <w:rsid w:val="00364F8C"/>
    <w:rsid w:val="003713B5"/>
    <w:rsid w:val="003717DE"/>
    <w:rsid w:val="00372D2B"/>
    <w:rsid w:val="00374D61"/>
    <w:rsid w:val="00374FBF"/>
    <w:rsid w:val="00375CD8"/>
    <w:rsid w:val="00376130"/>
    <w:rsid w:val="003764CF"/>
    <w:rsid w:val="00376B3E"/>
    <w:rsid w:val="00380044"/>
    <w:rsid w:val="00380C5E"/>
    <w:rsid w:val="00381313"/>
    <w:rsid w:val="00381A7F"/>
    <w:rsid w:val="003831E0"/>
    <w:rsid w:val="00383328"/>
    <w:rsid w:val="00383CDE"/>
    <w:rsid w:val="00384A86"/>
    <w:rsid w:val="00385C4E"/>
    <w:rsid w:val="00386915"/>
    <w:rsid w:val="003874C0"/>
    <w:rsid w:val="003876ED"/>
    <w:rsid w:val="003879B6"/>
    <w:rsid w:val="00390608"/>
    <w:rsid w:val="003907F4"/>
    <w:rsid w:val="00390E8B"/>
    <w:rsid w:val="00390F61"/>
    <w:rsid w:val="00391DFF"/>
    <w:rsid w:val="00394003"/>
    <w:rsid w:val="0039409E"/>
    <w:rsid w:val="00396230"/>
    <w:rsid w:val="00396436"/>
    <w:rsid w:val="0039698C"/>
    <w:rsid w:val="003A3013"/>
    <w:rsid w:val="003A3325"/>
    <w:rsid w:val="003A4331"/>
    <w:rsid w:val="003A5C3E"/>
    <w:rsid w:val="003A6F59"/>
    <w:rsid w:val="003A7063"/>
    <w:rsid w:val="003A7156"/>
    <w:rsid w:val="003A7160"/>
    <w:rsid w:val="003B0D24"/>
    <w:rsid w:val="003B23DB"/>
    <w:rsid w:val="003B5064"/>
    <w:rsid w:val="003B6ED7"/>
    <w:rsid w:val="003B7A7C"/>
    <w:rsid w:val="003C0542"/>
    <w:rsid w:val="003C06A7"/>
    <w:rsid w:val="003C33B2"/>
    <w:rsid w:val="003C4816"/>
    <w:rsid w:val="003C481D"/>
    <w:rsid w:val="003C539C"/>
    <w:rsid w:val="003C5C53"/>
    <w:rsid w:val="003C64C8"/>
    <w:rsid w:val="003C6FBD"/>
    <w:rsid w:val="003D51A7"/>
    <w:rsid w:val="003D562E"/>
    <w:rsid w:val="003D66A2"/>
    <w:rsid w:val="003E4946"/>
    <w:rsid w:val="003E4EA6"/>
    <w:rsid w:val="003E4F1F"/>
    <w:rsid w:val="003E6754"/>
    <w:rsid w:val="003E67A2"/>
    <w:rsid w:val="003F0256"/>
    <w:rsid w:val="003F0D12"/>
    <w:rsid w:val="003F18FF"/>
    <w:rsid w:val="003F1A5E"/>
    <w:rsid w:val="003F1EA9"/>
    <w:rsid w:val="003F24F3"/>
    <w:rsid w:val="003F250A"/>
    <w:rsid w:val="003F2F5C"/>
    <w:rsid w:val="003F34E0"/>
    <w:rsid w:val="003F34FD"/>
    <w:rsid w:val="003F4534"/>
    <w:rsid w:val="003F46B6"/>
    <w:rsid w:val="003F4CB4"/>
    <w:rsid w:val="003F550F"/>
    <w:rsid w:val="003F573F"/>
    <w:rsid w:val="003F6FA1"/>
    <w:rsid w:val="003F7C4E"/>
    <w:rsid w:val="004002BF"/>
    <w:rsid w:val="00400486"/>
    <w:rsid w:val="0040048D"/>
    <w:rsid w:val="004005B7"/>
    <w:rsid w:val="00400C0E"/>
    <w:rsid w:val="00400E8F"/>
    <w:rsid w:val="00401766"/>
    <w:rsid w:val="00401B68"/>
    <w:rsid w:val="004034B5"/>
    <w:rsid w:val="00403DC8"/>
    <w:rsid w:val="004046B7"/>
    <w:rsid w:val="0040476C"/>
    <w:rsid w:val="004074DB"/>
    <w:rsid w:val="00407D73"/>
    <w:rsid w:val="00411F0B"/>
    <w:rsid w:val="0041209C"/>
    <w:rsid w:val="00412FAF"/>
    <w:rsid w:val="00413525"/>
    <w:rsid w:val="00413C1F"/>
    <w:rsid w:val="00413E31"/>
    <w:rsid w:val="0041471F"/>
    <w:rsid w:val="00414B4E"/>
    <w:rsid w:val="00414E48"/>
    <w:rsid w:val="0041507B"/>
    <w:rsid w:val="00417986"/>
    <w:rsid w:val="00417C6D"/>
    <w:rsid w:val="0042068A"/>
    <w:rsid w:val="00421E3E"/>
    <w:rsid w:val="00422EBC"/>
    <w:rsid w:val="0042312E"/>
    <w:rsid w:val="0042340C"/>
    <w:rsid w:val="00423E9A"/>
    <w:rsid w:val="004240D1"/>
    <w:rsid w:val="00424E43"/>
    <w:rsid w:val="00425505"/>
    <w:rsid w:val="00425B2A"/>
    <w:rsid w:val="0042648E"/>
    <w:rsid w:val="00426744"/>
    <w:rsid w:val="00430727"/>
    <w:rsid w:val="00430D21"/>
    <w:rsid w:val="004312A2"/>
    <w:rsid w:val="004312D8"/>
    <w:rsid w:val="00432BAA"/>
    <w:rsid w:val="004344A0"/>
    <w:rsid w:val="00434784"/>
    <w:rsid w:val="00434E57"/>
    <w:rsid w:val="004362A5"/>
    <w:rsid w:val="004374FB"/>
    <w:rsid w:val="0043787A"/>
    <w:rsid w:val="00437FCD"/>
    <w:rsid w:val="004401FC"/>
    <w:rsid w:val="00440214"/>
    <w:rsid w:val="004416E2"/>
    <w:rsid w:val="00442036"/>
    <w:rsid w:val="004430D5"/>
    <w:rsid w:val="004438AC"/>
    <w:rsid w:val="00443A82"/>
    <w:rsid w:val="00444764"/>
    <w:rsid w:val="004449B2"/>
    <w:rsid w:val="00444B3E"/>
    <w:rsid w:val="004460FC"/>
    <w:rsid w:val="004461FA"/>
    <w:rsid w:val="00447852"/>
    <w:rsid w:val="00447C2B"/>
    <w:rsid w:val="00447C47"/>
    <w:rsid w:val="00450C6A"/>
    <w:rsid w:val="0045181E"/>
    <w:rsid w:val="00451BDA"/>
    <w:rsid w:val="004536D3"/>
    <w:rsid w:val="00453AF1"/>
    <w:rsid w:val="00453DDE"/>
    <w:rsid w:val="00453DF6"/>
    <w:rsid w:val="004542CA"/>
    <w:rsid w:val="00455157"/>
    <w:rsid w:val="00455176"/>
    <w:rsid w:val="00455374"/>
    <w:rsid w:val="00455506"/>
    <w:rsid w:val="004614E8"/>
    <w:rsid w:val="00463AF9"/>
    <w:rsid w:val="0046410D"/>
    <w:rsid w:val="00464DF9"/>
    <w:rsid w:val="0046660D"/>
    <w:rsid w:val="00466C99"/>
    <w:rsid w:val="00466D82"/>
    <w:rsid w:val="004672DE"/>
    <w:rsid w:val="00467CA0"/>
    <w:rsid w:val="004705D4"/>
    <w:rsid w:val="00470803"/>
    <w:rsid w:val="004712AC"/>
    <w:rsid w:val="0047146C"/>
    <w:rsid w:val="004725E3"/>
    <w:rsid w:val="0047321F"/>
    <w:rsid w:val="004736D5"/>
    <w:rsid w:val="00475C7C"/>
    <w:rsid w:val="00475FDB"/>
    <w:rsid w:val="0047724D"/>
    <w:rsid w:val="00480635"/>
    <w:rsid w:val="0048080D"/>
    <w:rsid w:val="00480BC0"/>
    <w:rsid w:val="00481389"/>
    <w:rsid w:val="00482EDC"/>
    <w:rsid w:val="004830F4"/>
    <w:rsid w:val="00484E4E"/>
    <w:rsid w:val="00485C69"/>
    <w:rsid w:val="00485D98"/>
    <w:rsid w:val="00486641"/>
    <w:rsid w:val="004873B7"/>
    <w:rsid w:val="004875E6"/>
    <w:rsid w:val="00487C8F"/>
    <w:rsid w:val="0049070F"/>
    <w:rsid w:val="00490721"/>
    <w:rsid w:val="00491123"/>
    <w:rsid w:val="0049173C"/>
    <w:rsid w:val="00491CAC"/>
    <w:rsid w:val="004936D2"/>
    <w:rsid w:val="00493741"/>
    <w:rsid w:val="00493A78"/>
    <w:rsid w:val="00493C47"/>
    <w:rsid w:val="00493D20"/>
    <w:rsid w:val="0049421C"/>
    <w:rsid w:val="00494EB1"/>
    <w:rsid w:val="0049593A"/>
    <w:rsid w:val="0049746C"/>
    <w:rsid w:val="00497A7E"/>
    <w:rsid w:val="00497CFC"/>
    <w:rsid w:val="004A1798"/>
    <w:rsid w:val="004A3437"/>
    <w:rsid w:val="004A369D"/>
    <w:rsid w:val="004A379A"/>
    <w:rsid w:val="004A54A9"/>
    <w:rsid w:val="004A6619"/>
    <w:rsid w:val="004A706B"/>
    <w:rsid w:val="004A7963"/>
    <w:rsid w:val="004B00D3"/>
    <w:rsid w:val="004B34CA"/>
    <w:rsid w:val="004B3503"/>
    <w:rsid w:val="004B3DF7"/>
    <w:rsid w:val="004B44EA"/>
    <w:rsid w:val="004B4F4A"/>
    <w:rsid w:val="004C03D4"/>
    <w:rsid w:val="004C1129"/>
    <w:rsid w:val="004C12E4"/>
    <w:rsid w:val="004C1780"/>
    <w:rsid w:val="004C28AB"/>
    <w:rsid w:val="004C2DC6"/>
    <w:rsid w:val="004C3626"/>
    <w:rsid w:val="004C4771"/>
    <w:rsid w:val="004C52AB"/>
    <w:rsid w:val="004C70F5"/>
    <w:rsid w:val="004D02F9"/>
    <w:rsid w:val="004D053E"/>
    <w:rsid w:val="004D068A"/>
    <w:rsid w:val="004D0ED5"/>
    <w:rsid w:val="004D1FD4"/>
    <w:rsid w:val="004D2A5C"/>
    <w:rsid w:val="004D3026"/>
    <w:rsid w:val="004D3E00"/>
    <w:rsid w:val="004D4CA5"/>
    <w:rsid w:val="004D71DB"/>
    <w:rsid w:val="004E0019"/>
    <w:rsid w:val="004E151A"/>
    <w:rsid w:val="004E1905"/>
    <w:rsid w:val="004E2DE6"/>
    <w:rsid w:val="004E3F30"/>
    <w:rsid w:val="004E5B0A"/>
    <w:rsid w:val="004E5EF7"/>
    <w:rsid w:val="004E61C8"/>
    <w:rsid w:val="004E6452"/>
    <w:rsid w:val="004E6C92"/>
    <w:rsid w:val="004E6F01"/>
    <w:rsid w:val="004E7F03"/>
    <w:rsid w:val="004E8732"/>
    <w:rsid w:val="004F12BA"/>
    <w:rsid w:val="004F1F42"/>
    <w:rsid w:val="004F1F80"/>
    <w:rsid w:val="004F296D"/>
    <w:rsid w:val="004F2BDC"/>
    <w:rsid w:val="004F333C"/>
    <w:rsid w:val="004F3422"/>
    <w:rsid w:val="004F464D"/>
    <w:rsid w:val="004F755A"/>
    <w:rsid w:val="004F7C60"/>
    <w:rsid w:val="004F7CDF"/>
    <w:rsid w:val="00500C5D"/>
    <w:rsid w:val="00500E9C"/>
    <w:rsid w:val="00501A70"/>
    <w:rsid w:val="0050241D"/>
    <w:rsid w:val="00502491"/>
    <w:rsid w:val="0050274E"/>
    <w:rsid w:val="0050379A"/>
    <w:rsid w:val="00503CBB"/>
    <w:rsid w:val="005046DC"/>
    <w:rsid w:val="00505969"/>
    <w:rsid w:val="00506D9E"/>
    <w:rsid w:val="00506E83"/>
    <w:rsid w:val="005071CA"/>
    <w:rsid w:val="00507311"/>
    <w:rsid w:val="0050738C"/>
    <w:rsid w:val="00507DC6"/>
    <w:rsid w:val="00510ED7"/>
    <w:rsid w:val="00511EAF"/>
    <w:rsid w:val="00512489"/>
    <w:rsid w:val="00512977"/>
    <w:rsid w:val="00512AD7"/>
    <w:rsid w:val="00512EE9"/>
    <w:rsid w:val="0051459B"/>
    <w:rsid w:val="005145C0"/>
    <w:rsid w:val="00514EF8"/>
    <w:rsid w:val="00515BE3"/>
    <w:rsid w:val="00516197"/>
    <w:rsid w:val="005167FF"/>
    <w:rsid w:val="00516815"/>
    <w:rsid w:val="00516AFD"/>
    <w:rsid w:val="00516B02"/>
    <w:rsid w:val="00517FC0"/>
    <w:rsid w:val="00520106"/>
    <w:rsid w:val="00520D6F"/>
    <w:rsid w:val="005215B2"/>
    <w:rsid w:val="00521696"/>
    <w:rsid w:val="00521ADA"/>
    <w:rsid w:val="00521B19"/>
    <w:rsid w:val="0052278A"/>
    <w:rsid w:val="00522CFD"/>
    <w:rsid w:val="00524772"/>
    <w:rsid w:val="005250CF"/>
    <w:rsid w:val="0052554D"/>
    <w:rsid w:val="005259F7"/>
    <w:rsid w:val="005261BA"/>
    <w:rsid w:val="00526CB0"/>
    <w:rsid w:val="00526D15"/>
    <w:rsid w:val="00527A60"/>
    <w:rsid w:val="00531229"/>
    <w:rsid w:val="00531564"/>
    <w:rsid w:val="0053326E"/>
    <w:rsid w:val="00533B82"/>
    <w:rsid w:val="005341AF"/>
    <w:rsid w:val="005372F1"/>
    <w:rsid w:val="005402AE"/>
    <w:rsid w:val="005402C2"/>
    <w:rsid w:val="005409AB"/>
    <w:rsid w:val="005415FF"/>
    <w:rsid w:val="00542531"/>
    <w:rsid w:val="00542AC7"/>
    <w:rsid w:val="0054349A"/>
    <w:rsid w:val="00545EAF"/>
    <w:rsid w:val="00546160"/>
    <w:rsid w:val="005461A1"/>
    <w:rsid w:val="00547BEE"/>
    <w:rsid w:val="00551FBB"/>
    <w:rsid w:val="00552145"/>
    <w:rsid w:val="005524D7"/>
    <w:rsid w:val="005529FE"/>
    <w:rsid w:val="005530CC"/>
    <w:rsid w:val="0055364F"/>
    <w:rsid w:val="00553A5A"/>
    <w:rsid w:val="00554414"/>
    <w:rsid w:val="00556B22"/>
    <w:rsid w:val="00557585"/>
    <w:rsid w:val="005601EB"/>
    <w:rsid w:val="00561938"/>
    <w:rsid w:val="00561E92"/>
    <w:rsid w:val="00562552"/>
    <w:rsid w:val="005630E7"/>
    <w:rsid w:val="00564C0A"/>
    <w:rsid w:val="00565248"/>
    <w:rsid w:val="005665CB"/>
    <w:rsid w:val="005673B5"/>
    <w:rsid w:val="00567607"/>
    <w:rsid w:val="00570B9A"/>
    <w:rsid w:val="0057100F"/>
    <w:rsid w:val="0057188C"/>
    <w:rsid w:val="00572344"/>
    <w:rsid w:val="00573BF5"/>
    <w:rsid w:val="005743FE"/>
    <w:rsid w:val="00577FDE"/>
    <w:rsid w:val="005805F9"/>
    <w:rsid w:val="0058252F"/>
    <w:rsid w:val="00582A45"/>
    <w:rsid w:val="00582FFE"/>
    <w:rsid w:val="00583087"/>
    <w:rsid w:val="005830C7"/>
    <w:rsid w:val="005850AC"/>
    <w:rsid w:val="00585C8B"/>
    <w:rsid w:val="0058684C"/>
    <w:rsid w:val="0058709C"/>
    <w:rsid w:val="0058716E"/>
    <w:rsid w:val="005873FD"/>
    <w:rsid w:val="00590233"/>
    <w:rsid w:val="005902DC"/>
    <w:rsid w:val="005904CA"/>
    <w:rsid w:val="00590718"/>
    <w:rsid w:val="005907E7"/>
    <w:rsid w:val="00591035"/>
    <w:rsid w:val="0059191C"/>
    <w:rsid w:val="00592DF5"/>
    <w:rsid w:val="0059565E"/>
    <w:rsid w:val="00595E55"/>
    <w:rsid w:val="00595E7E"/>
    <w:rsid w:val="00596135"/>
    <w:rsid w:val="005965DF"/>
    <w:rsid w:val="005967D0"/>
    <w:rsid w:val="00597376"/>
    <w:rsid w:val="005A32D0"/>
    <w:rsid w:val="005A3A13"/>
    <w:rsid w:val="005A46B1"/>
    <w:rsid w:val="005A4A0E"/>
    <w:rsid w:val="005A4B75"/>
    <w:rsid w:val="005A512D"/>
    <w:rsid w:val="005A5F47"/>
    <w:rsid w:val="005A6A29"/>
    <w:rsid w:val="005A6F40"/>
    <w:rsid w:val="005B16B4"/>
    <w:rsid w:val="005B1EB6"/>
    <w:rsid w:val="005B244D"/>
    <w:rsid w:val="005B2E26"/>
    <w:rsid w:val="005B2FC8"/>
    <w:rsid w:val="005B34EE"/>
    <w:rsid w:val="005B3EE1"/>
    <w:rsid w:val="005B5BF9"/>
    <w:rsid w:val="005B62A2"/>
    <w:rsid w:val="005C0873"/>
    <w:rsid w:val="005C2022"/>
    <w:rsid w:val="005C2A82"/>
    <w:rsid w:val="005C2F2D"/>
    <w:rsid w:val="005C4B71"/>
    <w:rsid w:val="005D13A5"/>
    <w:rsid w:val="005D201A"/>
    <w:rsid w:val="005D2229"/>
    <w:rsid w:val="005D2657"/>
    <w:rsid w:val="005D26DE"/>
    <w:rsid w:val="005D2EA4"/>
    <w:rsid w:val="005D3C08"/>
    <w:rsid w:val="005D4110"/>
    <w:rsid w:val="005D4EF3"/>
    <w:rsid w:val="005D50D6"/>
    <w:rsid w:val="005D5260"/>
    <w:rsid w:val="005D5E56"/>
    <w:rsid w:val="005D5ED6"/>
    <w:rsid w:val="005D6447"/>
    <w:rsid w:val="005D7C48"/>
    <w:rsid w:val="005E0AA8"/>
    <w:rsid w:val="005E0B11"/>
    <w:rsid w:val="005E0EAB"/>
    <w:rsid w:val="005E1B5E"/>
    <w:rsid w:val="005E1DCA"/>
    <w:rsid w:val="005E3638"/>
    <w:rsid w:val="005E5D65"/>
    <w:rsid w:val="005E6157"/>
    <w:rsid w:val="005E684B"/>
    <w:rsid w:val="005E6B05"/>
    <w:rsid w:val="005F0244"/>
    <w:rsid w:val="005F0458"/>
    <w:rsid w:val="005F0DC1"/>
    <w:rsid w:val="005F0E88"/>
    <w:rsid w:val="005F1F2E"/>
    <w:rsid w:val="005F2318"/>
    <w:rsid w:val="005F2747"/>
    <w:rsid w:val="005F3477"/>
    <w:rsid w:val="005F352E"/>
    <w:rsid w:val="005F35E4"/>
    <w:rsid w:val="005F36C3"/>
    <w:rsid w:val="005F38B3"/>
    <w:rsid w:val="005F3AE8"/>
    <w:rsid w:val="005F442A"/>
    <w:rsid w:val="005F56A0"/>
    <w:rsid w:val="005F578B"/>
    <w:rsid w:val="005F5D21"/>
    <w:rsid w:val="005F61AF"/>
    <w:rsid w:val="005F6339"/>
    <w:rsid w:val="005F735E"/>
    <w:rsid w:val="005F7883"/>
    <w:rsid w:val="006007B8"/>
    <w:rsid w:val="00601448"/>
    <w:rsid w:val="00601982"/>
    <w:rsid w:val="00602638"/>
    <w:rsid w:val="00602AE4"/>
    <w:rsid w:val="00604868"/>
    <w:rsid w:val="00604EF5"/>
    <w:rsid w:val="00605F5D"/>
    <w:rsid w:val="00605F85"/>
    <w:rsid w:val="00606739"/>
    <w:rsid w:val="00606988"/>
    <w:rsid w:val="00607165"/>
    <w:rsid w:val="00607B9C"/>
    <w:rsid w:val="00610822"/>
    <w:rsid w:val="00611C25"/>
    <w:rsid w:val="00611E86"/>
    <w:rsid w:val="00612DAE"/>
    <w:rsid w:val="00612F6A"/>
    <w:rsid w:val="0061409E"/>
    <w:rsid w:val="0061613D"/>
    <w:rsid w:val="00616687"/>
    <w:rsid w:val="00616B79"/>
    <w:rsid w:val="00616BA3"/>
    <w:rsid w:val="006174AE"/>
    <w:rsid w:val="00617591"/>
    <w:rsid w:val="0061799B"/>
    <w:rsid w:val="00620EBF"/>
    <w:rsid w:val="0062148F"/>
    <w:rsid w:val="00622D43"/>
    <w:rsid w:val="00622D49"/>
    <w:rsid w:val="006232C0"/>
    <w:rsid w:val="00624EAA"/>
    <w:rsid w:val="0062513A"/>
    <w:rsid w:val="006261F7"/>
    <w:rsid w:val="00626363"/>
    <w:rsid w:val="00626379"/>
    <w:rsid w:val="00626476"/>
    <w:rsid w:val="00626559"/>
    <w:rsid w:val="00626686"/>
    <w:rsid w:val="00626921"/>
    <w:rsid w:val="00627A23"/>
    <w:rsid w:val="0063021F"/>
    <w:rsid w:val="006302F1"/>
    <w:rsid w:val="006308B1"/>
    <w:rsid w:val="00630AEF"/>
    <w:rsid w:val="00630D4E"/>
    <w:rsid w:val="00631A0C"/>
    <w:rsid w:val="00631CB9"/>
    <w:rsid w:val="00632830"/>
    <w:rsid w:val="00632BAE"/>
    <w:rsid w:val="0063379A"/>
    <w:rsid w:val="00633867"/>
    <w:rsid w:val="00633E88"/>
    <w:rsid w:val="00633F75"/>
    <w:rsid w:val="006354CC"/>
    <w:rsid w:val="00635B70"/>
    <w:rsid w:val="00635F88"/>
    <w:rsid w:val="00636368"/>
    <w:rsid w:val="006367BA"/>
    <w:rsid w:val="00636B10"/>
    <w:rsid w:val="00636BDB"/>
    <w:rsid w:val="00637337"/>
    <w:rsid w:val="006374A5"/>
    <w:rsid w:val="0064042B"/>
    <w:rsid w:val="0064092F"/>
    <w:rsid w:val="00641170"/>
    <w:rsid w:val="006414BF"/>
    <w:rsid w:val="00641DDC"/>
    <w:rsid w:val="00642B6A"/>
    <w:rsid w:val="0064446A"/>
    <w:rsid w:val="0064494B"/>
    <w:rsid w:val="00644E86"/>
    <w:rsid w:val="00645BDE"/>
    <w:rsid w:val="00646E1A"/>
    <w:rsid w:val="00646E3C"/>
    <w:rsid w:val="00646F1F"/>
    <w:rsid w:val="00647029"/>
    <w:rsid w:val="006471D9"/>
    <w:rsid w:val="00650F72"/>
    <w:rsid w:val="0065512F"/>
    <w:rsid w:val="006557D7"/>
    <w:rsid w:val="00655D5D"/>
    <w:rsid w:val="00656DC5"/>
    <w:rsid w:val="00657901"/>
    <w:rsid w:val="006579DD"/>
    <w:rsid w:val="00660090"/>
    <w:rsid w:val="006615D2"/>
    <w:rsid w:val="00665003"/>
    <w:rsid w:val="006652B6"/>
    <w:rsid w:val="006663E8"/>
    <w:rsid w:val="0066700D"/>
    <w:rsid w:val="00671242"/>
    <w:rsid w:val="006712FD"/>
    <w:rsid w:val="00671DD6"/>
    <w:rsid w:val="00671ED2"/>
    <w:rsid w:val="00671FFF"/>
    <w:rsid w:val="006731A1"/>
    <w:rsid w:val="00673327"/>
    <w:rsid w:val="006736A4"/>
    <w:rsid w:val="00673CDA"/>
    <w:rsid w:val="0067423C"/>
    <w:rsid w:val="0067447F"/>
    <w:rsid w:val="00676CAF"/>
    <w:rsid w:val="006778CB"/>
    <w:rsid w:val="00681E67"/>
    <w:rsid w:val="00681FAD"/>
    <w:rsid w:val="0068318F"/>
    <w:rsid w:val="00684A61"/>
    <w:rsid w:val="0068573E"/>
    <w:rsid w:val="00685BBE"/>
    <w:rsid w:val="00685E6C"/>
    <w:rsid w:val="00686074"/>
    <w:rsid w:val="00686BA8"/>
    <w:rsid w:val="00690CFD"/>
    <w:rsid w:val="00690D90"/>
    <w:rsid w:val="00692657"/>
    <w:rsid w:val="006933F1"/>
    <w:rsid w:val="006934FB"/>
    <w:rsid w:val="00693861"/>
    <w:rsid w:val="0069436B"/>
    <w:rsid w:val="00695C3A"/>
    <w:rsid w:val="00695FBE"/>
    <w:rsid w:val="006964AE"/>
    <w:rsid w:val="006A0488"/>
    <w:rsid w:val="006A0B08"/>
    <w:rsid w:val="006A164E"/>
    <w:rsid w:val="006A1F5C"/>
    <w:rsid w:val="006A2479"/>
    <w:rsid w:val="006A2A21"/>
    <w:rsid w:val="006A368D"/>
    <w:rsid w:val="006A38D9"/>
    <w:rsid w:val="006A3D5E"/>
    <w:rsid w:val="006A4050"/>
    <w:rsid w:val="006A48F6"/>
    <w:rsid w:val="006A5CF5"/>
    <w:rsid w:val="006A667A"/>
    <w:rsid w:val="006A683C"/>
    <w:rsid w:val="006A754D"/>
    <w:rsid w:val="006A759A"/>
    <w:rsid w:val="006B0AB7"/>
    <w:rsid w:val="006B0CE6"/>
    <w:rsid w:val="006B13CE"/>
    <w:rsid w:val="006B1DFC"/>
    <w:rsid w:val="006B28CE"/>
    <w:rsid w:val="006B2E9B"/>
    <w:rsid w:val="006B3CDF"/>
    <w:rsid w:val="006B6A77"/>
    <w:rsid w:val="006C0034"/>
    <w:rsid w:val="006C0D93"/>
    <w:rsid w:val="006C2302"/>
    <w:rsid w:val="006C2F82"/>
    <w:rsid w:val="006C3255"/>
    <w:rsid w:val="006C3CC0"/>
    <w:rsid w:val="006C440C"/>
    <w:rsid w:val="006C53C0"/>
    <w:rsid w:val="006C5CA1"/>
    <w:rsid w:val="006C642D"/>
    <w:rsid w:val="006C6F5A"/>
    <w:rsid w:val="006C764B"/>
    <w:rsid w:val="006C791E"/>
    <w:rsid w:val="006C7E2C"/>
    <w:rsid w:val="006D07ED"/>
    <w:rsid w:val="006D0C5F"/>
    <w:rsid w:val="006D0FFA"/>
    <w:rsid w:val="006D1046"/>
    <w:rsid w:val="006D1F23"/>
    <w:rsid w:val="006D413B"/>
    <w:rsid w:val="006D4B0A"/>
    <w:rsid w:val="006D52BA"/>
    <w:rsid w:val="006D5D9A"/>
    <w:rsid w:val="006D6236"/>
    <w:rsid w:val="006D629E"/>
    <w:rsid w:val="006D714A"/>
    <w:rsid w:val="006D7526"/>
    <w:rsid w:val="006D79EB"/>
    <w:rsid w:val="006D7F6A"/>
    <w:rsid w:val="006E0696"/>
    <w:rsid w:val="006E1366"/>
    <w:rsid w:val="006E33C4"/>
    <w:rsid w:val="006E3D3D"/>
    <w:rsid w:val="006E5A67"/>
    <w:rsid w:val="006E5D95"/>
    <w:rsid w:val="006E6709"/>
    <w:rsid w:val="006E6B77"/>
    <w:rsid w:val="006E6EEC"/>
    <w:rsid w:val="006E7715"/>
    <w:rsid w:val="006E7C13"/>
    <w:rsid w:val="006E7F69"/>
    <w:rsid w:val="006F0587"/>
    <w:rsid w:val="006F0A2F"/>
    <w:rsid w:val="006F2D80"/>
    <w:rsid w:val="006F2DD9"/>
    <w:rsid w:val="006F57FC"/>
    <w:rsid w:val="006F5CAC"/>
    <w:rsid w:val="006F737D"/>
    <w:rsid w:val="007008F3"/>
    <w:rsid w:val="007023BE"/>
    <w:rsid w:val="007025D2"/>
    <w:rsid w:val="00702845"/>
    <w:rsid w:val="00703599"/>
    <w:rsid w:val="0070391A"/>
    <w:rsid w:val="0070422F"/>
    <w:rsid w:val="007048E5"/>
    <w:rsid w:val="00704C9E"/>
    <w:rsid w:val="00704CFA"/>
    <w:rsid w:val="00705625"/>
    <w:rsid w:val="0070608E"/>
    <w:rsid w:val="00710860"/>
    <w:rsid w:val="00710915"/>
    <w:rsid w:val="00711EBD"/>
    <w:rsid w:val="00711F2E"/>
    <w:rsid w:val="00712079"/>
    <w:rsid w:val="00712258"/>
    <w:rsid w:val="00713DDF"/>
    <w:rsid w:val="00714618"/>
    <w:rsid w:val="00714C81"/>
    <w:rsid w:val="00716259"/>
    <w:rsid w:val="00716EE5"/>
    <w:rsid w:val="00720556"/>
    <w:rsid w:val="0072106A"/>
    <w:rsid w:val="00721269"/>
    <w:rsid w:val="00723751"/>
    <w:rsid w:val="00724708"/>
    <w:rsid w:val="00725553"/>
    <w:rsid w:val="007272AB"/>
    <w:rsid w:val="007306BD"/>
    <w:rsid w:val="00734218"/>
    <w:rsid w:val="0073526C"/>
    <w:rsid w:val="0073782D"/>
    <w:rsid w:val="0074023C"/>
    <w:rsid w:val="0074043C"/>
    <w:rsid w:val="00740A59"/>
    <w:rsid w:val="00741CC5"/>
    <w:rsid w:val="00742B41"/>
    <w:rsid w:val="007447D4"/>
    <w:rsid w:val="00744C0E"/>
    <w:rsid w:val="00744CCE"/>
    <w:rsid w:val="007451CC"/>
    <w:rsid w:val="00745451"/>
    <w:rsid w:val="0074561D"/>
    <w:rsid w:val="00746692"/>
    <w:rsid w:val="00746F42"/>
    <w:rsid w:val="0075026C"/>
    <w:rsid w:val="007513A1"/>
    <w:rsid w:val="00751D53"/>
    <w:rsid w:val="00751F04"/>
    <w:rsid w:val="007521E8"/>
    <w:rsid w:val="00753E4A"/>
    <w:rsid w:val="00754B91"/>
    <w:rsid w:val="00755692"/>
    <w:rsid w:val="0075571A"/>
    <w:rsid w:val="007563FB"/>
    <w:rsid w:val="007569F7"/>
    <w:rsid w:val="00756A15"/>
    <w:rsid w:val="007602BF"/>
    <w:rsid w:val="00761510"/>
    <w:rsid w:val="00761DAD"/>
    <w:rsid w:val="00763D52"/>
    <w:rsid w:val="007643DF"/>
    <w:rsid w:val="0076451C"/>
    <w:rsid w:val="007645A7"/>
    <w:rsid w:val="00764FBE"/>
    <w:rsid w:val="00765407"/>
    <w:rsid w:val="00766CD4"/>
    <w:rsid w:val="00767D31"/>
    <w:rsid w:val="00767E09"/>
    <w:rsid w:val="0077027D"/>
    <w:rsid w:val="0077331C"/>
    <w:rsid w:val="00773331"/>
    <w:rsid w:val="00773CA7"/>
    <w:rsid w:val="00773D02"/>
    <w:rsid w:val="007744C8"/>
    <w:rsid w:val="00774AF1"/>
    <w:rsid w:val="00774D84"/>
    <w:rsid w:val="00775EF1"/>
    <w:rsid w:val="00776983"/>
    <w:rsid w:val="00777988"/>
    <w:rsid w:val="00782BCB"/>
    <w:rsid w:val="00782D52"/>
    <w:rsid w:val="00782DAD"/>
    <w:rsid w:val="00783270"/>
    <w:rsid w:val="0078354D"/>
    <w:rsid w:val="007851B2"/>
    <w:rsid w:val="00785FC6"/>
    <w:rsid w:val="00786CD4"/>
    <w:rsid w:val="00787429"/>
    <w:rsid w:val="0078784F"/>
    <w:rsid w:val="00787A99"/>
    <w:rsid w:val="00787B60"/>
    <w:rsid w:val="00792593"/>
    <w:rsid w:val="00792AAB"/>
    <w:rsid w:val="007930F6"/>
    <w:rsid w:val="007932EF"/>
    <w:rsid w:val="0079361D"/>
    <w:rsid w:val="00795D76"/>
    <w:rsid w:val="00796EB8"/>
    <w:rsid w:val="0079784F"/>
    <w:rsid w:val="007A0618"/>
    <w:rsid w:val="007A081E"/>
    <w:rsid w:val="007A1947"/>
    <w:rsid w:val="007A381B"/>
    <w:rsid w:val="007A4342"/>
    <w:rsid w:val="007A4850"/>
    <w:rsid w:val="007A4D01"/>
    <w:rsid w:val="007A627C"/>
    <w:rsid w:val="007A7384"/>
    <w:rsid w:val="007B03FC"/>
    <w:rsid w:val="007B0517"/>
    <w:rsid w:val="007B1A2D"/>
    <w:rsid w:val="007B2BF1"/>
    <w:rsid w:val="007B3A0A"/>
    <w:rsid w:val="007B5787"/>
    <w:rsid w:val="007B5F1B"/>
    <w:rsid w:val="007B746E"/>
    <w:rsid w:val="007C14F1"/>
    <w:rsid w:val="007C25C1"/>
    <w:rsid w:val="007C3336"/>
    <w:rsid w:val="007C3549"/>
    <w:rsid w:val="007C4285"/>
    <w:rsid w:val="007C4A37"/>
    <w:rsid w:val="007C4C56"/>
    <w:rsid w:val="007C65D6"/>
    <w:rsid w:val="007C6EE1"/>
    <w:rsid w:val="007C730C"/>
    <w:rsid w:val="007D04C2"/>
    <w:rsid w:val="007D270B"/>
    <w:rsid w:val="007D27E7"/>
    <w:rsid w:val="007D284B"/>
    <w:rsid w:val="007D3B49"/>
    <w:rsid w:val="007D3CF0"/>
    <w:rsid w:val="007D468E"/>
    <w:rsid w:val="007D53E8"/>
    <w:rsid w:val="007D58B9"/>
    <w:rsid w:val="007D5FC4"/>
    <w:rsid w:val="007D60B5"/>
    <w:rsid w:val="007D66EB"/>
    <w:rsid w:val="007D686E"/>
    <w:rsid w:val="007D6FB7"/>
    <w:rsid w:val="007E046E"/>
    <w:rsid w:val="007E05B0"/>
    <w:rsid w:val="007E3916"/>
    <w:rsid w:val="007E567C"/>
    <w:rsid w:val="007E64B6"/>
    <w:rsid w:val="007E7198"/>
    <w:rsid w:val="007F0A8D"/>
    <w:rsid w:val="007F105F"/>
    <w:rsid w:val="007F1A04"/>
    <w:rsid w:val="007F1A53"/>
    <w:rsid w:val="007F25FB"/>
    <w:rsid w:val="007F262B"/>
    <w:rsid w:val="007F2C02"/>
    <w:rsid w:val="007F37D2"/>
    <w:rsid w:val="007F41BC"/>
    <w:rsid w:val="007F51CC"/>
    <w:rsid w:val="007F647B"/>
    <w:rsid w:val="007F6A4F"/>
    <w:rsid w:val="00800C86"/>
    <w:rsid w:val="008013BC"/>
    <w:rsid w:val="00801FC2"/>
    <w:rsid w:val="00804A52"/>
    <w:rsid w:val="00805D60"/>
    <w:rsid w:val="00805DC0"/>
    <w:rsid w:val="00805EB1"/>
    <w:rsid w:val="00807017"/>
    <w:rsid w:val="00807482"/>
    <w:rsid w:val="008115CB"/>
    <w:rsid w:val="008120C2"/>
    <w:rsid w:val="008126D8"/>
    <w:rsid w:val="0081498A"/>
    <w:rsid w:val="008161AE"/>
    <w:rsid w:val="008161E6"/>
    <w:rsid w:val="0081713D"/>
    <w:rsid w:val="0082050A"/>
    <w:rsid w:val="0082052C"/>
    <w:rsid w:val="00820B78"/>
    <w:rsid w:val="00821057"/>
    <w:rsid w:val="008241C6"/>
    <w:rsid w:val="00825096"/>
    <w:rsid w:val="00825517"/>
    <w:rsid w:val="00825928"/>
    <w:rsid w:val="00827C3A"/>
    <w:rsid w:val="00830490"/>
    <w:rsid w:val="00831552"/>
    <w:rsid w:val="00834F05"/>
    <w:rsid w:val="00836144"/>
    <w:rsid w:val="008367EF"/>
    <w:rsid w:val="00836FFE"/>
    <w:rsid w:val="0083769A"/>
    <w:rsid w:val="00837B6B"/>
    <w:rsid w:val="00841333"/>
    <w:rsid w:val="00841867"/>
    <w:rsid w:val="008420E6"/>
    <w:rsid w:val="00842257"/>
    <w:rsid w:val="00842831"/>
    <w:rsid w:val="008432EA"/>
    <w:rsid w:val="00844971"/>
    <w:rsid w:val="00844A88"/>
    <w:rsid w:val="00844AC2"/>
    <w:rsid w:val="00844BEB"/>
    <w:rsid w:val="00844BF7"/>
    <w:rsid w:val="0084597C"/>
    <w:rsid w:val="00845D07"/>
    <w:rsid w:val="00846068"/>
    <w:rsid w:val="008462F1"/>
    <w:rsid w:val="008471EB"/>
    <w:rsid w:val="008476FD"/>
    <w:rsid w:val="008477BE"/>
    <w:rsid w:val="0084798D"/>
    <w:rsid w:val="00850960"/>
    <w:rsid w:val="00850D81"/>
    <w:rsid w:val="00852B4D"/>
    <w:rsid w:val="00853384"/>
    <w:rsid w:val="008573D9"/>
    <w:rsid w:val="008574AC"/>
    <w:rsid w:val="00857F42"/>
    <w:rsid w:val="008606BA"/>
    <w:rsid w:val="00860CF6"/>
    <w:rsid w:val="00860E76"/>
    <w:rsid w:val="008614EA"/>
    <w:rsid w:val="008619A4"/>
    <w:rsid w:val="00862835"/>
    <w:rsid w:val="00862EF5"/>
    <w:rsid w:val="00863188"/>
    <w:rsid w:val="00863273"/>
    <w:rsid w:val="00863A99"/>
    <w:rsid w:val="008652F0"/>
    <w:rsid w:val="00865C6F"/>
    <w:rsid w:val="00866D0E"/>
    <w:rsid w:val="0086796E"/>
    <w:rsid w:val="0087062B"/>
    <w:rsid w:val="00871833"/>
    <w:rsid w:val="00871EE9"/>
    <w:rsid w:val="008726C7"/>
    <w:rsid w:val="00872FE7"/>
    <w:rsid w:val="00873023"/>
    <w:rsid w:val="00873127"/>
    <w:rsid w:val="00874D22"/>
    <w:rsid w:val="00875B2A"/>
    <w:rsid w:val="00875C3A"/>
    <w:rsid w:val="008760B1"/>
    <w:rsid w:val="0087624C"/>
    <w:rsid w:val="0087638B"/>
    <w:rsid w:val="00876689"/>
    <w:rsid w:val="00877964"/>
    <w:rsid w:val="0088044C"/>
    <w:rsid w:val="00880DD5"/>
    <w:rsid w:val="00880E83"/>
    <w:rsid w:val="00883130"/>
    <w:rsid w:val="0088428A"/>
    <w:rsid w:val="00884C43"/>
    <w:rsid w:val="00885168"/>
    <w:rsid w:val="00885B97"/>
    <w:rsid w:val="0088639D"/>
    <w:rsid w:val="0088673B"/>
    <w:rsid w:val="00886EEC"/>
    <w:rsid w:val="00887EF5"/>
    <w:rsid w:val="00887F03"/>
    <w:rsid w:val="008905B1"/>
    <w:rsid w:val="0089096C"/>
    <w:rsid w:val="00890A2C"/>
    <w:rsid w:val="00891D3C"/>
    <w:rsid w:val="008922AC"/>
    <w:rsid w:val="00893A7E"/>
    <w:rsid w:val="00895207"/>
    <w:rsid w:val="008960C8"/>
    <w:rsid w:val="00897561"/>
    <w:rsid w:val="008A00B1"/>
    <w:rsid w:val="008A07BC"/>
    <w:rsid w:val="008A24AF"/>
    <w:rsid w:val="008A2914"/>
    <w:rsid w:val="008A35CC"/>
    <w:rsid w:val="008A3D90"/>
    <w:rsid w:val="008A6472"/>
    <w:rsid w:val="008A787F"/>
    <w:rsid w:val="008B0735"/>
    <w:rsid w:val="008B11D1"/>
    <w:rsid w:val="008B1C22"/>
    <w:rsid w:val="008B1CF3"/>
    <w:rsid w:val="008B267E"/>
    <w:rsid w:val="008B396E"/>
    <w:rsid w:val="008B4BBF"/>
    <w:rsid w:val="008B4FC2"/>
    <w:rsid w:val="008B5364"/>
    <w:rsid w:val="008B59CB"/>
    <w:rsid w:val="008B6F4B"/>
    <w:rsid w:val="008B79D9"/>
    <w:rsid w:val="008B7CF2"/>
    <w:rsid w:val="008C0058"/>
    <w:rsid w:val="008C040D"/>
    <w:rsid w:val="008C1074"/>
    <w:rsid w:val="008C1578"/>
    <w:rsid w:val="008C20FD"/>
    <w:rsid w:val="008C26B9"/>
    <w:rsid w:val="008C3F14"/>
    <w:rsid w:val="008C5109"/>
    <w:rsid w:val="008C67BA"/>
    <w:rsid w:val="008D0B54"/>
    <w:rsid w:val="008D0B8F"/>
    <w:rsid w:val="008D0C1F"/>
    <w:rsid w:val="008D0DE3"/>
    <w:rsid w:val="008D1F42"/>
    <w:rsid w:val="008D2324"/>
    <w:rsid w:val="008D28ED"/>
    <w:rsid w:val="008D291A"/>
    <w:rsid w:val="008D2D8C"/>
    <w:rsid w:val="008D3167"/>
    <w:rsid w:val="008D40AF"/>
    <w:rsid w:val="008D4B09"/>
    <w:rsid w:val="008D4BA0"/>
    <w:rsid w:val="008D57A2"/>
    <w:rsid w:val="008D6004"/>
    <w:rsid w:val="008D6579"/>
    <w:rsid w:val="008E163B"/>
    <w:rsid w:val="008E1A4A"/>
    <w:rsid w:val="008E31D9"/>
    <w:rsid w:val="008E38C9"/>
    <w:rsid w:val="008E43D8"/>
    <w:rsid w:val="008E43ED"/>
    <w:rsid w:val="008E4D8E"/>
    <w:rsid w:val="008E4E98"/>
    <w:rsid w:val="008E5506"/>
    <w:rsid w:val="008E5944"/>
    <w:rsid w:val="008E5BD7"/>
    <w:rsid w:val="008E601A"/>
    <w:rsid w:val="008E728F"/>
    <w:rsid w:val="008E7892"/>
    <w:rsid w:val="008E7C38"/>
    <w:rsid w:val="008F087E"/>
    <w:rsid w:val="008F5843"/>
    <w:rsid w:val="008F7CDF"/>
    <w:rsid w:val="009022BB"/>
    <w:rsid w:val="0090293E"/>
    <w:rsid w:val="00903766"/>
    <w:rsid w:val="00903F3F"/>
    <w:rsid w:val="00904164"/>
    <w:rsid w:val="0090434F"/>
    <w:rsid w:val="009067EB"/>
    <w:rsid w:val="00907D53"/>
    <w:rsid w:val="00910892"/>
    <w:rsid w:val="009111B5"/>
    <w:rsid w:val="009112F7"/>
    <w:rsid w:val="009123F8"/>
    <w:rsid w:val="009143F0"/>
    <w:rsid w:val="0091510D"/>
    <w:rsid w:val="00920C7B"/>
    <w:rsid w:val="00921BD4"/>
    <w:rsid w:val="009227A0"/>
    <w:rsid w:val="009231AD"/>
    <w:rsid w:val="00924159"/>
    <w:rsid w:val="00924E42"/>
    <w:rsid w:val="00925012"/>
    <w:rsid w:val="009253EC"/>
    <w:rsid w:val="00927430"/>
    <w:rsid w:val="00932274"/>
    <w:rsid w:val="009324D0"/>
    <w:rsid w:val="00932C8C"/>
    <w:rsid w:val="00932F2B"/>
    <w:rsid w:val="00933D65"/>
    <w:rsid w:val="00935CD7"/>
    <w:rsid w:val="00936459"/>
    <w:rsid w:val="009371D0"/>
    <w:rsid w:val="00941117"/>
    <w:rsid w:val="00941863"/>
    <w:rsid w:val="00942DBC"/>
    <w:rsid w:val="00944A05"/>
    <w:rsid w:val="0094592C"/>
    <w:rsid w:val="00945C50"/>
    <w:rsid w:val="00945FF9"/>
    <w:rsid w:val="009460AC"/>
    <w:rsid w:val="009466E5"/>
    <w:rsid w:val="009508A5"/>
    <w:rsid w:val="009528E5"/>
    <w:rsid w:val="00952C80"/>
    <w:rsid w:val="009543FD"/>
    <w:rsid w:val="00954564"/>
    <w:rsid w:val="00960BC0"/>
    <w:rsid w:val="00960F8A"/>
    <w:rsid w:val="009611F5"/>
    <w:rsid w:val="0096143D"/>
    <w:rsid w:val="009617BC"/>
    <w:rsid w:val="00962B9F"/>
    <w:rsid w:val="00962DA2"/>
    <w:rsid w:val="009635CE"/>
    <w:rsid w:val="00964E64"/>
    <w:rsid w:val="00965335"/>
    <w:rsid w:val="00966AFF"/>
    <w:rsid w:val="00966CED"/>
    <w:rsid w:val="00967652"/>
    <w:rsid w:val="00967B37"/>
    <w:rsid w:val="00967F21"/>
    <w:rsid w:val="00972062"/>
    <w:rsid w:val="00972D43"/>
    <w:rsid w:val="00972E3C"/>
    <w:rsid w:val="00973C27"/>
    <w:rsid w:val="00974078"/>
    <w:rsid w:val="00975BF6"/>
    <w:rsid w:val="009764F9"/>
    <w:rsid w:val="00976CC9"/>
    <w:rsid w:val="009774CB"/>
    <w:rsid w:val="00980919"/>
    <w:rsid w:val="00980946"/>
    <w:rsid w:val="00980F8B"/>
    <w:rsid w:val="0098201A"/>
    <w:rsid w:val="00982FC3"/>
    <w:rsid w:val="009845B3"/>
    <w:rsid w:val="0098612F"/>
    <w:rsid w:val="00986B0B"/>
    <w:rsid w:val="00986DD1"/>
    <w:rsid w:val="009877EC"/>
    <w:rsid w:val="009902F3"/>
    <w:rsid w:val="00992312"/>
    <w:rsid w:val="00992763"/>
    <w:rsid w:val="00992B4C"/>
    <w:rsid w:val="0099374B"/>
    <w:rsid w:val="00993F69"/>
    <w:rsid w:val="00994890"/>
    <w:rsid w:val="00995AD7"/>
    <w:rsid w:val="00995E06"/>
    <w:rsid w:val="00996088"/>
    <w:rsid w:val="0099686E"/>
    <w:rsid w:val="00997CB1"/>
    <w:rsid w:val="009A1B06"/>
    <w:rsid w:val="009A328F"/>
    <w:rsid w:val="009A32DB"/>
    <w:rsid w:val="009A3E7A"/>
    <w:rsid w:val="009A3EC2"/>
    <w:rsid w:val="009A6064"/>
    <w:rsid w:val="009B02F4"/>
    <w:rsid w:val="009B22F1"/>
    <w:rsid w:val="009B2690"/>
    <w:rsid w:val="009B2A4D"/>
    <w:rsid w:val="009B2DB6"/>
    <w:rsid w:val="009B3089"/>
    <w:rsid w:val="009B3BEA"/>
    <w:rsid w:val="009B3E8C"/>
    <w:rsid w:val="009B3F67"/>
    <w:rsid w:val="009B4098"/>
    <w:rsid w:val="009B47A9"/>
    <w:rsid w:val="009B4E87"/>
    <w:rsid w:val="009B5CD7"/>
    <w:rsid w:val="009C11EF"/>
    <w:rsid w:val="009C2964"/>
    <w:rsid w:val="009C2DBF"/>
    <w:rsid w:val="009C3D0E"/>
    <w:rsid w:val="009D0490"/>
    <w:rsid w:val="009D1649"/>
    <w:rsid w:val="009D20CD"/>
    <w:rsid w:val="009D36B6"/>
    <w:rsid w:val="009D3997"/>
    <w:rsid w:val="009D41D4"/>
    <w:rsid w:val="009D52C8"/>
    <w:rsid w:val="009D54CA"/>
    <w:rsid w:val="009D5962"/>
    <w:rsid w:val="009D5B75"/>
    <w:rsid w:val="009D5FD2"/>
    <w:rsid w:val="009D7E08"/>
    <w:rsid w:val="009E02AD"/>
    <w:rsid w:val="009E1565"/>
    <w:rsid w:val="009E19BC"/>
    <w:rsid w:val="009E204A"/>
    <w:rsid w:val="009E3241"/>
    <w:rsid w:val="009E51DA"/>
    <w:rsid w:val="009E5765"/>
    <w:rsid w:val="009E58A1"/>
    <w:rsid w:val="009E646F"/>
    <w:rsid w:val="009E6842"/>
    <w:rsid w:val="009E7F57"/>
    <w:rsid w:val="009F10E3"/>
    <w:rsid w:val="009F2FAC"/>
    <w:rsid w:val="009F5C46"/>
    <w:rsid w:val="009F65F7"/>
    <w:rsid w:val="009F66BA"/>
    <w:rsid w:val="00A00C49"/>
    <w:rsid w:val="00A00CA7"/>
    <w:rsid w:val="00A0271D"/>
    <w:rsid w:val="00A02A93"/>
    <w:rsid w:val="00A03E2E"/>
    <w:rsid w:val="00A04130"/>
    <w:rsid w:val="00A04355"/>
    <w:rsid w:val="00A050BB"/>
    <w:rsid w:val="00A0674D"/>
    <w:rsid w:val="00A06ACA"/>
    <w:rsid w:val="00A07CD9"/>
    <w:rsid w:val="00A10199"/>
    <w:rsid w:val="00A10BF3"/>
    <w:rsid w:val="00A11385"/>
    <w:rsid w:val="00A11591"/>
    <w:rsid w:val="00A11AD2"/>
    <w:rsid w:val="00A12FAD"/>
    <w:rsid w:val="00A1548C"/>
    <w:rsid w:val="00A15914"/>
    <w:rsid w:val="00A159E8"/>
    <w:rsid w:val="00A16188"/>
    <w:rsid w:val="00A175E7"/>
    <w:rsid w:val="00A17A39"/>
    <w:rsid w:val="00A21E2E"/>
    <w:rsid w:val="00A2225C"/>
    <w:rsid w:val="00A22626"/>
    <w:rsid w:val="00A2332B"/>
    <w:rsid w:val="00A240FE"/>
    <w:rsid w:val="00A25498"/>
    <w:rsid w:val="00A256D3"/>
    <w:rsid w:val="00A26724"/>
    <w:rsid w:val="00A268A3"/>
    <w:rsid w:val="00A26A48"/>
    <w:rsid w:val="00A27160"/>
    <w:rsid w:val="00A325A8"/>
    <w:rsid w:val="00A33593"/>
    <w:rsid w:val="00A3501F"/>
    <w:rsid w:val="00A35466"/>
    <w:rsid w:val="00A359E7"/>
    <w:rsid w:val="00A37D3E"/>
    <w:rsid w:val="00A41825"/>
    <w:rsid w:val="00A4190F"/>
    <w:rsid w:val="00A42351"/>
    <w:rsid w:val="00A428E3"/>
    <w:rsid w:val="00A433B9"/>
    <w:rsid w:val="00A43732"/>
    <w:rsid w:val="00A441E8"/>
    <w:rsid w:val="00A449C7"/>
    <w:rsid w:val="00A45750"/>
    <w:rsid w:val="00A45976"/>
    <w:rsid w:val="00A46282"/>
    <w:rsid w:val="00A46CF7"/>
    <w:rsid w:val="00A5068B"/>
    <w:rsid w:val="00A51492"/>
    <w:rsid w:val="00A51B54"/>
    <w:rsid w:val="00A52F8A"/>
    <w:rsid w:val="00A531C6"/>
    <w:rsid w:val="00A54138"/>
    <w:rsid w:val="00A545D7"/>
    <w:rsid w:val="00A54916"/>
    <w:rsid w:val="00A55084"/>
    <w:rsid w:val="00A55505"/>
    <w:rsid w:val="00A55B15"/>
    <w:rsid w:val="00A55EBE"/>
    <w:rsid w:val="00A569DF"/>
    <w:rsid w:val="00A6017A"/>
    <w:rsid w:val="00A61663"/>
    <w:rsid w:val="00A633BB"/>
    <w:rsid w:val="00A633C9"/>
    <w:rsid w:val="00A63D7D"/>
    <w:rsid w:val="00A641CE"/>
    <w:rsid w:val="00A642F1"/>
    <w:rsid w:val="00A64A8D"/>
    <w:rsid w:val="00A65621"/>
    <w:rsid w:val="00A65855"/>
    <w:rsid w:val="00A65EDC"/>
    <w:rsid w:val="00A6785F"/>
    <w:rsid w:val="00A67AB6"/>
    <w:rsid w:val="00A70582"/>
    <w:rsid w:val="00A709D5"/>
    <w:rsid w:val="00A71B66"/>
    <w:rsid w:val="00A72388"/>
    <w:rsid w:val="00A724EC"/>
    <w:rsid w:val="00A72EEF"/>
    <w:rsid w:val="00A7338B"/>
    <w:rsid w:val="00A7395A"/>
    <w:rsid w:val="00A74144"/>
    <w:rsid w:val="00A75284"/>
    <w:rsid w:val="00A75713"/>
    <w:rsid w:val="00A763F0"/>
    <w:rsid w:val="00A7661D"/>
    <w:rsid w:val="00A76E23"/>
    <w:rsid w:val="00A774FC"/>
    <w:rsid w:val="00A80202"/>
    <w:rsid w:val="00A80807"/>
    <w:rsid w:val="00A80CE3"/>
    <w:rsid w:val="00A81B99"/>
    <w:rsid w:val="00A821BF"/>
    <w:rsid w:val="00A8316C"/>
    <w:rsid w:val="00A84805"/>
    <w:rsid w:val="00A85040"/>
    <w:rsid w:val="00A851B4"/>
    <w:rsid w:val="00A851CC"/>
    <w:rsid w:val="00A863E2"/>
    <w:rsid w:val="00A869DD"/>
    <w:rsid w:val="00A8723C"/>
    <w:rsid w:val="00A873AF"/>
    <w:rsid w:val="00A87A6F"/>
    <w:rsid w:val="00A90E2F"/>
    <w:rsid w:val="00A9111E"/>
    <w:rsid w:val="00A91447"/>
    <w:rsid w:val="00A91BF2"/>
    <w:rsid w:val="00A92000"/>
    <w:rsid w:val="00A9204B"/>
    <w:rsid w:val="00A925F8"/>
    <w:rsid w:val="00A9272A"/>
    <w:rsid w:val="00A92A0F"/>
    <w:rsid w:val="00A936FB"/>
    <w:rsid w:val="00A93790"/>
    <w:rsid w:val="00A95473"/>
    <w:rsid w:val="00A95C29"/>
    <w:rsid w:val="00A97676"/>
    <w:rsid w:val="00A97920"/>
    <w:rsid w:val="00AA0112"/>
    <w:rsid w:val="00AA0193"/>
    <w:rsid w:val="00AA1E1F"/>
    <w:rsid w:val="00AA2097"/>
    <w:rsid w:val="00AA216E"/>
    <w:rsid w:val="00AA2808"/>
    <w:rsid w:val="00AA2CFA"/>
    <w:rsid w:val="00AA3116"/>
    <w:rsid w:val="00AA361E"/>
    <w:rsid w:val="00AA3C67"/>
    <w:rsid w:val="00AA45DD"/>
    <w:rsid w:val="00AA5706"/>
    <w:rsid w:val="00AA58D8"/>
    <w:rsid w:val="00AA6F91"/>
    <w:rsid w:val="00AA7738"/>
    <w:rsid w:val="00AB03F1"/>
    <w:rsid w:val="00AB172B"/>
    <w:rsid w:val="00AB1F44"/>
    <w:rsid w:val="00AB3844"/>
    <w:rsid w:val="00AB38AB"/>
    <w:rsid w:val="00AB38D7"/>
    <w:rsid w:val="00AB3A01"/>
    <w:rsid w:val="00AB4503"/>
    <w:rsid w:val="00AB48A7"/>
    <w:rsid w:val="00AB4FB7"/>
    <w:rsid w:val="00AB4FF6"/>
    <w:rsid w:val="00AB5191"/>
    <w:rsid w:val="00AB6924"/>
    <w:rsid w:val="00AB6A77"/>
    <w:rsid w:val="00AB70F9"/>
    <w:rsid w:val="00AC0A64"/>
    <w:rsid w:val="00AC14F2"/>
    <w:rsid w:val="00AC227D"/>
    <w:rsid w:val="00AC28C6"/>
    <w:rsid w:val="00AC2C87"/>
    <w:rsid w:val="00AC367A"/>
    <w:rsid w:val="00AC3E22"/>
    <w:rsid w:val="00AC49A5"/>
    <w:rsid w:val="00AC5694"/>
    <w:rsid w:val="00AC5A3A"/>
    <w:rsid w:val="00AC632A"/>
    <w:rsid w:val="00AC781E"/>
    <w:rsid w:val="00AD00ED"/>
    <w:rsid w:val="00AD04E2"/>
    <w:rsid w:val="00AD13A4"/>
    <w:rsid w:val="00AD1786"/>
    <w:rsid w:val="00AD31F3"/>
    <w:rsid w:val="00AD33DE"/>
    <w:rsid w:val="00AD4353"/>
    <w:rsid w:val="00AD5D8F"/>
    <w:rsid w:val="00AD7DC2"/>
    <w:rsid w:val="00AE026F"/>
    <w:rsid w:val="00AE0FBF"/>
    <w:rsid w:val="00AE20EA"/>
    <w:rsid w:val="00AE24A5"/>
    <w:rsid w:val="00AE4D69"/>
    <w:rsid w:val="00AE4D6B"/>
    <w:rsid w:val="00AE51CA"/>
    <w:rsid w:val="00AE552A"/>
    <w:rsid w:val="00AE570B"/>
    <w:rsid w:val="00AE6A19"/>
    <w:rsid w:val="00AE73D7"/>
    <w:rsid w:val="00AE7F54"/>
    <w:rsid w:val="00AF0B16"/>
    <w:rsid w:val="00AF0FD9"/>
    <w:rsid w:val="00AF1477"/>
    <w:rsid w:val="00AF24C0"/>
    <w:rsid w:val="00AF277F"/>
    <w:rsid w:val="00AF2D3D"/>
    <w:rsid w:val="00AF350A"/>
    <w:rsid w:val="00AF4EEC"/>
    <w:rsid w:val="00AF7B4B"/>
    <w:rsid w:val="00AF7EF1"/>
    <w:rsid w:val="00B00406"/>
    <w:rsid w:val="00B00721"/>
    <w:rsid w:val="00B009EC"/>
    <w:rsid w:val="00B023AE"/>
    <w:rsid w:val="00B028AA"/>
    <w:rsid w:val="00B03C21"/>
    <w:rsid w:val="00B04558"/>
    <w:rsid w:val="00B047E6"/>
    <w:rsid w:val="00B05C76"/>
    <w:rsid w:val="00B10119"/>
    <w:rsid w:val="00B10860"/>
    <w:rsid w:val="00B11957"/>
    <w:rsid w:val="00B1233E"/>
    <w:rsid w:val="00B15A4E"/>
    <w:rsid w:val="00B15DE0"/>
    <w:rsid w:val="00B16915"/>
    <w:rsid w:val="00B16C5A"/>
    <w:rsid w:val="00B17711"/>
    <w:rsid w:val="00B17EE5"/>
    <w:rsid w:val="00B2037F"/>
    <w:rsid w:val="00B2041E"/>
    <w:rsid w:val="00B20DF4"/>
    <w:rsid w:val="00B24054"/>
    <w:rsid w:val="00B25282"/>
    <w:rsid w:val="00B2536B"/>
    <w:rsid w:val="00B257A3"/>
    <w:rsid w:val="00B25AB0"/>
    <w:rsid w:val="00B25B19"/>
    <w:rsid w:val="00B275C6"/>
    <w:rsid w:val="00B279C3"/>
    <w:rsid w:val="00B27FA3"/>
    <w:rsid w:val="00B303DC"/>
    <w:rsid w:val="00B30E9F"/>
    <w:rsid w:val="00B31D62"/>
    <w:rsid w:val="00B32CF9"/>
    <w:rsid w:val="00B342BA"/>
    <w:rsid w:val="00B3564D"/>
    <w:rsid w:val="00B3588F"/>
    <w:rsid w:val="00B35BE0"/>
    <w:rsid w:val="00B36EBD"/>
    <w:rsid w:val="00B37925"/>
    <w:rsid w:val="00B37AFB"/>
    <w:rsid w:val="00B40164"/>
    <w:rsid w:val="00B43225"/>
    <w:rsid w:val="00B434C3"/>
    <w:rsid w:val="00B43DE9"/>
    <w:rsid w:val="00B4523A"/>
    <w:rsid w:val="00B45CFC"/>
    <w:rsid w:val="00B46BF6"/>
    <w:rsid w:val="00B4705B"/>
    <w:rsid w:val="00B511E8"/>
    <w:rsid w:val="00B51F40"/>
    <w:rsid w:val="00B520D1"/>
    <w:rsid w:val="00B53131"/>
    <w:rsid w:val="00B54D90"/>
    <w:rsid w:val="00B55498"/>
    <w:rsid w:val="00B559DE"/>
    <w:rsid w:val="00B55FED"/>
    <w:rsid w:val="00B562D8"/>
    <w:rsid w:val="00B569E9"/>
    <w:rsid w:val="00B573BF"/>
    <w:rsid w:val="00B5769E"/>
    <w:rsid w:val="00B60058"/>
    <w:rsid w:val="00B61A2A"/>
    <w:rsid w:val="00B64E2F"/>
    <w:rsid w:val="00B663D2"/>
    <w:rsid w:val="00B66A24"/>
    <w:rsid w:val="00B67858"/>
    <w:rsid w:val="00B67CF9"/>
    <w:rsid w:val="00B71D5F"/>
    <w:rsid w:val="00B73B1D"/>
    <w:rsid w:val="00B757A4"/>
    <w:rsid w:val="00B759F0"/>
    <w:rsid w:val="00B766CB"/>
    <w:rsid w:val="00B77197"/>
    <w:rsid w:val="00B8044D"/>
    <w:rsid w:val="00B81C63"/>
    <w:rsid w:val="00B833FA"/>
    <w:rsid w:val="00B836D9"/>
    <w:rsid w:val="00B84D96"/>
    <w:rsid w:val="00B8725C"/>
    <w:rsid w:val="00B9055D"/>
    <w:rsid w:val="00B909D8"/>
    <w:rsid w:val="00B91D99"/>
    <w:rsid w:val="00B920D7"/>
    <w:rsid w:val="00B92222"/>
    <w:rsid w:val="00B92A1C"/>
    <w:rsid w:val="00B931F3"/>
    <w:rsid w:val="00B94540"/>
    <w:rsid w:val="00B95C2C"/>
    <w:rsid w:val="00BA019A"/>
    <w:rsid w:val="00BA0DB4"/>
    <w:rsid w:val="00BA166C"/>
    <w:rsid w:val="00BA1A23"/>
    <w:rsid w:val="00BA2490"/>
    <w:rsid w:val="00BA48F3"/>
    <w:rsid w:val="00BA4E43"/>
    <w:rsid w:val="00BA568D"/>
    <w:rsid w:val="00BA60EA"/>
    <w:rsid w:val="00BA655F"/>
    <w:rsid w:val="00BA66DC"/>
    <w:rsid w:val="00BA67ED"/>
    <w:rsid w:val="00BA6F11"/>
    <w:rsid w:val="00BA797D"/>
    <w:rsid w:val="00BB1520"/>
    <w:rsid w:val="00BB24D1"/>
    <w:rsid w:val="00BB392F"/>
    <w:rsid w:val="00BB671B"/>
    <w:rsid w:val="00BB6BD2"/>
    <w:rsid w:val="00BB791D"/>
    <w:rsid w:val="00BB7BAF"/>
    <w:rsid w:val="00BC05F7"/>
    <w:rsid w:val="00BC09BE"/>
    <w:rsid w:val="00BC0F19"/>
    <w:rsid w:val="00BC13B4"/>
    <w:rsid w:val="00BC3A1F"/>
    <w:rsid w:val="00BC5122"/>
    <w:rsid w:val="00BC53CC"/>
    <w:rsid w:val="00BC6835"/>
    <w:rsid w:val="00BC6A1F"/>
    <w:rsid w:val="00BC6E4C"/>
    <w:rsid w:val="00BC73B6"/>
    <w:rsid w:val="00BC7C5A"/>
    <w:rsid w:val="00BD0B7F"/>
    <w:rsid w:val="00BD0BB4"/>
    <w:rsid w:val="00BD0C05"/>
    <w:rsid w:val="00BD277C"/>
    <w:rsid w:val="00BD3375"/>
    <w:rsid w:val="00BD5144"/>
    <w:rsid w:val="00BD5DAF"/>
    <w:rsid w:val="00BD636A"/>
    <w:rsid w:val="00BD6562"/>
    <w:rsid w:val="00BD6682"/>
    <w:rsid w:val="00BD6B57"/>
    <w:rsid w:val="00BD7026"/>
    <w:rsid w:val="00BD77CA"/>
    <w:rsid w:val="00BD79B0"/>
    <w:rsid w:val="00BE017D"/>
    <w:rsid w:val="00BE0ABA"/>
    <w:rsid w:val="00BE1925"/>
    <w:rsid w:val="00BE1B86"/>
    <w:rsid w:val="00BE1CCF"/>
    <w:rsid w:val="00BE1E85"/>
    <w:rsid w:val="00BE3040"/>
    <w:rsid w:val="00BE35A9"/>
    <w:rsid w:val="00BE4079"/>
    <w:rsid w:val="00BE46B8"/>
    <w:rsid w:val="00BE4ED0"/>
    <w:rsid w:val="00BE4FC8"/>
    <w:rsid w:val="00BE604B"/>
    <w:rsid w:val="00BE6FAE"/>
    <w:rsid w:val="00BE773A"/>
    <w:rsid w:val="00BE7F8A"/>
    <w:rsid w:val="00BF2218"/>
    <w:rsid w:val="00BF2B64"/>
    <w:rsid w:val="00BF49B8"/>
    <w:rsid w:val="00BF61B4"/>
    <w:rsid w:val="00BF7332"/>
    <w:rsid w:val="00BF7762"/>
    <w:rsid w:val="00BF7B50"/>
    <w:rsid w:val="00C002C5"/>
    <w:rsid w:val="00C00B18"/>
    <w:rsid w:val="00C01521"/>
    <w:rsid w:val="00C0241F"/>
    <w:rsid w:val="00C02E38"/>
    <w:rsid w:val="00C031C8"/>
    <w:rsid w:val="00C033A8"/>
    <w:rsid w:val="00C0361B"/>
    <w:rsid w:val="00C03B3C"/>
    <w:rsid w:val="00C03D9D"/>
    <w:rsid w:val="00C0451B"/>
    <w:rsid w:val="00C06A6A"/>
    <w:rsid w:val="00C06E49"/>
    <w:rsid w:val="00C07E79"/>
    <w:rsid w:val="00C11113"/>
    <w:rsid w:val="00C11799"/>
    <w:rsid w:val="00C11952"/>
    <w:rsid w:val="00C12301"/>
    <w:rsid w:val="00C12BE0"/>
    <w:rsid w:val="00C142AB"/>
    <w:rsid w:val="00C14417"/>
    <w:rsid w:val="00C14AFB"/>
    <w:rsid w:val="00C150BA"/>
    <w:rsid w:val="00C15728"/>
    <w:rsid w:val="00C15B41"/>
    <w:rsid w:val="00C16151"/>
    <w:rsid w:val="00C164DB"/>
    <w:rsid w:val="00C21D46"/>
    <w:rsid w:val="00C22594"/>
    <w:rsid w:val="00C22B8B"/>
    <w:rsid w:val="00C235BC"/>
    <w:rsid w:val="00C24DA6"/>
    <w:rsid w:val="00C24FFC"/>
    <w:rsid w:val="00C263C8"/>
    <w:rsid w:val="00C268CA"/>
    <w:rsid w:val="00C270C6"/>
    <w:rsid w:val="00C27392"/>
    <w:rsid w:val="00C27431"/>
    <w:rsid w:val="00C307E4"/>
    <w:rsid w:val="00C31146"/>
    <w:rsid w:val="00C3119B"/>
    <w:rsid w:val="00C313C5"/>
    <w:rsid w:val="00C31558"/>
    <w:rsid w:val="00C31953"/>
    <w:rsid w:val="00C32AE6"/>
    <w:rsid w:val="00C32FE2"/>
    <w:rsid w:val="00C34440"/>
    <w:rsid w:val="00C347FE"/>
    <w:rsid w:val="00C35E8C"/>
    <w:rsid w:val="00C37BCA"/>
    <w:rsid w:val="00C407AC"/>
    <w:rsid w:val="00C41414"/>
    <w:rsid w:val="00C428EC"/>
    <w:rsid w:val="00C4352C"/>
    <w:rsid w:val="00C439BC"/>
    <w:rsid w:val="00C44FC3"/>
    <w:rsid w:val="00C45249"/>
    <w:rsid w:val="00C463CB"/>
    <w:rsid w:val="00C46B53"/>
    <w:rsid w:val="00C477E1"/>
    <w:rsid w:val="00C47D70"/>
    <w:rsid w:val="00C50FB7"/>
    <w:rsid w:val="00C51ED0"/>
    <w:rsid w:val="00C53A37"/>
    <w:rsid w:val="00C54DD0"/>
    <w:rsid w:val="00C559FC"/>
    <w:rsid w:val="00C56ED6"/>
    <w:rsid w:val="00C57757"/>
    <w:rsid w:val="00C60307"/>
    <w:rsid w:val="00C61686"/>
    <w:rsid w:val="00C61D7A"/>
    <w:rsid w:val="00C62A24"/>
    <w:rsid w:val="00C6301F"/>
    <w:rsid w:val="00C65A52"/>
    <w:rsid w:val="00C65B5D"/>
    <w:rsid w:val="00C65EB3"/>
    <w:rsid w:val="00C66B28"/>
    <w:rsid w:val="00C66B76"/>
    <w:rsid w:val="00C7184B"/>
    <w:rsid w:val="00C720F0"/>
    <w:rsid w:val="00C730E2"/>
    <w:rsid w:val="00C74A43"/>
    <w:rsid w:val="00C74DC7"/>
    <w:rsid w:val="00C752B5"/>
    <w:rsid w:val="00C754C6"/>
    <w:rsid w:val="00C7552A"/>
    <w:rsid w:val="00C75B25"/>
    <w:rsid w:val="00C8031C"/>
    <w:rsid w:val="00C80665"/>
    <w:rsid w:val="00C80700"/>
    <w:rsid w:val="00C80886"/>
    <w:rsid w:val="00C80A4E"/>
    <w:rsid w:val="00C80FF6"/>
    <w:rsid w:val="00C82CC2"/>
    <w:rsid w:val="00C84B99"/>
    <w:rsid w:val="00C86061"/>
    <w:rsid w:val="00C8621D"/>
    <w:rsid w:val="00C875CB"/>
    <w:rsid w:val="00C9003B"/>
    <w:rsid w:val="00C91AD0"/>
    <w:rsid w:val="00C932C3"/>
    <w:rsid w:val="00C955CF"/>
    <w:rsid w:val="00C958DA"/>
    <w:rsid w:val="00C95BB7"/>
    <w:rsid w:val="00C95D00"/>
    <w:rsid w:val="00C965C1"/>
    <w:rsid w:val="00C96AC6"/>
    <w:rsid w:val="00C96DF1"/>
    <w:rsid w:val="00C97435"/>
    <w:rsid w:val="00CA00DE"/>
    <w:rsid w:val="00CA020D"/>
    <w:rsid w:val="00CA04F4"/>
    <w:rsid w:val="00CA1143"/>
    <w:rsid w:val="00CA19FF"/>
    <w:rsid w:val="00CA3628"/>
    <w:rsid w:val="00CA387F"/>
    <w:rsid w:val="00CA3CF8"/>
    <w:rsid w:val="00CA3DCA"/>
    <w:rsid w:val="00CA5C02"/>
    <w:rsid w:val="00CB1843"/>
    <w:rsid w:val="00CB2034"/>
    <w:rsid w:val="00CB226D"/>
    <w:rsid w:val="00CB246A"/>
    <w:rsid w:val="00CB2A37"/>
    <w:rsid w:val="00CB2EF1"/>
    <w:rsid w:val="00CB3EA1"/>
    <w:rsid w:val="00CB4B81"/>
    <w:rsid w:val="00CB4D74"/>
    <w:rsid w:val="00CB6607"/>
    <w:rsid w:val="00CB7803"/>
    <w:rsid w:val="00CC13CD"/>
    <w:rsid w:val="00CC2F39"/>
    <w:rsid w:val="00CC33DC"/>
    <w:rsid w:val="00CC4822"/>
    <w:rsid w:val="00CC6D73"/>
    <w:rsid w:val="00CC7B88"/>
    <w:rsid w:val="00CC7DC8"/>
    <w:rsid w:val="00CD221D"/>
    <w:rsid w:val="00CD274D"/>
    <w:rsid w:val="00CD3804"/>
    <w:rsid w:val="00CD3DE6"/>
    <w:rsid w:val="00CD45F1"/>
    <w:rsid w:val="00CD4603"/>
    <w:rsid w:val="00CD4614"/>
    <w:rsid w:val="00CD5940"/>
    <w:rsid w:val="00CD77E4"/>
    <w:rsid w:val="00CD799A"/>
    <w:rsid w:val="00CE031B"/>
    <w:rsid w:val="00CE13C4"/>
    <w:rsid w:val="00CE3321"/>
    <w:rsid w:val="00CE3331"/>
    <w:rsid w:val="00CE3B06"/>
    <w:rsid w:val="00CE3F65"/>
    <w:rsid w:val="00CE4C97"/>
    <w:rsid w:val="00CF0A19"/>
    <w:rsid w:val="00CF0FCA"/>
    <w:rsid w:val="00CF1A93"/>
    <w:rsid w:val="00CF1F27"/>
    <w:rsid w:val="00CF244F"/>
    <w:rsid w:val="00CF3037"/>
    <w:rsid w:val="00CF4497"/>
    <w:rsid w:val="00CF552A"/>
    <w:rsid w:val="00CF5B0C"/>
    <w:rsid w:val="00CF706E"/>
    <w:rsid w:val="00CF7D77"/>
    <w:rsid w:val="00CF7EEC"/>
    <w:rsid w:val="00D00F9F"/>
    <w:rsid w:val="00D023DD"/>
    <w:rsid w:val="00D024AB"/>
    <w:rsid w:val="00D03BF7"/>
    <w:rsid w:val="00D03CDE"/>
    <w:rsid w:val="00D044DB"/>
    <w:rsid w:val="00D06F83"/>
    <w:rsid w:val="00D07B70"/>
    <w:rsid w:val="00D12A7B"/>
    <w:rsid w:val="00D1661C"/>
    <w:rsid w:val="00D20381"/>
    <w:rsid w:val="00D2070C"/>
    <w:rsid w:val="00D20D45"/>
    <w:rsid w:val="00D22A56"/>
    <w:rsid w:val="00D23290"/>
    <w:rsid w:val="00D25868"/>
    <w:rsid w:val="00D26D25"/>
    <w:rsid w:val="00D27A0B"/>
    <w:rsid w:val="00D27AA5"/>
    <w:rsid w:val="00D31F39"/>
    <w:rsid w:val="00D320D8"/>
    <w:rsid w:val="00D32233"/>
    <w:rsid w:val="00D3225F"/>
    <w:rsid w:val="00D32ED8"/>
    <w:rsid w:val="00D3340A"/>
    <w:rsid w:val="00D355F8"/>
    <w:rsid w:val="00D3613A"/>
    <w:rsid w:val="00D366FB"/>
    <w:rsid w:val="00D3684A"/>
    <w:rsid w:val="00D36A7B"/>
    <w:rsid w:val="00D40CDA"/>
    <w:rsid w:val="00D40EDF"/>
    <w:rsid w:val="00D40EF1"/>
    <w:rsid w:val="00D40F85"/>
    <w:rsid w:val="00D4166B"/>
    <w:rsid w:val="00D4167C"/>
    <w:rsid w:val="00D4282F"/>
    <w:rsid w:val="00D4317B"/>
    <w:rsid w:val="00D4355B"/>
    <w:rsid w:val="00D459CB"/>
    <w:rsid w:val="00D46789"/>
    <w:rsid w:val="00D4696F"/>
    <w:rsid w:val="00D46B7B"/>
    <w:rsid w:val="00D47CD6"/>
    <w:rsid w:val="00D47F36"/>
    <w:rsid w:val="00D502E0"/>
    <w:rsid w:val="00D508BF"/>
    <w:rsid w:val="00D52B2A"/>
    <w:rsid w:val="00D54571"/>
    <w:rsid w:val="00D54805"/>
    <w:rsid w:val="00D54C51"/>
    <w:rsid w:val="00D55A29"/>
    <w:rsid w:val="00D56C92"/>
    <w:rsid w:val="00D5712F"/>
    <w:rsid w:val="00D57868"/>
    <w:rsid w:val="00D60A1D"/>
    <w:rsid w:val="00D612A2"/>
    <w:rsid w:val="00D618E7"/>
    <w:rsid w:val="00D61A6C"/>
    <w:rsid w:val="00D636E8"/>
    <w:rsid w:val="00D650A0"/>
    <w:rsid w:val="00D66E31"/>
    <w:rsid w:val="00D701E1"/>
    <w:rsid w:val="00D7166E"/>
    <w:rsid w:val="00D71C81"/>
    <w:rsid w:val="00D72B69"/>
    <w:rsid w:val="00D72BF1"/>
    <w:rsid w:val="00D72EB3"/>
    <w:rsid w:val="00D75879"/>
    <w:rsid w:val="00D76E6E"/>
    <w:rsid w:val="00D80E4D"/>
    <w:rsid w:val="00D8281A"/>
    <w:rsid w:val="00D82AD2"/>
    <w:rsid w:val="00D82CA9"/>
    <w:rsid w:val="00D82DDD"/>
    <w:rsid w:val="00D84031"/>
    <w:rsid w:val="00D848BE"/>
    <w:rsid w:val="00D84D46"/>
    <w:rsid w:val="00D85272"/>
    <w:rsid w:val="00D86B77"/>
    <w:rsid w:val="00D86ED1"/>
    <w:rsid w:val="00D8735D"/>
    <w:rsid w:val="00D911DA"/>
    <w:rsid w:val="00D916BE"/>
    <w:rsid w:val="00D944B6"/>
    <w:rsid w:val="00D94F47"/>
    <w:rsid w:val="00D95671"/>
    <w:rsid w:val="00D9678D"/>
    <w:rsid w:val="00D9705E"/>
    <w:rsid w:val="00D97936"/>
    <w:rsid w:val="00DA06F3"/>
    <w:rsid w:val="00DA1156"/>
    <w:rsid w:val="00DA1795"/>
    <w:rsid w:val="00DA2425"/>
    <w:rsid w:val="00DA328E"/>
    <w:rsid w:val="00DA3D69"/>
    <w:rsid w:val="00DA484B"/>
    <w:rsid w:val="00DA6F1C"/>
    <w:rsid w:val="00DA77B7"/>
    <w:rsid w:val="00DA7E19"/>
    <w:rsid w:val="00DB0021"/>
    <w:rsid w:val="00DB02AF"/>
    <w:rsid w:val="00DB294B"/>
    <w:rsid w:val="00DB2E81"/>
    <w:rsid w:val="00DB30EB"/>
    <w:rsid w:val="00DB3231"/>
    <w:rsid w:val="00DB64E2"/>
    <w:rsid w:val="00DB7BBA"/>
    <w:rsid w:val="00DC0523"/>
    <w:rsid w:val="00DC388A"/>
    <w:rsid w:val="00DC4D5F"/>
    <w:rsid w:val="00DC588A"/>
    <w:rsid w:val="00DC66B2"/>
    <w:rsid w:val="00DC791B"/>
    <w:rsid w:val="00DD09F6"/>
    <w:rsid w:val="00DD207A"/>
    <w:rsid w:val="00DD25BF"/>
    <w:rsid w:val="00DD299C"/>
    <w:rsid w:val="00DD57AE"/>
    <w:rsid w:val="00DD7DC7"/>
    <w:rsid w:val="00DE0808"/>
    <w:rsid w:val="00DE08FC"/>
    <w:rsid w:val="00DE0FD4"/>
    <w:rsid w:val="00DE2431"/>
    <w:rsid w:val="00DE4246"/>
    <w:rsid w:val="00DE536B"/>
    <w:rsid w:val="00DE5D94"/>
    <w:rsid w:val="00DE6721"/>
    <w:rsid w:val="00DE72BA"/>
    <w:rsid w:val="00DF06B4"/>
    <w:rsid w:val="00DF0EFE"/>
    <w:rsid w:val="00DF10C7"/>
    <w:rsid w:val="00DF221E"/>
    <w:rsid w:val="00DF38EF"/>
    <w:rsid w:val="00DF42D8"/>
    <w:rsid w:val="00DF5C45"/>
    <w:rsid w:val="00DF5D04"/>
    <w:rsid w:val="00DF62EE"/>
    <w:rsid w:val="00DF7CDE"/>
    <w:rsid w:val="00E00530"/>
    <w:rsid w:val="00E01043"/>
    <w:rsid w:val="00E016D9"/>
    <w:rsid w:val="00E020CC"/>
    <w:rsid w:val="00E02C3B"/>
    <w:rsid w:val="00E03837"/>
    <w:rsid w:val="00E045BA"/>
    <w:rsid w:val="00E054CB"/>
    <w:rsid w:val="00E0621D"/>
    <w:rsid w:val="00E0651D"/>
    <w:rsid w:val="00E06529"/>
    <w:rsid w:val="00E07B6E"/>
    <w:rsid w:val="00E11B53"/>
    <w:rsid w:val="00E12B4E"/>
    <w:rsid w:val="00E14A32"/>
    <w:rsid w:val="00E14AE1"/>
    <w:rsid w:val="00E14C9B"/>
    <w:rsid w:val="00E162B3"/>
    <w:rsid w:val="00E16E56"/>
    <w:rsid w:val="00E171EA"/>
    <w:rsid w:val="00E23492"/>
    <w:rsid w:val="00E25C19"/>
    <w:rsid w:val="00E25EDB"/>
    <w:rsid w:val="00E2682F"/>
    <w:rsid w:val="00E26A79"/>
    <w:rsid w:val="00E26D15"/>
    <w:rsid w:val="00E26E62"/>
    <w:rsid w:val="00E26F99"/>
    <w:rsid w:val="00E277C9"/>
    <w:rsid w:val="00E308D7"/>
    <w:rsid w:val="00E30CC2"/>
    <w:rsid w:val="00E30DA2"/>
    <w:rsid w:val="00E32FEB"/>
    <w:rsid w:val="00E33831"/>
    <w:rsid w:val="00E3384A"/>
    <w:rsid w:val="00E33AE6"/>
    <w:rsid w:val="00E37035"/>
    <w:rsid w:val="00E4090A"/>
    <w:rsid w:val="00E41AD3"/>
    <w:rsid w:val="00E41BC8"/>
    <w:rsid w:val="00E434C7"/>
    <w:rsid w:val="00E436D3"/>
    <w:rsid w:val="00E438D2"/>
    <w:rsid w:val="00E45847"/>
    <w:rsid w:val="00E47E32"/>
    <w:rsid w:val="00E50358"/>
    <w:rsid w:val="00E519BF"/>
    <w:rsid w:val="00E51C33"/>
    <w:rsid w:val="00E52C94"/>
    <w:rsid w:val="00E530A1"/>
    <w:rsid w:val="00E54061"/>
    <w:rsid w:val="00E543CC"/>
    <w:rsid w:val="00E554FD"/>
    <w:rsid w:val="00E57A77"/>
    <w:rsid w:val="00E60CD9"/>
    <w:rsid w:val="00E61942"/>
    <w:rsid w:val="00E61E67"/>
    <w:rsid w:val="00E61F66"/>
    <w:rsid w:val="00E63ADD"/>
    <w:rsid w:val="00E64881"/>
    <w:rsid w:val="00E673ED"/>
    <w:rsid w:val="00E703EE"/>
    <w:rsid w:val="00E7137F"/>
    <w:rsid w:val="00E7141B"/>
    <w:rsid w:val="00E72AC9"/>
    <w:rsid w:val="00E73B77"/>
    <w:rsid w:val="00E73F37"/>
    <w:rsid w:val="00E7708F"/>
    <w:rsid w:val="00E77B1C"/>
    <w:rsid w:val="00E80165"/>
    <w:rsid w:val="00E817AD"/>
    <w:rsid w:val="00E81A40"/>
    <w:rsid w:val="00E81FB6"/>
    <w:rsid w:val="00E82CEC"/>
    <w:rsid w:val="00E847B4"/>
    <w:rsid w:val="00E85338"/>
    <w:rsid w:val="00E85A12"/>
    <w:rsid w:val="00E87803"/>
    <w:rsid w:val="00E87F1C"/>
    <w:rsid w:val="00E9169F"/>
    <w:rsid w:val="00E92419"/>
    <w:rsid w:val="00E92E93"/>
    <w:rsid w:val="00E9719C"/>
    <w:rsid w:val="00E97CBA"/>
    <w:rsid w:val="00EA01ED"/>
    <w:rsid w:val="00EA0359"/>
    <w:rsid w:val="00EA096F"/>
    <w:rsid w:val="00EA1202"/>
    <w:rsid w:val="00EA1735"/>
    <w:rsid w:val="00EA1B7D"/>
    <w:rsid w:val="00EA1D9F"/>
    <w:rsid w:val="00EA1F8F"/>
    <w:rsid w:val="00EA22BF"/>
    <w:rsid w:val="00EA2659"/>
    <w:rsid w:val="00EA2C49"/>
    <w:rsid w:val="00EA2D1F"/>
    <w:rsid w:val="00EA33A6"/>
    <w:rsid w:val="00EA3632"/>
    <w:rsid w:val="00EA4B61"/>
    <w:rsid w:val="00EA516B"/>
    <w:rsid w:val="00EA547D"/>
    <w:rsid w:val="00EA6C94"/>
    <w:rsid w:val="00EA7657"/>
    <w:rsid w:val="00EB1C4F"/>
    <w:rsid w:val="00EB274C"/>
    <w:rsid w:val="00EB2979"/>
    <w:rsid w:val="00EB2A38"/>
    <w:rsid w:val="00EB64F1"/>
    <w:rsid w:val="00EB6627"/>
    <w:rsid w:val="00EB7B73"/>
    <w:rsid w:val="00EB7BF2"/>
    <w:rsid w:val="00EC1064"/>
    <w:rsid w:val="00EC231E"/>
    <w:rsid w:val="00EC234D"/>
    <w:rsid w:val="00EC23BF"/>
    <w:rsid w:val="00EC27AF"/>
    <w:rsid w:val="00EC38F0"/>
    <w:rsid w:val="00EC4811"/>
    <w:rsid w:val="00EC54A3"/>
    <w:rsid w:val="00EC5997"/>
    <w:rsid w:val="00EC5D1D"/>
    <w:rsid w:val="00EC6241"/>
    <w:rsid w:val="00EC62B4"/>
    <w:rsid w:val="00EC6D61"/>
    <w:rsid w:val="00ED006E"/>
    <w:rsid w:val="00ED05FF"/>
    <w:rsid w:val="00ED0B4C"/>
    <w:rsid w:val="00ED0D54"/>
    <w:rsid w:val="00ED1697"/>
    <w:rsid w:val="00ED2281"/>
    <w:rsid w:val="00ED2937"/>
    <w:rsid w:val="00ED3C87"/>
    <w:rsid w:val="00ED4200"/>
    <w:rsid w:val="00ED441A"/>
    <w:rsid w:val="00ED68F7"/>
    <w:rsid w:val="00ED71F9"/>
    <w:rsid w:val="00ED74DE"/>
    <w:rsid w:val="00ED7A45"/>
    <w:rsid w:val="00EE0341"/>
    <w:rsid w:val="00EE0EB6"/>
    <w:rsid w:val="00EE15F4"/>
    <w:rsid w:val="00EE1FAD"/>
    <w:rsid w:val="00EE29B9"/>
    <w:rsid w:val="00EE3113"/>
    <w:rsid w:val="00EE3379"/>
    <w:rsid w:val="00EE41DD"/>
    <w:rsid w:val="00EE4521"/>
    <w:rsid w:val="00EE62C9"/>
    <w:rsid w:val="00EE65F6"/>
    <w:rsid w:val="00EE6EEA"/>
    <w:rsid w:val="00EF00BD"/>
    <w:rsid w:val="00EF0118"/>
    <w:rsid w:val="00EF0483"/>
    <w:rsid w:val="00EF1986"/>
    <w:rsid w:val="00EF2040"/>
    <w:rsid w:val="00EF230B"/>
    <w:rsid w:val="00EF2816"/>
    <w:rsid w:val="00EF2CAB"/>
    <w:rsid w:val="00EF4184"/>
    <w:rsid w:val="00EF6C8D"/>
    <w:rsid w:val="00F00454"/>
    <w:rsid w:val="00F00F03"/>
    <w:rsid w:val="00F02AFA"/>
    <w:rsid w:val="00F02C62"/>
    <w:rsid w:val="00F03350"/>
    <w:rsid w:val="00F06138"/>
    <w:rsid w:val="00F074BA"/>
    <w:rsid w:val="00F1109A"/>
    <w:rsid w:val="00F1160E"/>
    <w:rsid w:val="00F11BDA"/>
    <w:rsid w:val="00F12122"/>
    <w:rsid w:val="00F12F4C"/>
    <w:rsid w:val="00F1395A"/>
    <w:rsid w:val="00F13B9F"/>
    <w:rsid w:val="00F13CAB"/>
    <w:rsid w:val="00F14494"/>
    <w:rsid w:val="00F17A77"/>
    <w:rsid w:val="00F201BB"/>
    <w:rsid w:val="00F20202"/>
    <w:rsid w:val="00F206BF"/>
    <w:rsid w:val="00F20E4E"/>
    <w:rsid w:val="00F23410"/>
    <w:rsid w:val="00F23411"/>
    <w:rsid w:val="00F23DF1"/>
    <w:rsid w:val="00F2410C"/>
    <w:rsid w:val="00F24D5E"/>
    <w:rsid w:val="00F25858"/>
    <w:rsid w:val="00F25859"/>
    <w:rsid w:val="00F25A7D"/>
    <w:rsid w:val="00F25DFC"/>
    <w:rsid w:val="00F27950"/>
    <w:rsid w:val="00F27FC5"/>
    <w:rsid w:val="00F307BB"/>
    <w:rsid w:val="00F30DCB"/>
    <w:rsid w:val="00F30F75"/>
    <w:rsid w:val="00F31B35"/>
    <w:rsid w:val="00F330EA"/>
    <w:rsid w:val="00F33DA2"/>
    <w:rsid w:val="00F34074"/>
    <w:rsid w:val="00F40274"/>
    <w:rsid w:val="00F42B25"/>
    <w:rsid w:val="00F4344F"/>
    <w:rsid w:val="00F4350A"/>
    <w:rsid w:val="00F43A50"/>
    <w:rsid w:val="00F45090"/>
    <w:rsid w:val="00F458AB"/>
    <w:rsid w:val="00F46A47"/>
    <w:rsid w:val="00F4714F"/>
    <w:rsid w:val="00F478A0"/>
    <w:rsid w:val="00F478AE"/>
    <w:rsid w:val="00F47B30"/>
    <w:rsid w:val="00F50716"/>
    <w:rsid w:val="00F50FB0"/>
    <w:rsid w:val="00F514AF"/>
    <w:rsid w:val="00F516C1"/>
    <w:rsid w:val="00F51E38"/>
    <w:rsid w:val="00F5231D"/>
    <w:rsid w:val="00F539D3"/>
    <w:rsid w:val="00F5446C"/>
    <w:rsid w:val="00F544E4"/>
    <w:rsid w:val="00F557AA"/>
    <w:rsid w:val="00F576FD"/>
    <w:rsid w:val="00F57DB8"/>
    <w:rsid w:val="00F60CE2"/>
    <w:rsid w:val="00F619E4"/>
    <w:rsid w:val="00F64678"/>
    <w:rsid w:val="00F65A1D"/>
    <w:rsid w:val="00F665B6"/>
    <w:rsid w:val="00F70D67"/>
    <w:rsid w:val="00F70D8C"/>
    <w:rsid w:val="00F722A9"/>
    <w:rsid w:val="00F728E5"/>
    <w:rsid w:val="00F74390"/>
    <w:rsid w:val="00F748C5"/>
    <w:rsid w:val="00F74DFF"/>
    <w:rsid w:val="00F74F58"/>
    <w:rsid w:val="00F7516B"/>
    <w:rsid w:val="00F75B5F"/>
    <w:rsid w:val="00F771A9"/>
    <w:rsid w:val="00F77EF6"/>
    <w:rsid w:val="00F8072C"/>
    <w:rsid w:val="00F82CA6"/>
    <w:rsid w:val="00F8338B"/>
    <w:rsid w:val="00F83CAA"/>
    <w:rsid w:val="00F84FB1"/>
    <w:rsid w:val="00F85F75"/>
    <w:rsid w:val="00F86271"/>
    <w:rsid w:val="00F86562"/>
    <w:rsid w:val="00F87DE4"/>
    <w:rsid w:val="00F90B00"/>
    <w:rsid w:val="00F90BE4"/>
    <w:rsid w:val="00F912A6"/>
    <w:rsid w:val="00F92C32"/>
    <w:rsid w:val="00F93A09"/>
    <w:rsid w:val="00FA098D"/>
    <w:rsid w:val="00FA1051"/>
    <w:rsid w:val="00FA1684"/>
    <w:rsid w:val="00FA17D5"/>
    <w:rsid w:val="00FA1B36"/>
    <w:rsid w:val="00FA280A"/>
    <w:rsid w:val="00FA3253"/>
    <w:rsid w:val="00FA4089"/>
    <w:rsid w:val="00FA4829"/>
    <w:rsid w:val="00FA5040"/>
    <w:rsid w:val="00FA54EA"/>
    <w:rsid w:val="00FA5EE4"/>
    <w:rsid w:val="00FA6FCE"/>
    <w:rsid w:val="00FA7ED6"/>
    <w:rsid w:val="00FB0685"/>
    <w:rsid w:val="00FB09AA"/>
    <w:rsid w:val="00FB13CE"/>
    <w:rsid w:val="00FB26CB"/>
    <w:rsid w:val="00FB4FB9"/>
    <w:rsid w:val="00FB570E"/>
    <w:rsid w:val="00FB59C0"/>
    <w:rsid w:val="00FB5D30"/>
    <w:rsid w:val="00FB5E62"/>
    <w:rsid w:val="00FB5E8F"/>
    <w:rsid w:val="00FB63E2"/>
    <w:rsid w:val="00FB668D"/>
    <w:rsid w:val="00FB6FAF"/>
    <w:rsid w:val="00FC10D3"/>
    <w:rsid w:val="00FC2568"/>
    <w:rsid w:val="00FC3114"/>
    <w:rsid w:val="00FC38F8"/>
    <w:rsid w:val="00FC4DB2"/>
    <w:rsid w:val="00FC4DC6"/>
    <w:rsid w:val="00FC6BB1"/>
    <w:rsid w:val="00FC7DD3"/>
    <w:rsid w:val="00FD01CE"/>
    <w:rsid w:val="00FD054B"/>
    <w:rsid w:val="00FD1F73"/>
    <w:rsid w:val="00FD2F0E"/>
    <w:rsid w:val="00FD3E39"/>
    <w:rsid w:val="00FD47BA"/>
    <w:rsid w:val="00FD4F38"/>
    <w:rsid w:val="00FD548B"/>
    <w:rsid w:val="00FD632B"/>
    <w:rsid w:val="00FD671B"/>
    <w:rsid w:val="00FD67C5"/>
    <w:rsid w:val="00FD6A18"/>
    <w:rsid w:val="00FD74AE"/>
    <w:rsid w:val="00FD7EE6"/>
    <w:rsid w:val="00FE2075"/>
    <w:rsid w:val="00FE2709"/>
    <w:rsid w:val="00FE2A4E"/>
    <w:rsid w:val="00FE32A9"/>
    <w:rsid w:val="00FE3BE9"/>
    <w:rsid w:val="00FE3E0F"/>
    <w:rsid w:val="00FE49CD"/>
    <w:rsid w:val="00FE4D23"/>
    <w:rsid w:val="00FE54DF"/>
    <w:rsid w:val="00FE651E"/>
    <w:rsid w:val="00FE6731"/>
    <w:rsid w:val="00FE75D4"/>
    <w:rsid w:val="00FF0971"/>
    <w:rsid w:val="00FF0D37"/>
    <w:rsid w:val="00FF2E0D"/>
    <w:rsid w:val="00FF3333"/>
    <w:rsid w:val="00FF4430"/>
    <w:rsid w:val="00FF4D7C"/>
    <w:rsid w:val="00FF6B5E"/>
    <w:rsid w:val="00FF7EDC"/>
    <w:rsid w:val="0107E1B1"/>
    <w:rsid w:val="01177C66"/>
    <w:rsid w:val="01C14BD8"/>
    <w:rsid w:val="01EF4365"/>
    <w:rsid w:val="01F2CD6A"/>
    <w:rsid w:val="0215E87F"/>
    <w:rsid w:val="02A471B3"/>
    <w:rsid w:val="0391F4A8"/>
    <w:rsid w:val="03B1A2FD"/>
    <w:rsid w:val="04967A5A"/>
    <w:rsid w:val="04E574DB"/>
    <w:rsid w:val="04EF0568"/>
    <w:rsid w:val="0505992C"/>
    <w:rsid w:val="051A5502"/>
    <w:rsid w:val="05380222"/>
    <w:rsid w:val="05A05AA5"/>
    <w:rsid w:val="05A48226"/>
    <w:rsid w:val="05C87C53"/>
    <w:rsid w:val="0644B660"/>
    <w:rsid w:val="064F4CB0"/>
    <w:rsid w:val="0681CFFD"/>
    <w:rsid w:val="06AF357C"/>
    <w:rsid w:val="06B63556"/>
    <w:rsid w:val="073C003D"/>
    <w:rsid w:val="076D04F1"/>
    <w:rsid w:val="07F49302"/>
    <w:rsid w:val="08012CAD"/>
    <w:rsid w:val="08C4FABF"/>
    <w:rsid w:val="098AC23A"/>
    <w:rsid w:val="099021D7"/>
    <w:rsid w:val="0AE404CB"/>
    <w:rsid w:val="0AE5073C"/>
    <w:rsid w:val="0B4BADC3"/>
    <w:rsid w:val="0B5B99A1"/>
    <w:rsid w:val="0C00DE9A"/>
    <w:rsid w:val="0C1503DA"/>
    <w:rsid w:val="0C75EECE"/>
    <w:rsid w:val="0C9DA682"/>
    <w:rsid w:val="0DCADCBC"/>
    <w:rsid w:val="0DD6198D"/>
    <w:rsid w:val="0E151B4F"/>
    <w:rsid w:val="0E4070CE"/>
    <w:rsid w:val="0E40B8FD"/>
    <w:rsid w:val="0E5514A1"/>
    <w:rsid w:val="0ECC099C"/>
    <w:rsid w:val="0ED1E74A"/>
    <w:rsid w:val="0F246EDE"/>
    <w:rsid w:val="0FA33E08"/>
    <w:rsid w:val="0FC96BDF"/>
    <w:rsid w:val="10267F07"/>
    <w:rsid w:val="1035A76F"/>
    <w:rsid w:val="10DD4A67"/>
    <w:rsid w:val="1114F53C"/>
    <w:rsid w:val="111D155F"/>
    <w:rsid w:val="111D309F"/>
    <w:rsid w:val="11296CF0"/>
    <w:rsid w:val="1315829F"/>
    <w:rsid w:val="13EF73BE"/>
    <w:rsid w:val="14D491AC"/>
    <w:rsid w:val="14E14BE3"/>
    <w:rsid w:val="14E3F0FE"/>
    <w:rsid w:val="150A0D2C"/>
    <w:rsid w:val="15281C31"/>
    <w:rsid w:val="1655D3F0"/>
    <w:rsid w:val="166AC9F5"/>
    <w:rsid w:val="169AFA15"/>
    <w:rsid w:val="16EFA46B"/>
    <w:rsid w:val="172A2B5A"/>
    <w:rsid w:val="17604B71"/>
    <w:rsid w:val="17D49081"/>
    <w:rsid w:val="180F7C8F"/>
    <w:rsid w:val="18B28F67"/>
    <w:rsid w:val="18B4C187"/>
    <w:rsid w:val="19327CC2"/>
    <w:rsid w:val="194498A6"/>
    <w:rsid w:val="197A892D"/>
    <w:rsid w:val="19E0D7FD"/>
    <w:rsid w:val="1A0D5FC2"/>
    <w:rsid w:val="1A292635"/>
    <w:rsid w:val="1A506CE5"/>
    <w:rsid w:val="1AB7A968"/>
    <w:rsid w:val="1ADC5C0D"/>
    <w:rsid w:val="1B4B20B1"/>
    <w:rsid w:val="1BC816A3"/>
    <w:rsid w:val="1BE7332C"/>
    <w:rsid w:val="1BF77762"/>
    <w:rsid w:val="1CC862F4"/>
    <w:rsid w:val="1CEC7006"/>
    <w:rsid w:val="1D275DBE"/>
    <w:rsid w:val="1DA76506"/>
    <w:rsid w:val="1DE7FAD5"/>
    <w:rsid w:val="1E355353"/>
    <w:rsid w:val="1E864C1B"/>
    <w:rsid w:val="1F066A71"/>
    <w:rsid w:val="1F239D18"/>
    <w:rsid w:val="1F3C51FC"/>
    <w:rsid w:val="1F9F6A92"/>
    <w:rsid w:val="205E8D34"/>
    <w:rsid w:val="20B8E20A"/>
    <w:rsid w:val="20C1938D"/>
    <w:rsid w:val="20D2E95A"/>
    <w:rsid w:val="20D50217"/>
    <w:rsid w:val="2227432D"/>
    <w:rsid w:val="238B1FD1"/>
    <w:rsid w:val="249E2D28"/>
    <w:rsid w:val="24B0A73B"/>
    <w:rsid w:val="253163D7"/>
    <w:rsid w:val="257AFEBF"/>
    <w:rsid w:val="2615E39B"/>
    <w:rsid w:val="262F1320"/>
    <w:rsid w:val="26522A94"/>
    <w:rsid w:val="267CD5F4"/>
    <w:rsid w:val="26C9E703"/>
    <w:rsid w:val="276A31B7"/>
    <w:rsid w:val="27BDF2BF"/>
    <w:rsid w:val="27C96E53"/>
    <w:rsid w:val="286CB726"/>
    <w:rsid w:val="2887E723"/>
    <w:rsid w:val="28886C31"/>
    <w:rsid w:val="29BF49BF"/>
    <w:rsid w:val="2AEAE4F2"/>
    <w:rsid w:val="2BC5994B"/>
    <w:rsid w:val="2C52D313"/>
    <w:rsid w:val="2C612BC9"/>
    <w:rsid w:val="2C892A14"/>
    <w:rsid w:val="2CF28E6E"/>
    <w:rsid w:val="2D624BE7"/>
    <w:rsid w:val="2D8239BF"/>
    <w:rsid w:val="2DB3C6E1"/>
    <w:rsid w:val="2E45DEAA"/>
    <w:rsid w:val="2FEF59B5"/>
    <w:rsid w:val="30143F33"/>
    <w:rsid w:val="303DFAAF"/>
    <w:rsid w:val="318D86DC"/>
    <w:rsid w:val="31F42C39"/>
    <w:rsid w:val="328132BF"/>
    <w:rsid w:val="3349C187"/>
    <w:rsid w:val="33778C25"/>
    <w:rsid w:val="33D0C172"/>
    <w:rsid w:val="350D9646"/>
    <w:rsid w:val="3516CC0F"/>
    <w:rsid w:val="351EC0D0"/>
    <w:rsid w:val="35469864"/>
    <w:rsid w:val="354970A4"/>
    <w:rsid w:val="354D8600"/>
    <w:rsid w:val="355FB3B9"/>
    <w:rsid w:val="357C4461"/>
    <w:rsid w:val="35B70E2E"/>
    <w:rsid w:val="35F2AFD0"/>
    <w:rsid w:val="3609A6B6"/>
    <w:rsid w:val="36A0A71C"/>
    <w:rsid w:val="36BB6077"/>
    <w:rsid w:val="36C1D097"/>
    <w:rsid w:val="386CA42D"/>
    <w:rsid w:val="38B657E7"/>
    <w:rsid w:val="39153FD9"/>
    <w:rsid w:val="3B37D3A5"/>
    <w:rsid w:val="3B54D88C"/>
    <w:rsid w:val="3B8FFE27"/>
    <w:rsid w:val="3BBF84E9"/>
    <w:rsid w:val="3BCB8DAD"/>
    <w:rsid w:val="3CC2F65B"/>
    <w:rsid w:val="3CFE9577"/>
    <w:rsid w:val="3DD8F691"/>
    <w:rsid w:val="3E309680"/>
    <w:rsid w:val="3E383186"/>
    <w:rsid w:val="3EAAF000"/>
    <w:rsid w:val="3EDDF659"/>
    <w:rsid w:val="3EE42DE9"/>
    <w:rsid w:val="3F5B5F60"/>
    <w:rsid w:val="3F832EFD"/>
    <w:rsid w:val="3F8E650B"/>
    <w:rsid w:val="40B3258F"/>
    <w:rsid w:val="40D38ED6"/>
    <w:rsid w:val="41205C75"/>
    <w:rsid w:val="41827FFA"/>
    <w:rsid w:val="419611A1"/>
    <w:rsid w:val="419A6C1D"/>
    <w:rsid w:val="41B04C0B"/>
    <w:rsid w:val="41FEC78A"/>
    <w:rsid w:val="425513DB"/>
    <w:rsid w:val="429196B2"/>
    <w:rsid w:val="42BE8B8C"/>
    <w:rsid w:val="42F59576"/>
    <w:rsid w:val="432790A2"/>
    <w:rsid w:val="4346F088"/>
    <w:rsid w:val="4394C2CB"/>
    <w:rsid w:val="43A0D44C"/>
    <w:rsid w:val="440EEFBD"/>
    <w:rsid w:val="4434D9A1"/>
    <w:rsid w:val="44A8F728"/>
    <w:rsid w:val="44D74284"/>
    <w:rsid w:val="46D9318D"/>
    <w:rsid w:val="4730EEB8"/>
    <w:rsid w:val="4783AECB"/>
    <w:rsid w:val="479DB621"/>
    <w:rsid w:val="47B5BA83"/>
    <w:rsid w:val="47F59FFB"/>
    <w:rsid w:val="4839D9AD"/>
    <w:rsid w:val="4872ACF4"/>
    <w:rsid w:val="49B8BC31"/>
    <w:rsid w:val="4A333A55"/>
    <w:rsid w:val="4AC39439"/>
    <w:rsid w:val="4B23021D"/>
    <w:rsid w:val="4B75DF1E"/>
    <w:rsid w:val="4B760383"/>
    <w:rsid w:val="4BC58266"/>
    <w:rsid w:val="4C25B39B"/>
    <w:rsid w:val="4C365601"/>
    <w:rsid w:val="4C3C6D0E"/>
    <w:rsid w:val="4C63C50A"/>
    <w:rsid w:val="4C92F663"/>
    <w:rsid w:val="4CB3B61E"/>
    <w:rsid w:val="4D91AC1B"/>
    <w:rsid w:val="4EF3B7EA"/>
    <w:rsid w:val="501E665F"/>
    <w:rsid w:val="50A462DB"/>
    <w:rsid w:val="50D71375"/>
    <w:rsid w:val="512BD31E"/>
    <w:rsid w:val="5150E86B"/>
    <w:rsid w:val="516D2FBB"/>
    <w:rsid w:val="51BF638B"/>
    <w:rsid w:val="51F1E86C"/>
    <w:rsid w:val="527AC46E"/>
    <w:rsid w:val="52A4F569"/>
    <w:rsid w:val="5324560E"/>
    <w:rsid w:val="5332ED0F"/>
    <w:rsid w:val="5367C106"/>
    <w:rsid w:val="53915354"/>
    <w:rsid w:val="5415C9FA"/>
    <w:rsid w:val="54318FF5"/>
    <w:rsid w:val="5458B8E8"/>
    <w:rsid w:val="54D6CC83"/>
    <w:rsid w:val="55450504"/>
    <w:rsid w:val="56629383"/>
    <w:rsid w:val="56706AB3"/>
    <w:rsid w:val="5678CB34"/>
    <w:rsid w:val="569E3EC7"/>
    <w:rsid w:val="577AEBE9"/>
    <w:rsid w:val="57844737"/>
    <w:rsid w:val="578CA6B8"/>
    <w:rsid w:val="57F8938C"/>
    <w:rsid w:val="58001828"/>
    <w:rsid w:val="58251A1F"/>
    <w:rsid w:val="5887CDA0"/>
    <w:rsid w:val="59FCA36A"/>
    <w:rsid w:val="5A1E13AB"/>
    <w:rsid w:val="5A8E1287"/>
    <w:rsid w:val="5B230A27"/>
    <w:rsid w:val="5B4CF680"/>
    <w:rsid w:val="5B9AD8AC"/>
    <w:rsid w:val="5BA053F2"/>
    <w:rsid w:val="5C1826AB"/>
    <w:rsid w:val="5CA31BBE"/>
    <w:rsid w:val="5CDBBC83"/>
    <w:rsid w:val="5CEA8678"/>
    <w:rsid w:val="5CFEFFBD"/>
    <w:rsid w:val="5D2BC092"/>
    <w:rsid w:val="5DD2DFB1"/>
    <w:rsid w:val="5DD4A340"/>
    <w:rsid w:val="5E02E1AC"/>
    <w:rsid w:val="5E54D615"/>
    <w:rsid w:val="5F3B9A5A"/>
    <w:rsid w:val="6009E311"/>
    <w:rsid w:val="60249F93"/>
    <w:rsid w:val="6030D48A"/>
    <w:rsid w:val="6104BAA6"/>
    <w:rsid w:val="622DA7E5"/>
    <w:rsid w:val="625DA552"/>
    <w:rsid w:val="62BFB946"/>
    <w:rsid w:val="62FB709E"/>
    <w:rsid w:val="631FD311"/>
    <w:rsid w:val="632AEFBD"/>
    <w:rsid w:val="645F644E"/>
    <w:rsid w:val="64B8BACA"/>
    <w:rsid w:val="64CE1CDC"/>
    <w:rsid w:val="64F651D3"/>
    <w:rsid w:val="650E1B7F"/>
    <w:rsid w:val="65D49D7B"/>
    <w:rsid w:val="664A2BB4"/>
    <w:rsid w:val="66609B75"/>
    <w:rsid w:val="66B85588"/>
    <w:rsid w:val="67B28E46"/>
    <w:rsid w:val="67BA5C82"/>
    <w:rsid w:val="67C1B076"/>
    <w:rsid w:val="67EB9CED"/>
    <w:rsid w:val="683424DC"/>
    <w:rsid w:val="6843CFF8"/>
    <w:rsid w:val="68570B93"/>
    <w:rsid w:val="68A6CAAB"/>
    <w:rsid w:val="68E59080"/>
    <w:rsid w:val="6901048D"/>
    <w:rsid w:val="6968E360"/>
    <w:rsid w:val="69B6DD5D"/>
    <w:rsid w:val="69F001B0"/>
    <w:rsid w:val="6A5551DC"/>
    <w:rsid w:val="6AD98C3A"/>
    <w:rsid w:val="6AE597C5"/>
    <w:rsid w:val="6B2E8762"/>
    <w:rsid w:val="6B592635"/>
    <w:rsid w:val="6BCE3100"/>
    <w:rsid w:val="6C30D711"/>
    <w:rsid w:val="6C4312E6"/>
    <w:rsid w:val="6C50CCC6"/>
    <w:rsid w:val="6C9F3334"/>
    <w:rsid w:val="6D5DAE1D"/>
    <w:rsid w:val="6DF9938B"/>
    <w:rsid w:val="6E5B3C1D"/>
    <w:rsid w:val="6E65E1EC"/>
    <w:rsid w:val="6EB14F8A"/>
    <w:rsid w:val="6EBF2771"/>
    <w:rsid w:val="6ECA917F"/>
    <w:rsid w:val="6F745E7F"/>
    <w:rsid w:val="6FA94869"/>
    <w:rsid w:val="70546A19"/>
    <w:rsid w:val="718DE240"/>
    <w:rsid w:val="71F8AD78"/>
    <w:rsid w:val="72E0C016"/>
    <w:rsid w:val="73331C5E"/>
    <w:rsid w:val="738AAED5"/>
    <w:rsid w:val="73A43667"/>
    <w:rsid w:val="743FBC1F"/>
    <w:rsid w:val="744DC96E"/>
    <w:rsid w:val="74CC7834"/>
    <w:rsid w:val="75034971"/>
    <w:rsid w:val="7512E5E5"/>
    <w:rsid w:val="754DFF84"/>
    <w:rsid w:val="75DBAB6B"/>
    <w:rsid w:val="76EA5DD6"/>
    <w:rsid w:val="77101FE3"/>
    <w:rsid w:val="77123BFF"/>
    <w:rsid w:val="77454D88"/>
    <w:rsid w:val="778A1EBD"/>
    <w:rsid w:val="77EBDF3A"/>
    <w:rsid w:val="77F1FCCD"/>
    <w:rsid w:val="78594988"/>
    <w:rsid w:val="78652B64"/>
    <w:rsid w:val="7887FF22"/>
    <w:rsid w:val="78AA88F1"/>
    <w:rsid w:val="78B96E2A"/>
    <w:rsid w:val="7916BC13"/>
    <w:rsid w:val="7980871B"/>
    <w:rsid w:val="7A0C28CF"/>
    <w:rsid w:val="7A7BF2F1"/>
    <w:rsid w:val="7ADAABDD"/>
    <w:rsid w:val="7B41320C"/>
    <w:rsid w:val="7B6CAF75"/>
    <w:rsid w:val="7B8A9E95"/>
    <w:rsid w:val="7BB9F8C5"/>
    <w:rsid w:val="7C1671D0"/>
    <w:rsid w:val="7C2B9DF7"/>
    <w:rsid w:val="7C986295"/>
    <w:rsid w:val="7D5943D7"/>
    <w:rsid w:val="7E66231B"/>
    <w:rsid w:val="7E8525E5"/>
    <w:rsid w:val="7ECEE007"/>
    <w:rsid w:val="7ED7F8F1"/>
    <w:rsid w:val="7EF32441"/>
    <w:rsid w:val="7F3AB5D8"/>
    <w:rsid w:val="7FADE12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5:docId w15:val="{CB42C8AD-9A38-4374-8257-F06E5D609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line="240" w:lineRule="auto"/>
      <w:jc w:val="both"/>
    </w:pPr>
    <w:rPr>
      <w:rFonts w:ascii="Times New Roman" w:hAnsi="Times New Roman" w:cs="Times New Roman"/>
      <w:sz w:val="24"/>
      <w:lang w:val="en-GB"/>
    </w:rPr>
  </w:style>
  <w:style w:type="paragraph" w:styleId="Heading1">
    <w:name w:val="heading 1"/>
    <w:basedOn w:val="Normal"/>
    <w:next w:val="Text1"/>
    <w:link w:val="Heading1Char"/>
    <w:uiPriority w:val="9"/>
    <w:qFormat/>
    <w:pPr>
      <w:keepNext/>
      <w:numPr>
        <w:numId w:val="15"/>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pPr>
      <w:keepNext/>
      <w:numPr>
        <w:ilvl w:val="1"/>
        <w:numId w:val="15"/>
      </w:numPr>
      <w:outlineLvl w:val="1"/>
    </w:pPr>
    <w:rPr>
      <w:rFonts w:eastAsiaTheme="majorEastAsia"/>
      <w:b/>
      <w:bCs/>
      <w:szCs w:val="26"/>
    </w:rPr>
  </w:style>
  <w:style w:type="paragraph" w:styleId="Heading3">
    <w:name w:val="heading 3"/>
    <w:basedOn w:val="Normal"/>
    <w:next w:val="Text1"/>
    <w:link w:val="Heading3Char"/>
    <w:uiPriority w:val="9"/>
    <w:semiHidden/>
    <w:unhideWhenUsed/>
    <w:qFormat/>
    <w:pPr>
      <w:keepNext/>
      <w:numPr>
        <w:ilvl w:val="2"/>
        <w:numId w:val="15"/>
      </w:numPr>
      <w:outlineLvl w:val="2"/>
    </w:pPr>
    <w:rPr>
      <w:rFonts w:eastAsiaTheme="majorEastAsia"/>
      <w:bCs/>
      <w:i/>
    </w:rPr>
  </w:style>
  <w:style w:type="paragraph" w:styleId="Heading4">
    <w:name w:val="heading 4"/>
    <w:basedOn w:val="Normal"/>
    <w:next w:val="Text1"/>
    <w:link w:val="Heading4Char"/>
    <w:uiPriority w:val="9"/>
    <w:semiHidden/>
    <w:unhideWhenUsed/>
    <w:qFormat/>
    <w:pPr>
      <w:keepNext/>
      <w:numPr>
        <w:ilvl w:val="3"/>
        <w:numId w:val="15"/>
      </w:numPr>
      <w:outlineLvl w:val="3"/>
    </w:pPr>
    <w:rPr>
      <w:rFonts w:eastAsiaTheme="majorEastAsia"/>
      <w:bCs/>
      <w:iCs/>
    </w:rPr>
  </w:style>
  <w:style w:type="paragraph" w:styleId="Heading5">
    <w:name w:val="heading 5"/>
    <w:basedOn w:val="Normal"/>
    <w:next w:val="Text2"/>
    <w:link w:val="Heading5Char"/>
    <w:uiPriority w:val="9"/>
    <w:semiHidden/>
    <w:unhideWhenUsed/>
    <w:qFormat/>
    <w:pPr>
      <w:keepNext/>
      <w:numPr>
        <w:ilvl w:val="4"/>
        <w:numId w:val="15"/>
      </w:numPr>
      <w:outlineLvl w:val="4"/>
    </w:pPr>
    <w:rPr>
      <w:rFonts w:eastAsiaTheme="majorEastAsia"/>
    </w:rPr>
  </w:style>
  <w:style w:type="paragraph" w:styleId="Heading6">
    <w:name w:val="heading 6"/>
    <w:basedOn w:val="Normal"/>
    <w:next w:val="Text2"/>
    <w:link w:val="Heading6Char"/>
    <w:uiPriority w:val="9"/>
    <w:semiHidden/>
    <w:unhideWhenUsed/>
    <w:qFormat/>
    <w:pPr>
      <w:keepNext/>
      <w:numPr>
        <w:ilvl w:val="5"/>
        <w:numId w:val="15"/>
      </w:numPr>
      <w:outlineLvl w:val="5"/>
    </w:pPr>
    <w:rPr>
      <w:rFonts w:eastAsiaTheme="majorEastAsia"/>
      <w:iCs/>
    </w:rPr>
  </w:style>
  <w:style w:type="paragraph" w:styleId="Heading7">
    <w:name w:val="heading 7"/>
    <w:basedOn w:val="Normal"/>
    <w:next w:val="Text2"/>
    <w:link w:val="Heading7Char"/>
    <w:uiPriority w:val="9"/>
    <w:semiHidden/>
    <w:unhideWhenUsed/>
    <w:qFormat/>
    <w:pPr>
      <w:keepNext/>
      <w:numPr>
        <w:ilvl w:val="6"/>
        <w:numId w:val="15"/>
      </w:numPr>
      <w:outlineLvl w:val="6"/>
    </w:pPr>
    <w:rPr>
      <w:rFonts w:eastAsiaTheme="majorEastAsia"/>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rsid w:val="00FC3114"/>
    <w:pPr>
      <w:numPr>
        <w:numId w:val="1"/>
      </w:numPr>
      <w:contextualSpacing/>
    </w:pPr>
  </w:style>
  <w:style w:type="paragraph" w:styleId="ListBullet2">
    <w:name w:val="List Bullet 2"/>
    <w:basedOn w:val="Normal"/>
    <w:uiPriority w:val="99"/>
    <w:semiHidden/>
    <w:unhideWhenUsed/>
    <w:rsid w:val="00FC3114"/>
    <w:pPr>
      <w:numPr>
        <w:numId w:val="2"/>
      </w:numPr>
      <w:contextualSpacing/>
    </w:pPr>
  </w:style>
  <w:style w:type="paragraph" w:styleId="ListBullet3">
    <w:name w:val="List Bullet 3"/>
    <w:basedOn w:val="Normal"/>
    <w:uiPriority w:val="99"/>
    <w:semiHidden/>
    <w:unhideWhenUsed/>
    <w:rsid w:val="00FC3114"/>
    <w:pPr>
      <w:numPr>
        <w:numId w:val="3"/>
      </w:numPr>
      <w:contextualSpacing/>
    </w:pPr>
  </w:style>
  <w:style w:type="paragraph" w:styleId="ListBullet4">
    <w:name w:val="List Bullet 4"/>
    <w:basedOn w:val="Normal"/>
    <w:uiPriority w:val="99"/>
    <w:semiHidden/>
    <w:unhideWhenUsed/>
    <w:rsid w:val="00FC3114"/>
    <w:pPr>
      <w:numPr>
        <w:numId w:val="4"/>
      </w:numPr>
      <w:contextualSpacing/>
    </w:pPr>
  </w:style>
  <w:style w:type="character" w:styleId="CommentReference">
    <w:name w:val="annotation reference"/>
    <w:basedOn w:val="DefaultParagraphFont"/>
    <w:unhideWhenUsed/>
    <w:rsid w:val="007B2BF1"/>
    <w:rPr>
      <w:sz w:val="16"/>
      <w:szCs w:val="16"/>
    </w:rPr>
  </w:style>
  <w:style w:type="paragraph" w:styleId="CommentText">
    <w:name w:val="annotation text"/>
    <w:basedOn w:val="Normal"/>
    <w:link w:val="CommentTextChar"/>
    <w:unhideWhenUsed/>
    <w:rsid w:val="007B2BF1"/>
    <w:rPr>
      <w:sz w:val="20"/>
      <w:szCs w:val="20"/>
    </w:rPr>
  </w:style>
  <w:style w:type="character" w:customStyle="1" w:styleId="CommentTextChar">
    <w:name w:val="Comment Text Char"/>
    <w:basedOn w:val="DefaultParagraphFont"/>
    <w:link w:val="CommentText"/>
    <w:rsid w:val="007B2BF1"/>
    <w:rPr>
      <w:rFonts w:ascii="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7B2BF1"/>
    <w:rPr>
      <w:b/>
      <w:bCs/>
    </w:rPr>
  </w:style>
  <w:style w:type="character" w:customStyle="1" w:styleId="CommentSubjectChar">
    <w:name w:val="Comment Subject Char"/>
    <w:basedOn w:val="CommentTextChar"/>
    <w:link w:val="CommentSubject"/>
    <w:uiPriority w:val="99"/>
    <w:semiHidden/>
    <w:rsid w:val="007B2BF1"/>
    <w:rPr>
      <w:rFonts w:ascii="Times New Roman" w:hAnsi="Times New Roman" w:cs="Times New Roman"/>
      <w:b/>
      <w:bCs/>
      <w:sz w:val="20"/>
      <w:szCs w:val="20"/>
      <w:lang w:val="en-GB"/>
    </w:rPr>
  </w:style>
  <w:style w:type="paragraph" w:styleId="ListParagraph">
    <w:name w:val="List Paragraph"/>
    <w:basedOn w:val="Normal"/>
    <w:uiPriority w:val="34"/>
    <w:qFormat/>
    <w:rsid w:val="00720556"/>
    <w:pPr>
      <w:ind w:left="720"/>
      <w:contextualSpacing/>
    </w:pPr>
  </w:style>
  <w:style w:type="paragraph" w:styleId="ListNumber">
    <w:name w:val="List Number"/>
    <w:basedOn w:val="Normal"/>
    <w:rsid w:val="00517FC0"/>
    <w:pPr>
      <w:numPr>
        <w:numId w:val="5"/>
      </w:numPr>
      <w:tabs>
        <w:tab w:val="clear" w:pos="360"/>
        <w:tab w:val="left" w:pos="397"/>
      </w:tabs>
      <w:spacing w:before="0" w:line="300" w:lineRule="atLeast"/>
      <w:ind w:left="397" w:hanging="397"/>
    </w:pPr>
    <w:rPr>
      <w:rFonts w:ascii="Calibri Light" w:hAnsi="Calibri Light" w:cstheme="minorBidi"/>
      <w:sz w:val="22"/>
      <w:szCs w:val="24"/>
      <w:lang w:val="en-US"/>
    </w:rPr>
  </w:style>
  <w:style w:type="paragraph" w:styleId="Revision">
    <w:name w:val="Revision"/>
    <w:hidden/>
    <w:uiPriority w:val="99"/>
    <w:semiHidden/>
    <w:rsid w:val="003F46B6"/>
    <w:pPr>
      <w:spacing w:after="0" w:line="240" w:lineRule="auto"/>
    </w:pPr>
    <w:rPr>
      <w:rFonts w:ascii="Times New Roman" w:hAnsi="Times New Roman" w:cs="Times New Roman"/>
      <w:sz w:val="24"/>
      <w:lang w:val="en-GB"/>
    </w:rPr>
  </w:style>
  <w:style w:type="character" w:customStyle="1" w:styleId="Mention">
    <w:name w:val="Mention"/>
    <w:basedOn w:val="DefaultParagraphFont"/>
    <w:uiPriority w:val="99"/>
    <w:unhideWhenUsed/>
    <w:rsid w:val="00A90E2F"/>
    <w:rPr>
      <w:color w:val="2B579A"/>
      <w:shd w:val="clear" w:color="auto" w:fill="E1DFDD"/>
    </w:rPr>
  </w:style>
  <w:style w:type="character" w:styleId="Hyperlink">
    <w:name w:val="Hyperlink"/>
    <w:basedOn w:val="DefaultParagraphFont"/>
    <w:uiPriority w:val="99"/>
    <w:unhideWhenUsed/>
    <w:rsid w:val="009067EB"/>
    <w:rPr>
      <w:color w:val="0000FF" w:themeColor="hyperlink"/>
      <w:u w:val="single"/>
    </w:rPr>
  </w:style>
  <w:style w:type="character" w:customStyle="1" w:styleId="UnresolvedMention">
    <w:name w:val="Unresolved Mention"/>
    <w:basedOn w:val="DefaultParagraphFont"/>
    <w:uiPriority w:val="99"/>
    <w:semiHidden/>
    <w:unhideWhenUsed/>
    <w:rsid w:val="009067EB"/>
    <w:rPr>
      <w:color w:val="605E5C"/>
      <w:shd w:val="clear" w:color="auto" w:fill="E1DFDD"/>
    </w:rPr>
  </w:style>
  <w:style w:type="character" w:styleId="FollowedHyperlink">
    <w:name w:val="FollowedHyperlink"/>
    <w:basedOn w:val="DefaultParagraphFont"/>
    <w:uiPriority w:val="99"/>
    <w:semiHidden/>
    <w:unhideWhenUsed/>
    <w:rsid w:val="00AE026F"/>
    <w:rPr>
      <w:color w:val="800080" w:themeColor="followedHyperlink"/>
      <w:u w:val="single"/>
    </w:rPr>
  </w:style>
  <w:style w:type="paragraph" w:styleId="BodyText">
    <w:name w:val="Body Text"/>
    <w:basedOn w:val="Normal"/>
    <w:link w:val="BodyTextChar"/>
    <w:unhideWhenUsed/>
    <w:qFormat/>
    <w:rsid w:val="00AE026F"/>
    <w:pPr>
      <w:spacing w:before="0" w:after="240"/>
      <w:jc w:val="left"/>
    </w:pPr>
    <w:rPr>
      <w:rFonts w:ascii="Arial" w:eastAsia="Times New Roman" w:hAnsi="Arial"/>
      <w:sz w:val="22"/>
      <w:szCs w:val="20"/>
      <w:lang w:val="en-US"/>
    </w:rPr>
  </w:style>
  <w:style w:type="character" w:customStyle="1" w:styleId="BodyTextChar">
    <w:name w:val="Body Text Char"/>
    <w:basedOn w:val="DefaultParagraphFont"/>
    <w:link w:val="BodyText"/>
    <w:rsid w:val="00AE026F"/>
    <w:rPr>
      <w:rFonts w:ascii="Arial" w:eastAsia="Times New Roman" w:hAnsi="Arial" w:cs="Times New Roman"/>
      <w:szCs w:val="20"/>
    </w:rPr>
  </w:style>
  <w:style w:type="table" w:styleId="TableGrid">
    <w:name w:val="Table Grid"/>
    <w:basedOn w:val="TableNormal"/>
    <w:uiPriority w:val="59"/>
    <w:rsid w:val="00AE026F"/>
    <w:pPr>
      <w:spacing w:after="0" w:line="240" w:lineRule="auto"/>
    </w:pPr>
    <w:rPr>
      <w:rFonts w:ascii="Arial" w:eastAsia="Times New Roman" w:hAnsi="Arial"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basedOn w:val="DefaultParagraphFont"/>
    <w:link w:val="Header"/>
    <w:uiPriority w:val="99"/>
    <w:rsid w:val="00D06F83"/>
    <w:rPr>
      <w:rFonts w:ascii="Times New Roman" w:hAnsi="Times New Roman" w:cs="Times New Roman"/>
      <w:sz w:val="24"/>
      <w:lang w:val="en-GB"/>
    </w:rPr>
  </w:style>
  <w:style w:type="character" w:customStyle="1" w:styleId="FooterChar">
    <w:name w:val="Footer Char"/>
    <w:basedOn w:val="DefaultParagraphFont"/>
    <w:link w:val="Footer"/>
    <w:uiPriority w:val="99"/>
    <w:rsid w:val="00D06F83"/>
    <w:rPr>
      <w:rFonts w:ascii="Times New Roman" w:hAnsi="Times New Roman" w:cs="Times New Roman"/>
      <w:sz w:val="24"/>
      <w:lang w:val="en-GB"/>
    </w:rPr>
  </w:style>
  <w:style w:type="paragraph" w:styleId="FootnoteText">
    <w:name w:val="footnote text"/>
    <w:basedOn w:val="Normal"/>
    <w:link w:val="FootnoteTextChar"/>
    <w:uiPriority w:val="99"/>
    <w:semiHidden/>
    <w:unhideWhenUsed/>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Pr>
      <w:rFonts w:ascii="Times New Roman" w:eastAsiaTheme="majorEastAsia" w:hAnsi="Times New Roman" w:cs="Times New Roman"/>
      <w:bCs/>
      <w:iCs/>
      <w:sz w:val="24"/>
      <w:lang w:val="en-GB"/>
    </w:rPr>
  </w:style>
  <w:style w:type="character" w:customStyle="1" w:styleId="Heading5Char">
    <w:name w:val="Heading 5 Char"/>
    <w:basedOn w:val="DefaultParagraphFont"/>
    <w:link w:val="Heading5"/>
    <w:uiPriority w:val="9"/>
    <w:semiHidden/>
    <w:rPr>
      <w:rFonts w:ascii="Times New Roman" w:eastAsiaTheme="majorEastAsia" w:hAnsi="Times New Roman" w:cs="Times New Roman"/>
      <w:sz w:val="24"/>
      <w:lang w:val="en-GB"/>
    </w:rPr>
  </w:style>
  <w:style w:type="character" w:customStyle="1" w:styleId="Heading6Char">
    <w:name w:val="Heading 6 Char"/>
    <w:basedOn w:val="DefaultParagraphFont"/>
    <w:link w:val="Heading6"/>
    <w:uiPriority w:val="9"/>
    <w:semiHidden/>
    <w:rPr>
      <w:rFonts w:ascii="Times New Roman" w:eastAsiaTheme="majorEastAsia" w:hAnsi="Times New Roman" w:cs="Times New Roman"/>
      <w:iCs/>
      <w:sz w:val="24"/>
      <w:lang w:val="en-GB"/>
    </w:rPr>
  </w:style>
  <w:style w:type="character" w:customStyle="1" w:styleId="Heading7Char">
    <w:name w:val="Heading 7 Char"/>
    <w:basedOn w:val="DefaultParagraphFont"/>
    <w:link w:val="Heading7"/>
    <w:uiPriority w:val="9"/>
    <w:semiHidden/>
    <w:rPr>
      <w:rFonts w:ascii="Times New Roman" w:eastAsiaTheme="majorEastAsia" w:hAnsi="Times New Roman" w:cs="Times New Roman"/>
      <w:iCs/>
      <w:sz w:val="24"/>
      <w:lang w:val="en-GB"/>
    </w:rPr>
  </w:style>
  <w:style w:type="paragraph" w:styleId="TOCHeading">
    <w:name w:val="TOC Heading"/>
    <w:basedOn w:val="Normal"/>
    <w:next w:val="Normal"/>
    <w:uiPriority w:val="39"/>
    <w:semiHidden/>
    <w:unhideWhenUsed/>
    <w:qFormat/>
    <w:pPr>
      <w:spacing w:after="240"/>
      <w:jc w:val="center"/>
    </w:pPr>
    <w:rPr>
      <w:b/>
      <w:sz w:val="28"/>
    </w:rPr>
  </w:style>
  <w:style w:type="paragraph" w:styleId="TOC1">
    <w:name w:val="toc 1"/>
    <w:basedOn w:val="Normal"/>
    <w:next w:val="Normal"/>
    <w:uiPriority w:val="39"/>
    <w:semiHidden/>
    <w:unhideWhenUsed/>
    <w:pPr>
      <w:tabs>
        <w:tab w:val="right" w:leader="dot" w:pos="9071"/>
      </w:tabs>
      <w:spacing w:before="60"/>
      <w:ind w:left="850" w:hanging="850"/>
      <w:jc w:val="left"/>
    </w:pPr>
  </w:style>
  <w:style w:type="paragraph" w:styleId="TOC2">
    <w:name w:val="toc 2"/>
    <w:basedOn w:val="Normal"/>
    <w:next w:val="Normal"/>
    <w:uiPriority w:val="39"/>
    <w:semiHidden/>
    <w:unhideWhenUsed/>
    <w:pPr>
      <w:tabs>
        <w:tab w:val="right" w:leader="dot" w:pos="9071"/>
      </w:tabs>
      <w:spacing w:before="60"/>
      <w:ind w:left="850" w:hanging="850"/>
      <w:jc w:val="left"/>
    </w:pPr>
  </w:style>
  <w:style w:type="paragraph" w:styleId="TOC3">
    <w:name w:val="toc 3"/>
    <w:basedOn w:val="Normal"/>
    <w:next w:val="Normal"/>
    <w:uiPriority w:val="39"/>
    <w:semiHidden/>
    <w:unhideWhenUsed/>
    <w:pPr>
      <w:tabs>
        <w:tab w:val="right" w:leader="dot" w:pos="9071"/>
      </w:tabs>
      <w:spacing w:before="60"/>
      <w:ind w:left="850" w:hanging="850"/>
      <w:jc w:val="left"/>
    </w:pPr>
  </w:style>
  <w:style w:type="paragraph" w:styleId="TOC4">
    <w:name w:val="toc 4"/>
    <w:basedOn w:val="Normal"/>
    <w:next w:val="Normal"/>
    <w:uiPriority w:val="39"/>
    <w:semiHidden/>
    <w:unhideWhenUsed/>
    <w:pPr>
      <w:tabs>
        <w:tab w:val="right" w:leader="dot" w:pos="9071"/>
      </w:tabs>
      <w:spacing w:before="60"/>
      <w:ind w:left="850" w:hanging="850"/>
      <w:jc w:val="left"/>
    </w:pPr>
  </w:style>
  <w:style w:type="paragraph" w:styleId="TOC5">
    <w:name w:val="toc 5"/>
    <w:basedOn w:val="Normal"/>
    <w:next w:val="Normal"/>
    <w:uiPriority w:val="39"/>
    <w:semiHidden/>
    <w:unhideWhenUsed/>
    <w:pPr>
      <w:tabs>
        <w:tab w:val="right" w:leader="dot" w:pos="9071"/>
      </w:tabs>
      <w:spacing w:before="300"/>
      <w:jc w:val="left"/>
    </w:pPr>
  </w:style>
  <w:style w:type="paragraph" w:styleId="TOC6">
    <w:name w:val="toc 6"/>
    <w:basedOn w:val="Normal"/>
    <w:next w:val="Normal"/>
    <w:uiPriority w:val="39"/>
    <w:semiHidden/>
    <w:unhideWhenUsed/>
    <w:pPr>
      <w:tabs>
        <w:tab w:val="right" w:leader="dot" w:pos="9071"/>
      </w:tabs>
      <w:spacing w:before="240"/>
      <w:jc w:val="left"/>
    </w:pPr>
  </w:style>
  <w:style w:type="paragraph" w:styleId="TOC7">
    <w:name w:val="toc 7"/>
    <w:basedOn w:val="Normal"/>
    <w:next w:val="Normal"/>
    <w:uiPriority w:val="39"/>
    <w:semiHidden/>
    <w:unhideWhenUsed/>
    <w:pPr>
      <w:tabs>
        <w:tab w:val="right" w:leader="dot" w:pos="9071"/>
      </w:tabs>
      <w:spacing w:before="180"/>
      <w:jc w:val="left"/>
    </w:pPr>
  </w:style>
  <w:style w:type="paragraph" w:styleId="TOC8">
    <w:name w:val="toc 8"/>
    <w:basedOn w:val="Normal"/>
    <w:next w:val="Normal"/>
    <w:uiPriority w:val="39"/>
    <w:semiHidden/>
    <w:unhideWhenUsed/>
    <w:pPr>
      <w:tabs>
        <w:tab w:val="right" w:leader="dot" w:pos="9071"/>
      </w:tabs>
      <w:jc w:val="left"/>
    </w:pPr>
  </w:style>
  <w:style w:type="paragraph" w:styleId="TOC9">
    <w:name w:val="toc 9"/>
    <w:basedOn w:val="Normal"/>
    <w:next w:val="Normal"/>
    <w:uiPriority w:val="39"/>
    <w:semiHidden/>
    <w:unhideWhenUsed/>
    <w:pPr>
      <w:tabs>
        <w:tab w:val="right" w:leader="dot" w:pos="9071"/>
      </w:tabs>
      <w:ind w:left="1417" w:hanging="1417"/>
      <w:jc w:val="left"/>
    </w:pPr>
  </w:style>
  <w:style w:type="character" w:styleId="FootnoteReference">
    <w:name w:val="footnote reference"/>
    <w:basedOn w:val="DefaultParagraphFont"/>
    <w:uiPriority w:val="99"/>
    <w:semiHidden/>
    <w:unhideWhenUsed/>
    <w:rPr>
      <w:shd w:val="clear" w:color="auto" w:fill="auto"/>
      <w:vertAlign w:val="superscript"/>
    </w:rPr>
  </w:style>
  <w:style w:type="paragraph" w:customStyle="1" w:styleId="HeaderSensitivity">
    <w:name w:val="Header Sensitivity"/>
    <w:basedOn w:val="Normal"/>
    <w:rsid w:val="00D06F83"/>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D06F83"/>
    <w:pPr>
      <w:spacing w:before="0"/>
      <w:jc w:val="right"/>
    </w:pPr>
    <w:rPr>
      <w:sz w:val="28"/>
    </w:rPr>
  </w:style>
  <w:style w:type="paragraph" w:customStyle="1" w:styleId="FooterSensitivity">
    <w:name w:val="Footer Sensitivity"/>
    <w:basedOn w:val="Normal"/>
    <w:rsid w:val="00D06F83"/>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pPr>
      <w:ind w:left="850"/>
    </w:pPr>
  </w:style>
  <w:style w:type="paragraph" w:customStyle="1" w:styleId="Text2">
    <w:name w:val="Text 2"/>
    <w:basedOn w:val="Normal"/>
    <w:pPr>
      <w:ind w:left="1417"/>
    </w:pPr>
  </w:style>
  <w:style w:type="paragraph" w:customStyle="1" w:styleId="Text3">
    <w:name w:val="Text 3"/>
    <w:basedOn w:val="Normal"/>
    <w:pPr>
      <w:ind w:left="1984"/>
    </w:pPr>
  </w:style>
  <w:style w:type="paragraph" w:customStyle="1" w:styleId="Text4">
    <w:name w:val="Text 4"/>
    <w:basedOn w:val="Normal"/>
    <w:pPr>
      <w:ind w:left="2551"/>
    </w:pPr>
  </w:style>
  <w:style w:type="paragraph" w:customStyle="1" w:styleId="Text5">
    <w:name w:val="Text 5"/>
    <w:basedOn w:val="Normal"/>
    <w:pPr>
      <w:ind w:left="3118"/>
    </w:pPr>
  </w:style>
  <w:style w:type="paragraph" w:customStyle="1" w:styleId="Text6">
    <w:name w:val="Text 6"/>
    <w:basedOn w:val="Normal"/>
    <w:pPr>
      <w:ind w:left="3685"/>
    </w:pPr>
  </w:style>
  <w:style w:type="paragraph" w:customStyle="1" w:styleId="NormalCentered">
    <w:name w:val="Normal Centered"/>
    <w:basedOn w:val="Normal"/>
    <w:pPr>
      <w:jc w:val="center"/>
    </w:pPr>
  </w:style>
  <w:style w:type="paragraph" w:customStyle="1" w:styleId="NormalLeft">
    <w:name w:val="Normal Left"/>
    <w:basedOn w:val="Normal"/>
    <w:pPr>
      <w:jc w:val="left"/>
    </w:pPr>
  </w:style>
  <w:style w:type="paragraph" w:customStyle="1" w:styleId="NormalRight">
    <w:name w:val="Normal Right"/>
    <w:basedOn w:val="Normal"/>
    <w:pPr>
      <w:jc w:val="right"/>
    </w:pPr>
  </w:style>
  <w:style w:type="paragraph" w:customStyle="1" w:styleId="QuotedText">
    <w:name w:val="Quoted Text"/>
    <w:basedOn w:val="Normal"/>
    <w:pPr>
      <w:ind w:left="1417"/>
    </w:pPr>
  </w:style>
  <w:style w:type="paragraph" w:customStyle="1" w:styleId="Point0">
    <w:name w:val="Point 0"/>
    <w:basedOn w:val="Normal"/>
    <w:pPr>
      <w:ind w:left="850" w:hanging="850"/>
    </w:pPr>
  </w:style>
  <w:style w:type="paragraph" w:customStyle="1" w:styleId="Point1">
    <w:name w:val="Point 1"/>
    <w:basedOn w:val="Normal"/>
    <w:pPr>
      <w:ind w:left="1417" w:hanging="567"/>
    </w:pPr>
  </w:style>
  <w:style w:type="paragraph" w:customStyle="1" w:styleId="Point2">
    <w:name w:val="Point 2"/>
    <w:basedOn w:val="Normal"/>
    <w:pPr>
      <w:ind w:left="1984" w:hanging="567"/>
    </w:pPr>
  </w:style>
  <w:style w:type="paragraph" w:customStyle="1" w:styleId="Point3">
    <w:name w:val="Point 3"/>
    <w:basedOn w:val="Normal"/>
    <w:pPr>
      <w:ind w:left="2551" w:hanging="567"/>
    </w:pPr>
  </w:style>
  <w:style w:type="paragraph" w:customStyle="1" w:styleId="Point4">
    <w:name w:val="Point 4"/>
    <w:basedOn w:val="Normal"/>
    <w:pPr>
      <w:ind w:left="3118" w:hanging="567"/>
    </w:pPr>
  </w:style>
  <w:style w:type="paragraph" w:customStyle="1" w:styleId="Point5">
    <w:name w:val="Point 5"/>
    <w:basedOn w:val="Normal"/>
    <w:pPr>
      <w:ind w:left="3685" w:hanging="567"/>
    </w:pPr>
  </w:style>
  <w:style w:type="paragraph" w:customStyle="1" w:styleId="Tiret0">
    <w:name w:val="Tiret 0"/>
    <w:basedOn w:val="Point0"/>
    <w:pPr>
      <w:numPr>
        <w:numId w:val="8"/>
      </w:numPr>
    </w:pPr>
  </w:style>
  <w:style w:type="paragraph" w:customStyle="1" w:styleId="Tiret1">
    <w:name w:val="Tiret 1"/>
    <w:basedOn w:val="Point1"/>
    <w:pPr>
      <w:numPr>
        <w:numId w:val="9"/>
      </w:numPr>
    </w:pPr>
  </w:style>
  <w:style w:type="paragraph" w:customStyle="1" w:styleId="Tiret2">
    <w:name w:val="Tiret 2"/>
    <w:basedOn w:val="Point2"/>
    <w:pPr>
      <w:numPr>
        <w:numId w:val="10"/>
      </w:numPr>
    </w:pPr>
  </w:style>
  <w:style w:type="paragraph" w:customStyle="1" w:styleId="Tiret3">
    <w:name w:val="Tiret 3"/>
    <w:basedOn w:val="Point3"/>
    <w:pPr>
      <w:numPr>
        <w:numId w:val="11"/>
      </w:numPr>
    </w:pPr>
  </w:style>
  <w:style w:type="paragraph" w:customStyle="1" w:styleId="Tiret4">
    <w:name w:val="Tiret 4"/>
    <w:basedOn w:val="Point4"/>
    <w:pPr>
      <w:numPr>
        <w:numId w:val="12"/>
      </w:numPr>
    </w:pPr>
  </w:style>
  <w:style w:type="paragraph" w:customStyle="1" w:styleId="Tiret5">
    <w:name w:val="Tiret 5"/>
    <w:basedOn w:val="Point5"/>
    <w:pPr>
      <w:numPr>
        <w:numId w:val="13"/>
      </w:numPr>
    </w:pPr>
  </w:style>
  <w:style w:type="paragraph" w:customStyle="1" w:styleId="PointDouble0">
    <w:name w:val="PointDouble 0"/>
    <w:basedOn w:val="Normal"/>
    <w:pPr>
      <w:tabs>
        <w:tab w:val="left" w:pos="850"/>
      </w:tabs>
      <w:ind w:left="1417" w:hanging="1417"/>
    </w:pPr>
  </w:style>
  <w:style w:type="paragraph" w:customStyle="1" w:styleId="PointDouble1">
    <w:name w:val="PointDouble 1"/>
    <w:basedOn w:val="Normal"/>
    <w:pPr>
      <w:tabs>
        <w:tab w:val="left" w:pos="1417"/>
      </w:tabs>
      <w:ind w:left="1984" w:hanging="1134"/>
    </w:pPr>
  </w:style>
  <w:style w:type="paragraph" w:customStyle="1" w:styleId="PointDouble2">
    <w:name w:val="PointDouble 2"/>
    <w:basedOn w:val="Normal"/>
    <w:pPr>
      <w:tabs>
        <w:tab w:val="left" w:pos="1984"/>
      </w:tabs>
      <w:ind w:left="2551" w:hanging="1134"/>
    </w:pPr>
  </w:style>
  <w:style w:type="paragraph" w:customStyle="1" w:styleId="PointDouble3">
    <w:name w:val="PointDouble 3"/>
    <w:basedOn w:val="Normal"/>
    <w:pPr>
      <w:tabs>
        <w:tab w:val="left" w:pos="2551"/>
      </w:tabs>
      <w:ind w:left="3118" w:hanging="1134"/>
    </w:pPr>
  </w:style>
  <w:style w:type="paragraph" w:customStyle="1" w:styleId="PointDouble4">
    <w:name w:val="PointDouble 4"/>
    <w:basedOn w:val="Normal"/>
    <w:pPr>
      <w:tabs>
        <w:tab w:val="left" w:pos="3118"/>
      </w:tabs>
      <w:ind w:left="3685" w:hanging="1134"/>
    </w:pPr>
  </w:style>
  <w:style w:type="paragraph" w:customStyle="1" w:styleId="PointTriple0">
    <w:name w:val="PointTriple 0"/>
    <w:basedOn w:val="Normal"/>
    <w:pPr>
      <w:tabs>
        <w:tab w:val="left" w:pos="850"/>
        <w:tab w:val="left" w:pos="1417"/>
      </w:tabs>
      <w:ind w:left="1984" w:hanging="1984"/>
    </w:pPr>
  </w:style>
  <w:style w:type="paragraph" w:customStyle="1" w:styleId="PointTriple1">
    <w:name w:val="PointTriple 1"/>
    <w:basedOn w:val="Normal"/>
    <w:pPr>
      <w:tabs>
        <w:tab w:val="left" w:pos="1417"/>
        <w:tab w:val="left" w:pos="1984"/>
      </w:tabs>
      <w:ind w:left="2551" w:hanging="1701"/>
    </w:pPr>
  </w:style>
  <w:style w:type="paragraph" w:customStyle="1" w:styleId="PointTriple2">
    <w:name w:val="PointTriple 2"/>
    <w:basedOn w:val="Normal"/>
    <w:pPr>
      <w:tabs>
        <w:tab w:val="left" w:pos="1984"/>
        <w:tab w:val="left" w:pos="2551"/>
      </w:tabs>
      <w:ind w:left="3118" w:hanging="1701"/>
    </w:pPr>
  </w:style>
  <w:style w:type="paragraph" w:customStyle="1" w:styleId="PointTriple3">
    <w:name w:val="PointTriple 3"/>
    <w:basedOn w:val="Normal"/>
    <w:pPr>
      <w:tabs>
        <w:tab w:val="left" w:pos="2551"/>
        <w:tab w:val="left" w:pos="3118"/>
      </w:tabs>
      <w:ind w:left="3685" w:hanging="1701"/>
    </w:pPr>
  </w:style>
  <w:style w:type="paragraph" w:customStyle="1" w:styleId="PointTriple4">
    <w:name w:val="PointTriple 4"/>
    <w:basedOn w:val="Normal"/>
    <w:pPr>
      <w:tabs>
        <w:tab w:val="left" w:pos="3118"/>
        <w:tab w:val="left" w:pos="3685"/>
      </w:tabs>
      <w:ind w:left="4252" w:hanging="1701"/>
    </w:pPr>
  </w:style>
  <w:style w:type="paragraph" w:customStyle="1" w:styleId="NumPar1">
    <w:name w:val="NumPar 1"/>
    <w:basedOn w:val="Normal"/>
    <w:next w:val="Text1"/>
    <w:pPr>
      <w:numPr>
        <w:numId w:val="14"/>
      </w:numPr>
    </w:pPr>
  </w:style>
  <w:style w:type="paragraph" w:customStyle="1" w:styleId="NumPar2">
    <w:name w:val="NumPar 2"/>
    <w:basedOn w:val="Normal"/>
    <w:next w:val="Text1"/>
    <w:pPr>
      <w:numPr>
        <w:ilvl w:val="1"/>
        <w:numId w:val="14"/>
      </w:numPr>
    </w:pPr>
  </w:style>
  <w:style w:type="paragraph" w:customStyle="1" w:styleId="NumPar3">
    <w:name w:val="NumPar 3"/>
    <w:basedOn w:val="Normal"/>
    <w:next w:val="Text1"/>
    <w:pPr>
      <w:numPr>
        <w:ilvl w:val="2"/>
        <w:numId w:val="14"/>
      </w:numPr>
    </w:pPr>
  </w:style>
  <w:style w:type="paragraph" w:customStyle="1" w:styleId="NumPar4">
    <w:name w:val="NumPar 4"/>
    <w:basedOn w:val="Normal"/>
    <w:next w:val="Text1"/>
    <w:pPr>
      <w:numPr>
        <w:ilvl w:val="3"/>
        <w:numId w:val="14"/>
      </w:numPr>
    </w:pPr>
  </w:style>
  <w:style w:type="paragraph" w:customStyle="1" w:styleId="NumPar5">
    <w:name w:val="NumPar 5"/>
    <w:basedOn w:val="Normal"/>
    <w:next w:val="Text2"/>
    <w:pPr>
      <w:numPr>
        <w:ilvl w:val="4"/>
        <w:numId w:val="14"/>
      </w:numPr>
    </w:pPr>
  </w:style>
  <w:style w:type="paragraph" w:customStyle="1" w:styleId="NumPar6">
    <w:name w:val="NumPar 6"/>
    <w:basedOn w:val="Normal"/>
    <w:next w:val="Text2"/>
    <w:pPr>
      <w:numPr>
        <w:ilvl w:val="5"/>
        <w:numId w:val="14"/>
      </w:numPr>
    </w:pPr>
  </w:style>
  <w:style w:type="paragraph" w:customStyle="1" w:styleId="NumPar7">
    <w:name w:val="NumPar 7"/>
    <w:basedOn w:val="Normal"/>
    <w:next w:val="Text2"/>
    <w:pPr>
      <w:numPr>
        <w:ilvl w:val="6"/>
        <w:numId w:val="14"/>
      </w:numPr>
    </w:pPr>
  </w:style>
  <w:style w:type="paragraph" w:customStyle="1" w:styleId="ManualNumPar1">
    <w:name w:val="Manual NumPar 1"/>
    <w:basedOn w:val="Normal"/>
    <w:next w:val="Text1"/>
    <w:pPr>
      <w:ind w:left="850" w:hanging="850"/>
    </w:pPr>
  </w:style>
  <w:style w:type="paragraph" w:customStyle="1" w:styleId="ManualNumPar2">
    <w:name w:val="Manual NumPar 2"/>
    <w:basedOn w:val="Normal"/>
    <w:next w:val="Text1"/>
    <w:pPr>
      <w:ind w:left="850" w:hanging="850"/>
    </w:pPr>
  </w:style>
  <w:style w:type="paragraph" w:customStyle="1" w:styleId="ManualNumPar3">
    <w:name w:val="Manual NumPar 3"/>
    <w:basedOn w:val="Normal"/>
    <w:next w:val="Text1"/>
    <w:pPr>
      <w:ind w:left="850" w:hanging="850"/>
    </w:pPr>
  </w:style>
  <w:style w:type="paragraph" w:customStyle="1" w:styleId="ManualNumPar4">
    <w:name w:val="Manual NumPar 4"/>
    <w:basedOn w:val="Normal"/>
    <w:next w:val="Text1"/>
    <w:pPr>
      <w:ind w:left="850" w:hanging="850"/>
    </w:pPr>
  </w:style>
  <w:style w:type="paragraph" w:customStyle="1" w:styleId="ManualNumPar5">
    <w:name w:val="Manual NumPar 5"/>
    <w:basedOn w:val="Normal"/>
    <w:next w:val="Text2"/>
    <w:pPr>
      <w:ind w:left="1417" w:hanging="1417"/>
    </w:pPr>
  </w:style>
  <w:style w:type="paragraph" w:customStyle="1" w:styleId="ManualNumPar6">
    <w:name w:val="Manual NumPar 6"/>
    <w:basedOn w:val="Normal"/>
    <w:next w:val="Text2"/>
    <w:pPr>
      <w:ind w:left="1417" w:hanging="1417"/>
    </w:pPr>
  </w:style>
  <w:style w:type="paragraph" w:customStyle="1" w:styleId="ManualNumPar7">
    <w:name w:val="Manual NumPar 7"/>
    <w:basedOn w:val="Normal"/>
    <w:next w:val="Text2"/>
    <w:pPr>
      <w:ind w:left="1417" w:hanging="1417"/>
    </w:pPr>
  </w:style>
  <w:style w:type="paragraph" w:customStyle="1" w:styleId="QuotedNumPar">
    <w:name w:val="Quoted NumPar"/>
    <w:basedOn w:val="Normal"/>
    <w:pPr>
      <w:ind w:left="1417" w:hanging="567"/>
    </w:pPr>
  </w:style>
  <w:style w:type="paragraph" w:customStyle="1" w:styleId="ManualHeading1">
    <w:name w:val="Manual Heading 1"/>
    <w:basedOn w:val="Normal"/>
    <w:next w:val="Text1"/>
    <w:pPr>
      <w:keepNext/>
      <w:tabs>
        <w:tab w:val="left" w:pos="850"/>
      </w:tabs>
      <w:spacing w:before="360"/>
      <w:ind w:left="850" w:hanging="850"/>
      <w:outlineLvl w:val="0"/>
    </w:pPr>
    <w:rPr>
      <w:b/>
      <w:smallCaps/>
    </w:rPr>
  </w:style>
  <w:style w:type="paragraph" w:customStyle="1" w:styleId="ManualHeading2">
    <w:name w:val="Manual Heading 2"/>
    <w:basedOn w:val="Normal"/>
    <w:next w:val="Text1"/>
    <w:pPr>
      <w:keepNext/>
      <w:tabs>
        <w:tab w:val="left" w:pos="850"/>
      </w:tabs>
      <w:ind w:left="850" w:hanging="850"/>
      <w:outlineLvl w:val="1"/>
    </w:pPr>
    <w:rPr>
      <w:b/>
    </w:rPr>
  </w:style>
  <w:style w:type="paragraph" w:customStyle="1" w:styleId="ManualHeading3">
    <w:name w:val="Manual Heading 3"/>
    <w:basedOn w:val="Normal"/>
    <w:next w:val="Text1"/>
    <w:pPr>
      <w:keepNext/>
      <w:tabs>
        <w:tab w:val="left" w:pos="850"/>
      </w:tabs>
      <w:ind w:left="850" w:hanging="850"/>
      <w:outlineLvl w:val="2"/>
    </w:pPr>
    <w:rPr>
      <w:i/>
    </w:rPr>
  </w:style>
  <w:style w:type="paragraph" w:customStyle="1" w:styleId="ManualHeading4">
    <w:name w:val="Manual Heading 4"/>
    <w:basedOn w:val="Normal"/>
    <w:next w:val="Text1"/>
    <w:pPr>
      <w:keepNext/>
      <w:tabs>
        <w:tab w:val="left" w:pos="850"/>
      </w:tabs>
      <w:ind w:left="850" w:hanging="850"/>
      <w:outlineLvl w:val="3"/>
    </w:pPr>
  </w:style>
  <w:style w:type="paragraph" w:customStyle="1" w:styleId="ManualHeading5">
    <w:name w:val="Manual Heading 5"/>
    <w:basedOn w:val="Normal"/>
    <w:next w:val="Text2"/>
    <w:pPr>
      <w:keepNext/>
      <w:tabs>
        <w:tab w:val="left" w:pos="1417"/>
      </w:tabs>
      <w:ind w:left="1417" w:hanging="1417"/>
      <w:outlineLvl w:val="4"/>
    </w:pPr>
  </w:style>
  <w:style w:type="paragraph" w:customStyle="1" w:styleId="ManualHeading6">
    <w:name w:val="Manual Heading 6"/>
    <w:basedOn w:val="Normal"/>
    <w:next w:val="Text2"/>
    <w:pPr>
      <w:keepNext/>
      <w:tabs>
        <w:tab w:val="left" w:pos="1417"/>
      </w:tabs>
      <w:ind w:left="1417" w:hanging="1417"/>
      <w:outlineLvl w:val="5"/>
    </w:pPr>
  </w:style>
  <w:style w:type="paragraph" w:customStyle="1" w:styleId="ManualHeading7">
    <w:name w:val="Manual Heading 7"/>
    <w:basedOn w:val="Normal"/>
    <w:next w:val="Text2"/>
    <w:pPr>
      <w:keepNext/>
      <w:tabs>
        <w:tab w:val="left" w:pos="1417"/>
      </w:tabs>
      <w:ind w:left="1417" w:hanging="1417"/>
      <w:outlineLvl w:val="6"/>
    </w:pPr>
  </w:style>
  <w:style w:type="paragraph" w:customStyle="1" w:styleId="ChapterTitle">
    <w:name w:val="ChapterTitle"/>
    <w:basedOn w:val="Normal"/>
    <w:next w:val="Normal"/>
    <w:pPr>
      <w:keepNext/>
      <w:spacing w:after="360"/>
      <w:jc w:val="center"/>
    </w:pPr>
    <w:rPr>
      <w:b/>
      <w:sz w:val="32"/>
    </w:rPr>
  </w:style>
  <w:style w:type="paragraph" w:customStyle="1" w:styleId="PartTitle">
    <w:name w:val="PartTitle"/>
    <w:basedOn w:val="Normal"/>
    <w:next w:val="ChapterTitle"/>
    <w:pPr>
      <w:keepNext/>
      <w:pageBreakBefore/>
      <w:spacing w:after="360"/>
      <w:jc w:val="center"/>
    </w:pPr>
    <w:rPr>
      <w:b/>
      <w:sz w:val="36"/>
    </w:rPr>
  </w:style>
  <w:style w:type="paragraph" w:customStyle="1" w:styleId="SectionTitle">
    <w:name w:val="SectionTitle"/>
    <w:basedOn w:val="Normal"/>
    <w:next w:val="Heading1"/>
    <w:pPr>
      <w:keepNext/>
      <w:spacing w:after="360"/>
      <w:jc w:val="center"/>
    </w:pPr>
    <w:rPr>
      <w:b/>
      <w:smallCaps/>
      <w:sz w:val="28"/>
    </w:rPr>
  </w:style>
  <w:style w:type="paragraph" w:customStyle="1" w:styleId="TableTitle">
    <w:name w:val="Table Title"/>
    <w:basedOn w:val="Normal"/>
    <w:next w:val="Normal"/>
    <w:pPr>
      <w:jc w:val="center"/>
    </w:pPr>
    <w:rPr>
      <w:b/>
    </w:rPr>
  </w:style>
  <w:style w:type="character" w:customStyle="1" w:styleId="Marker">
    <w:name w:val="Marker"/>
    <w:basedOn w:val="DefaultParagraphFont"/>
    <w:rPr>
      <w:color w:val="0000FF"/>
      <w:shd w:val="clear" w:color="auto" w:fill="auto"/>
    </w:rPr>
  </w:style>
  <w:style w:type="character" w:customStyle="1" w:styleId="Marker1">
    <w:name w:val="Marker1"/>
    <w:basedOn w:val="DefaultParagraphFont"/>
    <w:rPr>
      <w:color w:val="008000"/>
      <w:shd w:val="clear" w:color="auto" w:fill="auto"/>
    </w:rPr>
  </w:style>
  <w:style w:type="character" w:customStyle="1" w:styleId="Marker2">
    <w:name w:val="Marker2"/>
    <w:basedOn w:val="DefaultParagraphFont"/>
    <w:rPr>
      <w:color w:val="FF0000"/>
      <w:shd w:val="clear" w:color="auto" w:fill="auto"/>
    </w:rPr>
  </w:style>
  <w:style w:type="paragraph" w:customStyle="1" w:styleId="Point0number">
    <w:name w:val="Point 0 (number)"/>
    <w:basedOn w:val="Normal"/>
    <w:pPr>
      <w:numPr>
        <w:numId w:val="16"/>
      </w:numPr>
    </w:pPr>
  </w:style>
  <w:style w:type="paragraph" w:customStyle="1" w:styleId="Point1number">
    <w:name w:val="Point 1 (number)"/>
    <w:basedOn w:val="Normal"/>
    <w:pPr>
      <w:numPr>
        <w:ilvl w:val="2"/>
        <w:numId w:val="16"/>
      </w:numPr>
    </w:pPr>
  </w:style>
  <w:style w:type="paragraph" w:customStyle="1" w:styleId="Point2number">
    <w:name w:val="Point 2 (number)"/>
    <w:basedOn w:val="Normal"/>
    <w:pPr>
      <w:numPr>
        <w:ilvl w:val="4"/>
        <w:numId w:val="16"/>
      </w:numPr>
    </w:pPr>
  </w:style>
  <w:style w:type="paragraph" w:customStyle="1" w:styleId="Point3number">
    <w:name w:val="Point 3 (number)"/>
    <w:basedOn w:val="Normal"/>
    <w:pPr>
      <w:numPr>
        <w:ilvl w:val="6"/>
        <w:numId w:val="16"/>
      </w:numPr>
    </w:pPr>
  </w:style>
  <w:style w:type="paragraph" w:customStyle="1" w:styleId="Point0letter">
    <w:name w:val="Point 0 (letter)"/>
    <w:basedOn w:val="Normal"/>
    <w:pPr>
      <w:numPr>
        <w:ilvl w:val="1"/>
        <w:numId w:val="16"/>
      </w:numPr>
    </w:pPr>
  </w:style>
  <w:style w:type="paragraph" w:customStyle="1" w:styleId="Point1letter">
    <w:name w:val="Point 1 (letter)"/>
    <w:basedOn w:val="Normal"/>
    <w:pPr>
      <w:numPr>
        <w:ilvl w:val="3"/>
        <w:numId w:val="16"/>
      </w:numPr>
    </w:pPr>
  </w:style>
  <w:style w:type="paragraph" w:customStyle="1" w:styleId="Point2letter">
    <w:name w:val="Point 2 (letter)"/>
    <w:basedOn w:val="Normal"/>
    <w:pPr>
      <w:numPr>
        <w:ilvl w:val="5"/>
        <w:numId w:val="16"/>
      </w:numPr>
    </w:pPr>
  </w:style>
  <w:style w:type="paragraph" w:customStyle="1" w:styleId="Point3letter">
    <w:name w:val="Point 3 (letter)"/>
    <w:basedOn w:val="Normal"/>
    <w:pPr>
      <w:numPr>
        <w:ilvl w:val="7"/>
        <w:numId w:val="16"/>
      </w:numPr>
    </w:pPr>
  </w:style>
  <w:style w:type="paragraph" w:customStyle="1" w:styleId="Point4letter">
    <w:name w:val="Point 4 (letter)"/>
    <w:basedOn w:val="Normal"/>
    <w:pPr>
      <w:numPr>
        <w:ilvl w:val="8"/>
        <w:numId w:val="16"/>
      </w:numPr>
    </w:pPr>
  </w:style>
  <w:style w:type="paragraph" w:customStyle="1" w:styleId="Bullet0">
    <w:name w:val="Bullet 0"/>
    <w:basedOn w:val="Normal"/>
    <w:pPr>
      <w:numPr>
        <w:numId w:val="17"/>
      </w:numPr>
    </w:pPr>
  </w:style>
  <w:style w:type="paragraph" w:customStyle="1" w:styleId="Bullet1">
    <w:name w:val="Bullet 1"/>
    <w:basedOn w:val="Normal"/>
    <w:pPr>
      <w:numPr>
        <w:numId w:val="18"/>
      </w:numPr>
    </w:pPr>
  </w:style>
  <w:style w:type="paragraph" w:customStyle="1" w:styleId="Bullet2">
    <w:name w:val="Bullet 2"/>
    <w:basedOn w:val="Normal"/>
    <w:pPr>
      <w:numPr>
        <w:numId w:val="19"/>
      </w:numPr>
    </w:pPr>
  </w:style>
  <w:style w:type="paragraph" w:customStyle="1" w:styleId="Bullet3">
    <w:name w:val="Bullet 3"/>
    <w:basedOn w:val="Normal"/>
    <w:pPr>
      <w:numPr>
        <w:numId w:val="20"/>
      </w:numPr>
    </w:pPr>
  </w:style>
  <w:style w:type="paragraph" w:customStyle="1" w:styleId="Bullet4">
    <w:name w:val="Bullet 4"/>
    <w:basedOn w:val="Normal"/>
    <w:pPr>
      <w:numPr>
        <w:numId w:val="21"/>
      </w:numPr>
    </w:pPr>
  </w:style>
  <w:style w:type="paragraph" w:customStyle="1" w:styleId="Langue">
    <w:name w:val="Langue"/>
    <w:basedOn w:val="Normal"/>
    <w:next w:val="Rfrenceinterne"/>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pPr>
      <w:spacing w:before="0" w:after="0"/>
      <w:jc w:val="left"/>
    </w:pPr>
    <w:rPr>
      <w:rFonts w:ascii="Arial" w:hAnsi="Arial" w:cs="Arial"/>
    </w:rPr>
  </w:style>
  <w:style w:type="paragraph" w:customStyle="1" w:styleId="Emission">
    <w:name w:val="Emission"/>
    <w:basedOn w:val="Normal"/>
    <w:next w:val="Rfrenceinstitutionnelle"/>
    <w:pPr>
      <w:spacing w:before="0" w:after="0"/>
      <w:ind w:left="5103"/>
      <w:jc w:val="left"/>
    </w:pPr>
  </w:style>
  <w:style w:type="paragraph" w:customStyle="1" w:styleId="Rfrenceinstitutionnelle">
    <w:name w:val="Référence institutionnelle"/>
    <w:basedOn w:val="Normal"/>
    <w:next w:val="Confidentialit"/>
    <w:pPr>
      <w:spacing w:before="0" w:after="240"/>
      <w:ind w:left="5103"/>
      <w:jc w:val="left"/>
    </w:pPr>
  </w:style>
  <w:style w:type="paragraph" w:customStyle="1" w:styleId="Pagedecouverture">
    <w:name w:val="Page de couverture"/>
    <w:basedOn w:val="Normal"/>
    <w:next w:val="Normal"/>
    <w:pPr>
      <w:spacing w:before="0" w:after="0"/>
    </w:pPr>
  </w:style>
  <w:style w:type="paragraph" w:customStyle="1" w:styleId="Declassification">
    <w:name w:val="Declassification"/>
    <w:basedOn w:val="Normal"/>
    <w:next w:val="Normal"/>
    <w:pPr>
      <w:spacing w:before="0" w:after="0"/>
    </w:pPr>
  </w:style>
  <w:style w:type="paragraph" w:customStyle="1" w:styleId="Disclaimer">
    <w:name w:val="Disclaimer"/>
    <w:basedOn w:val="Normal"/>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pPr>
      <w:spacing w:before="0" w:after="0" w:line="276" w:lineRule="auto"/>
      <w:ind w:left="5103"/>
      <w:jc w:val="left"/>
    </w:pPr>
    <w:rPr>
      <w:sz w:val="28"/>
    </w:rPr>
  </w:style>
  <w:style w:type="paragraph" w:customStyle="1" w:styleId="DateMarking">
    <w:name w:val="DateMarking"/>
    <w:basedOn w:val="Normal"/>
    <w:pPr>
      <w:spacing w:before="0" w:after="0" w:line="276" w:lineRule="auto"/>
      <w:ind w:left="5103"/>
      <w:jc w:val="left"/>
    </w:pPr>
    <w:rPr>
      <w:i/>
      <w:sz w:val="28"/>
    </w:rPr>
  </w:style>
  <w:style w:type="paragraph" w:customStyle="1" w:styleId="ReleasableTo">
    <w:name w:val="ReleasableTo"/>
    <w:basedOn w:val="Normal"/>
    <w:pPr>
      <w:spacing w:before="0" w:after="0" w:line="276" w:lineRule="auto"/>
      <w:ind w:left="5103"/>
      <w:jc w:val="left"/>
    </w:pPr>
    <w:rPr>
      <w:i/>
      <w:sz w:val="28"/>
    </w:rPr>
  </w:style>
  <w:style w:type="paragraph" w:customStyle="1" w:styleId="Annexetitreexpos">
    <w:name w:val="Annexe titre (exposé)"/>
    <w:basedOn w:val="Normal"/>
    <w:next w:val="Normal"/>
    <w:pPr>
      <w:jc w:val="center"/>
    </w:pPr>
    <w:rPr>
      <w:b/>
      <w:u w:val="single"/>
    </w:rPr>
  </w:style>
  <w:style w:type="paragraph" w:customStyle="1" w:styleId="Annexetitre">
    <w:name w:val="Annexe titre"/>
    <w:basedOn w:val="Normal"/>
    <w:next w:val="Normal"/>
    <w:pPr>
      <w:jc w:val="center"/>
    </w:pPr>
    <w:rPr>
      <w:b/>
      <w:u w:val="single"/>
    </w:rPr>
  </w:style>
  <w:style w:type="paragraph" w:customStyle="1" w:styleId="Annexetitrefichefinancire">
    <w:name w:val="Annexe titre (fiche financière)"/>
    <w:basedOn w:val="Normal"/>
    <w:next w:val="Normal"/>
    <w:pPr>
      <w:jc w:val="center"/>
    </w:pPr>
    <w:rPr>
      <w:b/>
      <w:u w:val="single"/>
    </w:rPr>
  </w:style>
  <w:style w:type="paragraph" w:customStyle="1" w:styleId="Applicationdirecte">
    <w:name w:val="Application directe"/>
    <w:basedOn w:val="Normal"/>
    <w:next w:val="Fait"/>
    <w:pPr>
      <w:spacing w:before="480"/>
    </w:pPr>
  </w:style>
  <w:style w:type="paragraph" w:customStyle="1" w:styleId="Avertissementtitre">
    <w:name w:val="Avertissement titre"/>
    <w:basedOn w:val="Normal"/>
    <w:next w:val="Normal"/>
    <w:pPr>
      <w:keepNext/>
      <w:spacing w:before="480"/>
    </w:pPr>
    <w:rPr>
      <w:u w:val="single"/>
    </w:rPr>
  </w:style>
  <w:style w:type="paragraph" w:customStyle="1" w:styleId="Confidence">
    <w:name w:val="Confidence"/>
    <w:basedOn w:val="Normal"/>
    <w:next w:val="Normal"/>
    <w:pPr>
      <w:spacing w:before="360"/>
      <w:jc w:val="center"/>
    </w:pPr>
  </w:style>
  <w:style w:type="paragraph" w:customStyle="1" w:styleId="Confidentialit">
    <w:name w:val="Confidentialité"/>
    <w:basedOn w:val="Normal"/>
    <w:next w:val="TypedudocumentPagedecouverture"/>
    <w:pPr>
      <w:spacing w:before="240" w:after="240"/>
      <w:ind w:left="5103"/>
      <w:jc w:val="left"/>
    </w:pPr>
    <w:rPr>
      <w:i/>
      <w:sz w:val="32"/>
    </w:rPr>
  </w:style>
  <w:style w:type="paragraph" w:customStyle="1" w:styleId="Considrant">
    <w:name w:val="Considérant"/>
    <w:basedOn w:val="Normal"/>
    <w:pPr>
      <w:numPr>
        <w:numId w:val="22"/>
      </w:numPr>
    </w:pPr>
  </w:style>
  <w:style w:type="paragraph" w:customStyle="1" w:styleId="Corrigendum">
    <w:name w:val="Corrigendum"/>
    <w:basedOn w:val="Normal"/>
    <w:next w:val="Normal"/>
    <w:pPr>
      <w:spacing w:before="0" w:after="240"/>
      <w:jc w:val="left"/>
    </w:pPr>
  </w:style>
  <w:style w:type="paragraph" w:customStyle="1" w:styleId="Datedadoption">
    <w:name w:val="Date d'adoption"/>
    <w:basedOn w:val="Normal"/>
    <w:next w:val="Titreobjet"/>
    <w:pPr>
      <w:spacing w:before="360" w:after="0"/>
      <w:jc w:val="center"/>
    </w:pPr>
    <w:rPr>
      <w:b/>
    </w:rPr>
  </w:style>
  <w:style w:type="paragraph" w:customStyle="1" w:styleId="Exposdesmotifstitre">
    <w:name w:val="Exposé des motifs titre"/>
    <w:basedOn w:val="Normal"/>
    <w:next w:val="Normal"/>
    <w:pPr>
      <w:jc w:val="center"/>
    </w:pPr>
    <w:rPr>
      <w:b/>
      <w:u w:val="single"/>
    </w:rPr>
  </w:style>
  <w:style w:type="paragraph" w:customStyle="1" w:styleId="Fait">
    <w:name w:val="Fait à"/>
    <w:basedOn w:val="Normal"/>
    <w:next w:val="Institutionquisigne"/>
    <w:pPr>
      <w:keepNext/>
      <w:spacing w:after="0"/>
    </w:pPr>
  </w:style>
  <w:style w:type="paragraph" w:customStyle="1" w:styleId="Formuledadoption">
    <w:name w:val="Formule d'adoption"/>
    <w:basedOn w:val="Normal"/>
    <w:next w:val="Titrearticle"/>
    <w:pPr>
      <w:keepNext/>
    </w:pPr>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Personnequisigne"/>
    <w:pPr>
      <w:keepNext/>
      <w:tabs>
        <w:tab w:val="left" w:pos="4252"/>
      </w:tabs>
      <w:spacing w:before="720" w:after="0"/>
    </w:pPr>
    <w:rPr>
      <w:i/>
    </w:rPr>
  </w:style>
  <w:style w:type="paragraph" w:customStyle="1" w:styleId="ManualConsidrant">
    <w:name w:val="Manual Considérant"/>
    <w:basedOn w:val="Normal"/>
    <w:pPr>
      <w:ind w:left="709" w:hanging="709"/>
    </w:pPr>
  </w:style>
  <w:style w:type="paragraph" w:customStyle="1" w:styleId="Personnequisigne">
    <w:name w:val="Personne qui signe"/>
    <w:basedOn w:val="Normal"/>
    <w:next w:val="Institutionquisigne"/>
    <w:pPr>
      <w:tabs>
        <w:tab w:val="left" w:pos="4252"/>
      </w:tabs>
      <w:spacing w:before="0" w:after="0"/>
      <w:jc w:val="left"/>
    </w:pPr>
    <w:rPr>
      <w:i/>
    </w:rPr>
  </w:style>
  <w:style w:type="paragraph" w:customStyle="1" w:styleId="Rfrenceinterinstitutionnelle">
    <w:name w:val="Référence interinstitutionnelle"/>
    <w:basedOn w:val="Normal"/>
    <w:next w:val="Statut"/>
    <w:pPr>
      <w:spacing w:before="0" w:after="0"/>
      <w:ind w:left="5103"/>
      <w:jc w:val="left"/>
    </w:pPr>
  </w:style>
  <w:style w:type="paragraph" w:customStyle="1" w:styleId="Rfrenceinterne">
    <w:name w:val="Référence interne"/>
    <w:basedOn w:val="Normal"/>
    <w:next w:val="Rfrenceinterinstitutionnelle"/>
    <w:pPr>
      <w:spacing w:before="0" w:after="0"/>
      <w:ind w:left="5103"/>
      <w:jc w:val="left"/>
    </w:pPr>
  </w:style>
  <w:style w:type="paragraph" w:customStyle="1" w:styleId="Statut">
    <w:name w:val="Statut"/>
    <w:basedOn w:val="Normal"/>
    <w:next w:val="Typedudocument"/>
    <w:pPr>
      <w:spacing w:before="360" w:after="0"/>
      <w:jc w:val="center"/>
    </w:pPr>
  </w:style>
  <w:style w:type="paragraph" w:customStyle="1" w:styleId="Titrearticle">
    <w:name w:val="Titre article"/>
    <w:basedOn w:val="Normal"/>
    <w:next w:val="Normal"/>
    <w:pPr>
      <w:keepNext/>
      <w:spacing w:before="360"/>
      <w:jc w:val="center"/>
    </w:pPr>
    <w:rPr>
      <w:i/>
    </w:rPr>
  </w:style>
  <w:style w:type="paragraph" w:customStyle="1" w:styleId="Titreobjet">
    <w:name w:val="Titre objet"/>
    <w:basedOn w:val="Normal"/>
    <w:next w:val="IntrtEEE"/>
    <w:pPr>
      <w:spacing w:before="360" w:after="360"/>
      <w:jc w:val="center"/>
    </w:pPr>
    <w:rPr>
      <w:b/>
    </w:rPr>
  </w:style>
  <w:style w:type="paragraph" w:customStyle="1" w:styleId="Typedudocument">
    <w:name w:val="Type du document"/>
    <w:basedOn w:val="Normal"/>
    <w:next w:val="Titreobjet"/>
    <w:pPr>
      <w:spacing w:before="360" w:after="0"/>
      <w:jc w:val="center"/>
    </w:pPr>
    <w:rPr>
      <w:b/>
    </w:rPr>
  </w:style>
  <w:style w:type="character" w:customStyle="1" w:styleId="Added">
    <w:name w:val="Added"/>
    <w:basedOn w:val="DefaultParagraphFont"/>
    <w:rPr>
      <w:b/>
      <w:u w:val="single"/>
      <w:shd w:val="clear" w:color="auto" w:fill="auto"/>
    </w:rPr>
  </w:style>
  <w:style w:type="character" w:customStyle="1" w:styleId="Deleted">
    <w:name w:val="Deleted"/>
    <w:basedOn w:val="DefaultParagraphFont"/>
    <w:rPr>
      <w:strike/>
      <w:dstrike w:val="0"/>
      <w:shd w:val="clear" w:color="auto" w:fill="auto"/>
    </w:rPr>
  </w:style>
  <w:style w:type="paragraph" w:customStyle="1" w:styleId="Address">
    <w:name w:val="Address"/>
    <w:basedOn w:val="Normal"/>
    <w:next w:val="Normal"/>
    <w:pPr>
      <w:keepLines/>
      <w:spacing w:line="360" w:lineRule="auto"/>
      <w:ind w:left="3402"/>
      <w:jc w:val="left"/>
    </w:pPr>
  </w:style>
  <w:style w:type="paragraph" w:customStyle="1" w:styleId="Objetexterne">
    <w:name w:val="Objet externe"/>
    <w:basedOn w:val="Normal"/>
    <w:next w:val="Normal"/>
    <w:rPr>
      <w:i/>
      <w:caps/>
    </w:rPr>
  </w:style>
  <w:style w:type="paragraph" w:customStyle="1" w:styleId="Supertitre">
    <w:name w:val="Supertitre"/>
    <w:basedOn w:val="Normal"/>
    <w:next w:val="Normal"/>
    <w:pPr>
      <w:spacing w:before="0" w:after="600"/>
      <w:jc w:val="center"/>
    </w:pPr>
    <w:rPr>
      <w:b/>
    </w:rPr>
  </w:style>
  <w:style w:type="paragraph" w:customStyle="1" w:styleId="Languesfaisantfoi">
    <w:name w:val="Langues faisant foi"/>
    <w:basedOn w:val="Normal"/>
    <w:next w:val="Normal"/>
    <w:rsid w:val="00E664ED"/>
    <w:pPr>
      <w:spacing w:before="360" w:after="240"/>
      <w:jc w:val="center"/>
    </w:pPr>
  </w:style>
  <w:style w:type="paragraph" w:customStyle="1" w:styleId="Rfrencecroise">
    <w:name w:val="Référence croisée"/>
    <w:basedOn w:val="Normal"/>
    <w:pPr>
      <w:spacing w:before="0" w:after="0"/>
      <w:jc w:val="center"/>
    </w:pPr>
  </w:style>
  <w:style w:type="paragraph" w:customStyle="1" w:styleId="Fichefinanciretitre">
    <w:name w:val="Fiche financière titre"/>
    <w:basedOn w:val="Normal"/>
    <w:next w:val="Normal"/>
    <w:pPr>
      <w:jc w:val="center"/>
    </w:pPr>
    <w:rPr>
      <w:b/>
      <w:u w:val="single"/>
    </w:rPr>
  </w:style>
  <w:style w:type="paragraph" w:customStyle="1" w:styleId="DatedadoptionPagedecouverture">
    <w:name w:val="Date d'adoption (Page de couverture)"/>
    <w:basedOn w:val="Datedadoption"/>
    <w:next w:val="TitreobjetPagedecouverture"/>
  </w:style>
  <w:style w:type="paragraph" w:customStyle="1" w:styleId="RfrenceinterinstitutionnellePagedecouverture">
    <w:name w:val="Référence interinstitutionnelle (Page de couverture)"/>
    <w:basedOn w:val="Rfrenceinterinstitutionnelle"/>
    <w:next w:val="Confidentialit"/>
  </w:style>
  <w:style w:type="paragraph" w:customStyle="1" w:styleId="StatutPagedecouverture">
    <w:name w:val="Statut (Page de couverture)"/>
    <w:basedOn w:val="Statut"/>
    <w:next w:val="TypedudocumentPagedecouverture"/>
  </w:style>
  <w:style w:type="paragraph" w:customStyle="1" w:styleId="TitreobjetPagedecouverture">
    <w:name w:val="Titre objet (Page de couverture)"/>
    <w:basedOn w:val="Titreobjet"/>
    <w:next w:val="IntrtEEEPagedecouverture"/>
  </w:style>
  <w:style w:type="paragraph" w:customStyle="1" w:styleId="TypedudocumentPagedecouverture">
    <w:name w:val="Type du document (Page de couverture)"/>
    <w:basedOn w:val="Typedudocument"/>
    <w:next w:val="TitreobjetPagedecouverture"/>
  </w:style>
  <w:style w:type="paragraph" w:customStyle="1" w:styleId="Volume">
    <w:name w:val="Volume"/>
    <w:basedOn w:val="Normal"/>
    <w:next w:val="Confidentialit"/>
    <w:pPr>
      <w:spacing w:before="0" w:after="240"/>
      <w:ind w:left="5103"/>
      <w:jc w:val="left"/>
    </w:pPr>
  </w:style>
  <w:style w:type="paragraph" w:customStyle="1" w:styleId="IntrtEEE">
    <w:name w:val="Intérêt EEE"/>
    <w:basedOn w:val="Languesfaisantfoi"/>
    <w:next w:val="Normal"/>
    <w:rsid w:val="00E664ED"/>
    <w:pPr>
      <w:spacing w:after="0"/>
    </w:pPr>
  </w:style>
  <w:style w:type="paragraph" w:customStyle="1" w:styleId="Accompagnant">
    <w:name w:val="Accompagnant"/>
    <w:basedOn w:val="Normal"/>
    <w:next w:val="Typeacteprincipal"/>
    <w:pPr>
      <w:spacing w:before="0" w:after="240"/>
      <w:jc w:val="center"/>
    </w:pPr>
    <w:rPr>
      <w:b/>
      <w:i/>
    </w:rPr>
  </w:style>
  <w:style w:type="paragraph" w:customStyle="1" w:styleId="Typeacteprincipal">
    <w:name w:val="Type acte principal"/>
    <w:basedOn w:val="Normal"/>
    <w:next w:val="Objetacteprincipal"/>
    <w:pPr>
      <w:spacing w:before="0" w:after="240"/>
      <w:jc w:val="center"/>
    </w:pPr>
    <w:rPr>
      <w:b/>
    </w:rPr>
  </w:style>
  <w:style w:type="paragraph" w:customStyle="1" w:styleId="Objetacteprincipal">
    <w:name w:val="Objet acte principal"/>
    <w:basedOn w:val="Normal"/>
    <w:next w:val="Titrearticle"/>
    <w:pPr>
      <w:spacing w:before="0" w:after="360"/>
      <w:jc w:val="center"/>
    </w:pPr>
    <w:rPr>
      <w:b/>
    </w:rPr>
  </w:style>
  <w:style w:type="paragraph" w:customStyle="1" w:styleId="IntrtEEEPagedecouverture">
    <w:name w:val="Intérêt EEE (Page de couverture)"/>
    <w:basedOn w:val="IntrtEEE"/>
    <w:next w:val="Normal"/>
    <w:rsid w:val="00E664ED"/>
  </w:style>
  <w:style w:type="paragraph" w:customStyle="1" w:styleId="AccompagnantPagedecouverture">
    <w:name w:val="Accompagnant (Page de couverture)"/>
    <w:basedOn w:val="Accompagnant"/>
    <w:next w:val="TypeacteprincipalPagedecouverture"/>
  </w:style>
  <w:style w:type="paragraph" w:customStyle="1" w:styleId="TypeacteprincipalPagedecouverture">
    <w:name w:val="Type acte principal (Page de couverture)"/>
    <w:basedOn w:val="Typeacteprincipal"/>
    <w:next w:val="ObjetacteprincipalPagedecouverture"/>
  </w:style>
  <w:style w:type="paragraph" w:customStyle="1" w:styleId="ObjetacteprincipalPagedecouverture">
    <w:name w:val="Objet acte principal (Page de couverture)"/>
    <w:basedOn w:val="Objetacteprincipal"/>
    <w:next w:val="Rfrencecroise"/>
  </w:style>
  <w:style w:type="paragraph" w:customStyle="1" w:styleId="LanguesfaisantfoiPagedecouverture">
    <w:name w:val="Langues faisant foi (Page de couverture)"/>
    <w:basedOn w:val="Normal"/>
    <w:next w:val="Rfrencecroise"/>
    <w:rsid w:val="00E664ED"/>
    <w:pPr>
      <w:spacing w:before="360" w:after="240"/>
      <w:jc w:val="center"/>
    </w:pPr>
  </w:style>
  <w:style w:type="paragraph" w:styleId="Header">
    <w:name w:val="header"/>
    <w:basedOn w:val="Normal"/>
    <w:link w:val="HeaderChar"/>
    <w:uiPriority w:val="99"/>
    <w:unhideWhenUsed/>
    <w:rsid w:val="00D06F83"/>
    <w:pPr>
      <w:tabs>
        <w:tab w:val="center" w:pos="4535"/>
        <w:tab w:val="right" w:pos="9071"/>
      </w:tabs>
      <w:spacing w:before="0"/>
    </w:pPr>
  </w:style>
  <w:style w:type="paragraph" w:customStyle="1" w:styleId="HeaderLandscape">
    <w:name w:val="HeaderLandscape"/>
    <w:basedOn w:val="Normal"/>
    <w:rsid w:val="00D06F83"/>
    <w:pPr>
      <w:tabs>
        <w:tab w:val="center" w:pos="7285"/>
        <w:tab w:val="right" w:pos="14003"/>
      </w:tabs>
      <w:spacing w:before="0"/>
    </w:pPr>
  </w:style>
  <w:style w:type="paragraph" w:styleId="Footer">
    <w:name w:val="footer"/>
    <w:basedOn w:val="Normal"/>
    <w:link w:val="FooterChar"/>
    <w:uiPriority w:val="99"/>
    <w:unhideWhenUsed/>
    <w:rsid w:val="00D06F83"/>
    <w:pPr>
      <w:tabs>
        <w:tab w:val="center" w:pos="4535"/>
        <w:tab w:val="right" w:pos="9071"/>
        <w:tab w:val="right" w:pos="9921"/>
      </w:tabs>
      <w:spacing w:before="360" w:after="0"/>
      <w:ind w:left="-850" w:right="-850"/>
      <w:jc w:val="left"/>
    </w:pPr>
  </w:style>
  <w:style w:type="paragraph" w:customStyle="1" w:styleId="FooterLandscape">
    <w:name w:val="FooterLandscape"/>
    <w:basedOn w:val="Normal"/>
    <w:rsid w:val="00D06F83"/>
    <w:pPr>
      <w:tabs>
        <w:tab w:val="center" w:pos="7285"/>
        <w:tab w:val="center" w:pos="10913"/>
        <w:tab w:val="right" w:pos="15137"/>
      </w:tabs>
      <w:spacing w:before="360" w:after="0"/>
      <w:ind w:left="-567" w:right="-567"/>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662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gif"/></Relationships>
</file>

<file path=word/_rels/footnotes.xml.rels><?xml version='1.0' encoding='UTF-8' standalone='yes'?>
<Relationships xmlns="http://schemas.openxmlformats.org/package/2006/relationships"><Relationship Id="rId8" Type="http://schemas.openxmlformats.org/officeDocument/2006/relationships/hyperlink" Target="https://eur-lex.europa.eu/legal-content/EN/TXT/?uri=CELEX%3A52025DC0440R%2801%29&amp;qid=1747125158211" TargetMode="External"/><Relationship Id="rId3" Type="http://schemas.openxmlformats.org/officeDocument/2006/relationships/hyperlink" Target="https://eur-lex.europa.eu/eli/dir/2023/1791/oj" TargetMode="External"/><Relationship Id="rId7" Type="http://schemas.openxmlformats.org/officeDocument/2006/relationships/hyperlink" Target="https://eur-lex.europa.eu/legal-content/EN/TXT/?uri=COM%3A2022%3A230%3AFIN&amp;qid=1653033742483" TargetMode="External"/><Relationship Id="rId2" Type="http://schemas.openxmlformats.org/officeDocument/2006/relationships/hyperlink" Target="https://eur-lex.europa.eu/legal-content/EN/TXT/?uri=celex:52019DC0640" TargetMode="External"/><Relationship Id="rId1" Type="http://schemas.openxmlformats.org/officeDocument/2006/relationships/hyperlink" Target="https://eur-lex.europa.eu/legal-content/EN/TXT/?uri=celex:52020DC0562" TargetMode="External"/><Relationship Id="rId6" Type="http://schemas.openxmlformats.org/officeDocument/2006/relationships/hyperlink" Target="http://data.europa.eu/eli/dir/2024/1275/oj" TargetMode="External"/><Relationship Id="rId11" Type="http://schemas.openxmlformats.org/officeDocument/2006/relationships/hyperlink" Target="https://www.bruegel.org/sites/default/files/2024-10/PB%2012%202024.pdf" TargetMode="External"/><Relationship Id="rId5" Type="http://schemas.openxmlformats.org/officeDocument/2006/relationships/hyperlink" Target="https://eur-lex.europa.eu/legal-content/EN/TXT/?uri=celex:52025DC0085" TargetMode="External"/><Relationship Id="rId10" Type="http://schemas.openxmlformats.org/officeDocument/2006/relationships/hyperlink" Target="https://iea.blob.core.windows.net/assets/f304f2ba-e9a2-4e6d-b529-fb67cd13f646/EnergyEfficiency2024.pdf" TargetMode="External"/><Relationship Id="rId4" Type="http://schemas.openxmlformats.org/officeDocument/2006/relationships/hyperlink" Target="https://eur-lex.europa.eu/legal-content/EN/TXT/?uri=celex:52025DC0079" TargetMode="External"/><Relationship Id="rId9" Type="http://schemas.openxmlformats.org/officeDocument/2006/relationships/hyperlink" Target="https://eur-lex.europa.eu/legal-content/EN/TXT/?uri=CELEX%3A52025PC0828&amp;qid=175066911036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blic\Documents\Templates\COM.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8287c8-5be4-4613-8138-480f9be48247" xsi:nil="true"/>
    <lcf76f155ced4ddcb4097134ff3c332f xmlns="a280f3ed-f921-4226-9525-27fa6d577539">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99A588E0F14746BFAC081FD6A566B8" ma:contentTypeVersion="18" ma:contentTypeDescription="Create a new document." ma:contentTypeScope="" ma:versionID="bebd9f021e6ed7fd7be5e91b38cb7ec4">
  <xsd:schema xmlns:xsd="http://www.w3.org/2001/XMLSchema" xmlns:xs="http://www.w3.org/2001/XMLSchema" xmlns:p="http://schemas.microsoft.com/office/2006/metadata/properties" xmlns:ns2="a280f3ed-f921-4226-9525-27fa6d577539" xmlns:ns3="278287c8-5be4-4613-8138-480f9be48247" targetNamespace="http://schemas.microsoft.com/office/2006/metadata/properties" ma:root="true" ma:fieldsID="c1095b301cb6d752841e654f85f0d899" ns2:_="" ns3:_="">
    <xsd:import namespace="a280f3ed-f921-4226-9525-27fa6d577539"/>
    <xsd:import namespace="278287c8-5be4-4613-8138-480f9be4824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80f3ed-f921-4226-9525-27fa6d5775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8287c8-5be4-4613-8138-480f9be4824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efd939e-bc02-4898-8289-54f4274fac40}" ma:internalName="TaxCatchAll" ma:showField="CatchAllData" ma:web="278287c8-5be4-4613-8138-480f9be482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936C7-3E53-4A4B-8BE1-1084A0424310}">
  <ds:schemaRefs>
    <ds:schemaRef ds:uri="http://schemas.microsoft.com/office/2006/metadata/properties"/>
    <ds:schemaRef ds:uri="http://schemas.microsoft.com/office/infopath/2007/PartnerControls"/>
    <ds:schemaRef ds:uri="278287c8-5be4-4613-8138-480f9be48247"/>
    <ds:schemaRef ds:uri="a280f3ed-f921-4226-9525-27fa6d577539"/>
  </ds:schemaRefs>
</ds:datastoreItem>
</file>

<file path=customXml/itemProps2.xml><?xml version="1.0" encoding="utf-8"?>
<ds:datastoreItem xmlns:ds="http://schemas.openxmlformats.org/officeDocument/2006/customXml" ds:itemID="{DB41759E-3AF9-496D-AFCC-6115D4C5D6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80f3ed-f921-4226-9525-27fa6d577539"/>
    <ds:schemaRef ds:uri="278287c8-5be4-4613-8138-480f9be482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FE3045-CD3A-4673-B790-9F587A9920C9}">
  <ds:schemaRefs>
    <ds:schemaRef ds:uri="http://schemas.microsoft.com/sharepoint/v3/contenttype/forms"/>
  </ds:schemaRefs>
</ds:datastoreItem>
</file>

<file path=customXml/itemProps4.xml><?xml version="1.0" encoding="utf-8"?>
<ds:datastoreItem xmlns:ds="http://schemas.openxmlformats.org/officeDocument/2006/customXml" ds:itemID="{AAAD5A37-E14A-430A-BD3E-FB9E2E36C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COM.dotm</Template>
  <TotalTime>12</TotalTime>
  <Pages>10</Pages>
  <Words>3689</Words>
  <Characters>21031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24671</CharactersWithSpaces>
  <SharedDoc>false</SharedDoc>
  <HLinks>
    <vt:vector size="30" baseType="variant">
      <vt:variant>
        <vt:i4>7864438</vt:i4>
      </vt:variant>
      <vt:variant>
        <vt:i4>9</vt:i4>
      </vt:variant>
      <vt:variant>
        <vt:i4>0</vt:i4>
      </vt:variant>
      <vt:variant>
        <vt:i4>5</vt:i4>
      </vt:variant>
      <vt:variant>
        <vt:lpwstr>https://iea.blob.core.windows.net/assets/60fcd1dd-d112-469b-87de-20d39227df3d/WorldEnergyInvestment2024.pdf</vt:lpwstr>
      </vt:variant>
      <vt:variant>
        <vt:lpwstr/>
      </vt:variant>
      <vt:variant>
        <vt:i4>1835022</vt:i4>
      </vt:variant>
      <vt:variant>
        <vt:i4>6</vt:i4>
      </vt:variant>
      <vt:variant>
        <vt:i4>0</vt:i4>
      </vt:variant>
      <vt:variant>
        <vt:i4>5</vt:i4>
      </vt:variant>
      <vt:variant>
        <vt:lpwstr>https://eur-lex.europa.eu/legal-content/EN/TXT/?uri=CELEX%3A52025PC0828&amp;qid=1750669110360</vt:lpwstr>
      </vt:variant>
      <vt:variant>
        <vt:lpwstr/>
      </vt:variant>
      <vt:variant>
        <vt:i4>3407984</vt:i4>
      </vt:variant>
      <vt:variant>
        <vt:i4>3</vt:i4>
      </vt:variant>
      <vt:variant>
        <vt:i4>0</vt:i4>
      </vt:variant>
      <vt:variant>
        <vt:i4>5</vt:i4>
      </vt:variant>
      <vt:variant>
        <vt:lpwstr>https://eur-lex.europa.eu/legal-content/EN/TXT/?uri=CELEX%3A52025DC0440R%2801%29&amp;qid=1747125158211</vt:lpwstr>
      </vt:variant>
      <vt:variant>
        <vt:lpwstr/>
      </vt:variant>
      <vt:variant>
        <vt:i4>6029339</vt:i4>
      </vt:variant>
      <vt:variant>
        <vt:i4>0</vt:i4>
      </vt:variant>
      <vt:variant>
        <vt:i4>0</vt:i4>
      </vt:variant>
      <vt:variant>
        <vt:i4>5</vt:i4>
      </vt:variant>
      <vt:variant>
        <vt:lpwstr>https://eur-lex.europa.eu/legal-content/EN/TXT/?uri=COM%3A2022%3A230%3AFIN&amp;qid=1653033742483</vt:lpwstr>
      </vt:variant>
      <vt:variant>
        <vt:lpwstr/>
      </vt:variant>
      <vt:variant>
        <vt:i4>4522095</vt:i4>
      </vt:variant>
      <vt:variant>
        <vt:i4>0</vt:i4>
      </vt:variant>
      <vt:variant>
        <vt:i4>0</vt:i4>
      </vt:variant>
      <vt:variant>
        <vt:i4>5</vt:i4>
      </vt:variant>
      <vt:variant>
        <vt:lpwstr>mailto:Mathilde.LEYGE@ec.europa.eu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22</cp:revision>
  <cp:lastPrinted>2025-06-20T08:37:00Z</cp:lastPrinted>
  <dcterms:created xsi:type="dcterms:W3CDTF">2026-02-16T09:38:00Z</dcterms:created>
  <dcterms:modified xsi:type="dcterms:W3CDTF">2026-03-04T19:31:00Z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y">
    <vt:lpwstr>COM/AA/NOEEA</vt:lpwstr>
  </property>
  <property fmtid="{D5CDD505-2E9C-101B-9397-08002B2CF9AE}" pid="3" name="Version">
    <vt:lpwstr>8.0.25.0</vt:lpwstr>
  </property>
  <property fmtid="{D5CDD505-2E9C-101B-9397-08002B2CF9AE}" pid="4" name="Last edited using">
    <vt:lpwstr>LW 9.2, Build 20250828</vt:lpwstr>
  </property>
  <property fmtid="{D5CDD505-2E9C-101B-9397-08002B2CF9AE}" pid="5" name="Created using">
    <vt:lpwstr>LW 9.0, Build 20230317</vt:lpwstr>
  </property>
  <property fmtid="{D5CDD505-2E9C-101B-9397-08002B2CF9AE}" pid="6" name="Part">
    <vt:lpwstr>1</vt:lpwstr>
  </property>
  <property fmtid="{D5CDD505-2E9C-101B-9397-08002B2CF9AE}" pid="7" name="Total parts">
    <vt:lpwstr>1</vt:lpwstr>
  </property>
  <property fmtid="{D5CDD505-2E9C-101B-9397-08002B2CF9AE}" pid="8" name="Level of sensitivity">
    <vt:lpwstr>Standard treatment</vt:lpwstr>
  </property>
  <property fmtid="{D5CDD505-2E9C-101B-9397-08002B2CF9AE}" pid="9" name="LWTemplateID">
    <vt:lpwstr>SJ-014</vt:lpwstr>
  </property>
  <property fmtid="{D5CDD505-2E9C-101B-9397-08002B2CF9AE}" pid="10" name="MSIP_Label_6bd9ddd1-4d20-43f6-abfa-fc3c07406f94_Enabled">
    <vt:lpwstr>true</vt:lpwstr>
  </property>
  <property fmtid="{D5CDD505-2E9C-101B-9397-08002B2CF9AE}" pid="11" name="MSIP_Label_6bd9ddd1-4d20-43f6-abfa-fc3c07406f94_SetDate">
    <vt:lpwstr>2024-06-14T13:56:31Z</vt:lpwstr>
  </property>
  <property fmtid="{D5CDD505-2E9C-101B-9397-08002B2CF9AE}" pid="12" name="MSIP_Label_6bd9ddd1-4d20-43f6-abfa-fc3c07406f94_Method">
    <vt:lpwstr>Standard</vt:lpwstr>
  </property>
  <property fmtid="{D5CDD505-2E9C-101B-9397-08002B2CF9AE}" pid="13" name="MSIP_Label_6bd9ddd1-4d20-43f6-abfa-fc3c07406f94_Name">
    <vt:lpwstr>Commission Use</vt:lpwstr>
  </property>
  <property fmtid="{D5CDD505-2E9C-101B-9397-08002B2CF9AE}" pid="14" name="MSIP_Label_6bd9ddd1-4d20-43f6-abfa-fc3c07406f94_SiteId">
    <vt:lpwstr>b24c8b06-522c-46fe-9080-70926f8dddb1</vt:lpwstr>
  </property>
  <property fmtid="{D5CDD505-2E9C-101B-9397-08002B2CF9AE}" pid="15" name="MSIP_Label_6bd9ddd1-4d20-43f6-abfa-fc3c07406f94_ActionId">
    <vt:lpwstr>12134efd-2657-4717-a889-41a3e1cd6de2</vt:lpwstr>
  </property>
  <property fmtid="{D5CDD505-2E9C-101B-9397-08002B2CF9AE}" pid="16" name="MSIP_Label_6bd9ddd1-4d20-43f6-abfa-fc3c07406f94_ContentBits">
    <vt:lpwstr>0</vt:lpwstr>
  </property>
  <property fmtid="{D5CDD505-2E9C-101B-9397-08002B2CF9AE}" pid="17" name="ContentTypeId">
    <vt:lpwstr>0x010100F099A588E0F14746BFAC081FD6A566B8</vt:lpwstr>
  </property>
  <property fmtid="{D5CDD505-2E9C-101B-9397-08002B2CF9AE}" pid="18" name="MediaServiceImageTags">
    <vt:lpwstr/>
  </property>
  <property fmtid="{D5CDD505-2E9C-101B-9397-08002B2CF9AE}" pid="19" name="DQCStatus">
    <vt:lpwstr>Green (DQC version 03)</vt:lpwstr>
  </property>
  <property name="OP_sanitized" fmtid="{D5CDD505-2E9C-101B-9397-08002B2CF9AE}" pid="20">
    <vt:lpwstr>True</vt:lpwstr>
  </property>
</Properties>
</file>