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line="480"/>
        <w:ind w:firstLine="0"/>
        <w:jc w:val="center"/>
      </w:pPr>
      <w:r>
        <w:rPr>
          <w:rFonts w:ascii="Times New Roman" w:cs="Times New Roman" w:eastAsia="Times New Roman" w:hAnsi="Times New Roman"/>
          <w:b/>
          <w:bCs/>
          <w:i/>
          <w:iCs/>
          <w:sz w:val="28"/>
          <w:szCs w:val="28"/>
        </w:rPr>
        <w:t xml:space="preserve">The Conscience of Compliance:</w:t>
      </w:r>
    </w:p>
    <w:p>
      <w:pPr>
        <w:spacing w:line="480"/>
        <w:ind w:firstLine="0"/>
        <w:jc w:val="center"/>
      </w:pPr>
      <w:r>
        <w:rPr>
          <w:rFonts w:ascii="Times New Roman" w:cs="Times New Roman" w:eastAsia="Times New Roman" w:hAnsi="Times New Roman"/>
          <w:b/>
          <w:bCs/>
          <w:i/>
          <w:iCs/>
          <w:sz w:val="28"/>
          <w:szCs w:val="28"/>
        </w:rPr>
        <w:t xml:space="preserve">How Distributed Sensemaking Produces Organizational Greenwashing</w:t>
      </w:r>
    </w:p>
    <w:p>
      <w:pPr>
        <w:spacing w:after="0" w:before="0" w:line="480"/>
      </w:pPr>
      <w:r>
        <w:rPr>
          <w:rFonts w:ascii="Times New Roman" w:cs="Times New Roman" w:eastAsia="Times New Roman" w:hAnsi="Times New Roman"/>
          <w:sz w:val="24"/>
          <w:szCs w:val="24"/>
        </w:rPr>
        <w:t xml:space="preserve"/>
      </w:r>
    </w:p>
    <w:p>
      <w:pPr>
        <w:spacing w:line="480"/>
        <w:ind w:firstLine="0"/>
        <w:jc w:val="center"/>
      </w:pPr>
      <w:r>
        <w:rPr>
          <w:rFonts w:ascii="Times New Roman" w:cs="Times New Roman" w:eastAsia="Times New Roman" w:hAnsi="Times New Roman"/>
          <w:i/>
          <w:iCs/>
          <w:sz w:val="24"/>
          <w:szCs w:val="24"/>
        </w:rPr>
        <w:t xml:space="preserve">[Author details omitted for blind review]</w:t>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line="320"/>
        <w:ind w:firstLine="0"/>
        <w:jc w:val="center"/>
      </w:pPr>
      <w:r>
        <w:rPr>
          <w:rFonts w:ascii="Times New Roman" w:cs="Times New Roman" w:eastAsia="Times New Roman" w:hAnsi="Times New Roman"/>
          <w:i/>
          <w:iCs/>
          <w:sz w:val="20"/>
          <w:szCs w:val="20"/>
        </w:rPr>
        <w:t xml:space="preserve">AUTHOR DISCLOSURE: This manuscript was developed with AI writing assistance (Claude, Anthropic). All theoretical arguments, empirical insights, and scholarly judgments are those of the author.</w:t>
      </w:r>
    </w:p>
    <w:p>
      <w:pPr>
        <w:spacing w:after="0" w:before="0" w:line="480"/>
      </w:pPr>
      <w:r>
        <w:br w:type="page"/>
      </w:r>
    </w:p>
    <w:p>
      <w:pPr>
        <w:spacing w:line="480"/>
        <w:ind w:firstLine="0"/>
        <w:jc w:val="center"/>
      </w:pPr>
      <w:r>
        <w:rPr>
          <w:rFonts w:ascii="Times New Roman" w:cs="Times New Roman" w:eastAsia="Times New Roman" w:hAnsi="Times New Roman"/>
          <w:b/>
          <w:bCs/>
          <w:sz w:val="24"/>
          <w:szCs w:val="24"/>
        </w:rPr>
        <w:t xml:space="preserve">ABSTRACT</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0"/>
        <w:jc w:val="both"/>
      </w:pPr>
      <w:r>
        <w:rPr>
          <w:rFonts w:ascii="Times New Roman" w:cs="Times New Roman" w:eastAsia="Times New Roman" w:hAnsi="Times New Roman"/>
          <w:b w:val="false"/>
          <w:bCs w:val="false"/>
          <w:i w:val="false"/>
          <w:iCs w:val="false"/>
          <w:sz w:val="24"/>
          <w:szCs w:val="24"/>
        </w:rPr>
        <w:t xml:space="preserve">Corporate greenwashing is conventionally theorized as a firm-level strategic choice — a deliberate decision by senior executives to misrepresent environmental performance to external audiences. This framing cannot explain a paradox at the center of contemporary sustainability reporting: organizations produce systematically misleading ESG disclosures without any individual actor making a decision to deceive. Drawing on an inductive qualitative study of sustainability reporting processes inside six Indian listed corporations — including 41 interviews with ESG officers, finance directors, communication professionals, external auditors, and regulatory compliance managers, supplemented by 94 internal documents and 180 hours of observation across three reporting cycles — we build a grounded theory of distributed greenwashing construction. We show that organizational greenwashing emerges through three sequential sensemaking processes: metric reframing, disclosure arbitrage, and narrative coherence work. Critically, these processes are carried out by actors whose individual moral self-concepts remain intact throughout — because each actor's contribution is locally defensible even as the aggregate output is globally misleading. We introduce the concept of distributed moral displacement to explain how organizations produce deceptive sustainability disclosures without producing morally compromised individuals. This theory extends Weick's sensemaking framework into the domain of organizational misconduct, challenges the intentionality assumption underlying both greenwashing research and corporate misconduct theory, and offers a process model of how compliance-oriented organizations produce non-compliant outcomes.</w:t>
      </w:r>
    </w:p>
    <w:p>
      <w:pPr>
        <w:spacing w:after="0" w:before="0" w:line="480"/>
      </w:pPr>
      <w:r>
        <w:rPr>
          <w:rFonts w:ascii="Times New Roman" w:cs="Times New Roman" w:eastAsia="Times New Roman" w:hAnsi="Times New Roman"/>
          <w:sz w:val="24"/>
          <w:szCs w:val="24"/>
        </w:rPr>
        <w:t xml:space="preserve"/>
      </w:r>
    </w:p>
    <w:p>
      <w:pPr>
        <w:spacing w:line="480"/>
        <w:ind w:firstLine="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greenwashing, sensemaking, ESG reporting, organizational misconduct, sustainability, distributed cognition, moral disengagement</w:t>
      </w:r>
    </w:p>
    <w:p>
      <w:pPr>
        <w:spacing w:after="0" w:before="0" w:line="480"/>
      </w:pPr>
      <w:r>
        <w:br w:type="page"/>
      </w:r>
    </w:p>
    <w:p>
      <w:pPr>
        <w:spacing w:after="0" w:before="480" w:line="480"/>
        <w:ind w:firstLine="0"/>
        <w:jc w:val="center"/>
      </w:pPr>
      <w:r>
        <w:rPr>
          <w:rFonts w:ascii="Times New Roman" w:cs="Times New Roman" w:eastAsia="Times New Roman" w:hAnsi="Times New Roman"/>
          <w:b/>
          <w:bCs/>
          <w:sz w:val="24"/>
          <w:szCs w:val="24"/>
        </w:rPr>
        <w:t xml:space="preserve">INTRODUCTION</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In March 2023, a mid-sized Indian manufacturer submitted its first Business Responsibility and Sustainability Report under SEBI's mandatory disclosure framework. The report declared a 12 percent reduction in Scope 1 carbon emissions over the prior year. Inside the company, the sustainability officer who had authored that figure knew it was derived from a methodology switch — not from an operational change. The finance director who had approved the switch believed the new methodology was technically defensible. The external auditor who had reviewed the disclosure had flagged no irregularity. The investor relations team that had published the report had never been told about the methodology change. Four people, each acting within their professional remit, had collectively produced a materially misleading statement that none of them, individually, would have described as deception.</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This paper is about how that happens. Not in one company, but systematically — as a general property of how organizations produce sustainability disclosures under conditions of regulatory novelty, measurement ambiguity, and distributed professional responsibility.</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The dominant theory of corporate greenwashing treats it as a strategic act. Firms facing legitimacy pressures from stakeholders adopt environmental claims that exceed their actual environmental performance (Delmas &amp; Burbano, 2011; Lyon &amp; Maxwell, 2011). The decision is made at the top of the organization, motivated by reputational calculation, and sustained by the gap between what external audiences can observe and what internal actors know. This theoretical architecture has generated important insights. But it cannot account for the case described above — or for the pattern of cases we observed across six Indian corporations over three reporting cycles. In none of our research sites did we find a senior executive who had decided to deceive. What we found instead was something more troubling and theoretically more interesting: a distributed production process, assembled from locally legitimate contributions, whose aggregate output was systematically misleading.</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The problem with existing greenwashing theory is not that it is wrong about the cases it was built to explain. It is that those cases represent only the most visible and dramatic failures of corporate sustainability disclosure — the ones that end in SEC investigations and reputational collapse. The everyday production of misleading sustainability information does not look like that. It looks like a methodology change that is technically defensible. It looks like a disclosure decision to report scope rather than absolute emissions. It looks like a narrative that is literally true and contextually misleading. Each of these moves is locally legitimate. The person making each decision can justify it to themselves, to their colleagues, and to an auditor. The deception is not in any single decision. It is in the architecture of decisions — and the architecture is distributed across a team of professionals none of whom see the whole.</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Sensemaking theory offers the most productive theoretical entry point for understanding this phenomenon. Weick (1995) showed that organizational action is not the product of rational decision-making but of ongoing, socially distributed processes through which actors construct plausible accounts of ambiguous situations. Sensemaking research has examined how organizations respond to crises (Maitlis &amp; Christianson, 2014), how they enact their environments (Weick, Sutcliffe &amp; Obstfeld, 2005), and how they construct shared meaning under uncertainty. What sensemaking theory has not yet explained is how distributed sensemaking produces organizational misconduct — specifically, how morally intact individuals collectively generate morally compromised organizational outputs.</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This paper addresses that question. We ask: How does organizational greenwashing emerge through the distributed sensemaking work of multiple actors — and what processes allow each participant to sustain a coherent moral self-concept while contributing to a collectively deceptive outcome?</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We answer this question through a Gioia-methodology qualitative study conducted inside six Indian listed companies during a period of mandated ESG disclosure under SEBI's BRSR framework. Our access was secured through an ongoing ESG consulting relationship that gave us direct observation of reporting processes from the inside — not the polished outputs, but the messy, contested, professionally fraught process of constructing them. Across 41 interviews and 180 hours of observation, we traced three sequential sensemaking processes — metric reframing, disclosure arbitrage, and narrative coherence work — through which locally defensible individual actions accumulated into systematically misleading organizational disclosures.</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The paper makes three theoretical contributions. First, we build a grounded theory of distributed greenwashing construction — a process model that explains how misleading sustainability disclosures are produced without a deceiver. This directly challenges the intentionality assumption that underlies not only greenwashing research but corporate misconduct theory more broadly (Greve, Palmer &amp; Pozner, 2010). Second, we introduce the concept of distributed moral displacement — the mechanism through which moral responsibility for a collectively deceptive outcome is dispersed across contributing actors in ways that leave each contributor's moral self-concept intact. This extends Bandura's (1999) theory of moral disengagement from the individual to the organizational level. Third, we extend sensemaking theory into the domain of organizational misconduct, showing that the same distributed, plausibility-seeking processes that Weick described as adaptive also function as a mechanism for producing systematic organizational wrongdoing.</w:t>
      </w:r>
    </w:p>
    <w:p>
      <w:pPr>
        <w:spacing w:after="0" w:before="0" w:line="480"/>
      </w:pPr>
      <w:r>
        <w:rPr>
          <w:rFonts w:ascii="Times New Roman" w:cs="Times New Roman" w:eastAsia="Times New Roman" w:hAnsi="Times New Roman"/>
          <w:sz w:val="24"/>
          <w:szCs w:val="24"/>
        </w:rPr>
        <w:t xml:space="preserve"/>
      </w:r>
    </w:p>
    <w:p>
      <w:pPr>
        <w:spacing w:after="0" w:before="480" w:line="480"/>
        <w:ind w:firstLine="0"/>
        <w:jc w:val="center"/>
      </w:pPr>
      <w:r>
        <w:rPr>
          <w:rFonts w:ascii="Times New Roman" w:cs="Times New Roman" w:eastAsia="Times New Roman" w:hAnsi="Times New Roman"/>
          <w:b/>
          <w:bCs/>
          <w:sz w:val="24"/>
          <w:szCs w:val="24"/>
        </w:rPr>
        <w:t xml:space="preserve">THEORETICAL BACKGROUND</w:t>
      </w:r>
    </w:p>
    <w:p>
      <w:pPr>
        <w:spacing w:after="0" w:before="0" w:line="480"/>
      </w:pPr>
      <w:r>
        <w:rPr>
          <w:rFonts w:ascii="Times New Roman" w:cs="Times New Roman" w:eastAsia="Times New Roman" w:hAnsi="Times New Roman"/>
          <w:sz w:val="24"/>
          <w:szCs w:val="24"/>
        </w:rPr>
        <w:t xml:space="preserve"/>
      </w:r>
    </w:p>
    <w:p>
      <w:pPr>
        <w:spacing w:after="0" w:before="240" w:line="480"/>
        <w:ind w:firstLine="0"/>
      </w:pPr>
      <w:r>
        <w:rPr>
          <w:rFonts w:ascii="Times New Roman" w:cs="Times New Roman" w:eastAsia="Times New Roman" w:hAnsi="Times New Roman"/>
          <w:b/>
          <w:bCs/>
          <w:sz w:val="24"/>
          <w:szCs w:val="24"/>
        </w:rPr>
        <w:t xml:space="preserve">The Intentionality Problem in Greenwashing Research</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The concept of greenwashing entered management research through a straightforward theoretical logic: firms facing external pressure to appear environmentally responsible have incentives to claim more than they do (Ramus &amp; Montiel, 2005). The organizational mechanism was assumed to be deliberate misrepresentation — executives making calculated decisions to overstate environmental performance to audiences who cannot observe actual performance (Lyon &amp; Maxwell, 2011). Delmas and Burbano (2011) produced the most systematic treatment of this logic, mapping external and internal drivers of greenwashing onto a typology of firm-level strategic responses. The result was a coherent, parsimonious theory: greenwashing is strategic deception, chosen by executives under institutional pressure, sustained by information asymmetry.</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This theoretical architecture carries a buried assumption that has gone largely unexamined: that greenwashing requires a greenwasher — an actor who knows the truth, knows the claim misrepresents the truth, and chooses to make the claim anyway. The misconduct is intentional at its source, even if it is distributed in its execution. This assumption connects greenwashing research to the broader corporate misconduct literature, where intentionality is similarly foundational. Greve et al. (2010) define misconduct as action that violates laws, regulations, or normative standards — and the dominant theoretical models in that literature treat violation as a decision, made under conditions of rational calculation, moral disengagement, or social pressure from deviant peers (Sutherland, 1949; Bandura, 1999; Brass et al., 1998).</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The intentionality assumption is not wrong. Some greenwashing is deliberately chosen. But it cannot account for the cases that populate the everyday practice of corporate sustainability disclosure — where misleading claims are assembled from contributions none of whose contributors individually intended to deceive. The existing theory has no mechanism for this.</w:t>
      </w:r>
    </w:p>
    <w:p>
      <w:pPr>
        <w:spacing w:after="0" w:before="0" w:line="480"/>
      </w:pPr>
      <w:r>
        <w:rPr>
          <w:rFonts w:ascii="Times New Roman" w:cs="Times New Roman" w:eastAsia="Times New Roman" w:hAnsi="Times New Roman"/>
          <w:sz w:val="24"/>
          <w:szCs w:val="24"/>
        </w:rPr>
        <w:t xml:space="preserve"/>
      </w:r>
    </w:p>
    <w:p>
      <w:pPr>
        <w:spacing w:after="0" w:before="240" w:line="480"/>
        <w:ind w:firstLine="0"/>
      </w:pPr>
      <w:r>
        <w:rPr>
          <w:rFonts w:ascii="Times New Roman" w:cs="Times New Roman" w:eastAsia="Times New Roman" w:hAnsi="Times New Roman"/>
          <w:b/>
          <w:bCs/>
          <w:sz w:val="24"/>
          <w:szCs w:val="24"/>
        </w:rPr>
        <w:t xml:space="preserve">Sensemaking and the Social Construction of Organizational Reality</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Weick's (1995) sensemaking framework offers a fundamentally different account of how organizational action is produced. Organizations do not decide and then act. They act and then make sense of what they have done — constructing plausible accounts of ambiguous situations through ongoing, socially distributed cognitive work. Seven properties characterize sensemaking: it is grounded in identity construction, retrospective, enactive of sensible environments, social, ongoing, focused on extracted cues, and driven by plausibility rather than accuracy.</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The plausibility criterion is theoretically decisive for our purposes. Sensemakers do not ask whether their account is accurate. They ask whether it is credible — whether it makes sufficient sense to support action and maintain identity. In highly ambiguous domains, where accuracy is unverifiable, plausibility becomes the operative standard. Corporate sustainability measurement is precisely such a domain: standards are contested, methodologies are multiple and often incommensurable, and independent verification is technically demanding and organizationally rare. In this environment, the sensemaking question — is this account plausible? — substitutes for the accuracy question — is this account true?</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Subsequent extensions of sensemaking theory have elaborated how the process unfolds in organizations. Maitlis (2005) showed that different actors take different roles in sensegiving and sensemaking, with leaders typically setting the frame within which others interpret ambiguous events. Maitlis and Christianson (2014) demonstrated that sensemaking is especially active under conditions of shock, ambiguity, and threat. Cornelissen (2012) showed how metaphor functions as a sensemaking device, allowing actors to map unfamiliar domains onto familiar ones. But the sensemaking literature has not examined what happens when distributed sensemaking — the aggregate output of many actors constructing locally plausible accounts — produces an organizational output that is globally implausible, or worse, globally false.</w:t>
      </w:r>
    </w:p>
    <w:p>
      <w:pPr>
        <w:spacing w:after="0" w:before="0" w:line="480"/>
      </w:pPr>
      <w:r>
        <w:rPr>
          <w:rFonts w:ascii="Times New Roman" w:cs="Times New Roman" w:eastAsia="Times New Roman" w:hAnsi="Times New Roman"/>
          <w:sz w:val="24"/>
          <w:szCs w:val="24"/>
        </w:rPr>
        <w:t xml:space="preserve"/>
      </w:r>
    </w:p>
    <w:p>
      <w:pPr>
        <w:spacing w:after="0" w:before="240" w:line="480"/>
        <w:ind w:firstLine="0"/>
      </w:pPr>
      <w:r>
        <w:rPr>
          <w:rFonts w:ascii="Times New Roman" w:cs="Times New Roman" w:eastAsia="Times New Roman" w:hAnsi="Times New Roman"/>
          <w:b/>
          <w:bCs/>
          <w:sz w:val="24"/>
          <w:szCs w:val="24"/>
        </w:rPr>
        <w:t xml:space="preserve">Moral Disengagement and Its Organizational Extension</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Bandura's (1999) theory of moral disengagement explains how individuals who hold genuine moral standards nonetheless engage in harmful conduct. The mechanisms are psychological: moral justification (the harm serves a greater good), displacement of responsibility (someone else made the decision), diffusion of responsibility (everyone did it, so no single person is accountable), and dehumanization of victims. These mechanisms allow the individual's moral self-concept to remain intact while their behavior violates their own moral standards.</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Moral disengagement theory was built at the individual level. Its organizational extension is underdeveloped. Bandura acknowledged that organizational contexts provide especially fertile conditions for moral disengagement — particularly through displacement and diffusion of responsibility in hierarchical and functionally divided structures. But the theory does not specify the organizational processes through which individual moral disengagement is coordinated across multiple actors to produce collective misconduct. It treats the organization as a context for individual psychology, not as a mechanism in its own right.</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Our paper proposes that distributed sensemaking is the organizational mechanism that Bandura's theory of moral disengagement does not provide. When multiple actors, each constructing locally plausible accounts of their contribution to a reporting process, collectively produce a misleading disclosure, no individual's moral disengagement is required. The moral displacement is structural — an emergent property of how sensemaking work is distributed across professional roles — not a psychological achievement of any single actor.</w:t>
      </w:r>
    </w:p>
    <w:p>
      <w:pPr>
        <w:spacing w:after="0" w:before="0" w:line="480"/>
      </w:pPr>
      <w:r>
        <w:rPr>
          <w:rFonts w:ascii="Times New Roman" w:cs="Times New Roman" w:eastAsia="Times New Roman" w:hAnsi="Times New Roman"/>
          <w:sz w:val="24"/>
          <w:szCs w:val="24"/>
        </w:rPr>
        <w:t xml:space="preserve"/>
      </w:r>
    </w:p>
    <w:p>
      <w:pPr>
        <w:spacing w:after="0" w:before="240" w:line="480"/>
        <w:ind w:firstLine="0"/>
      </w:pPr>
      <w:r>
        <w:rPr>
          <w:rFonts w:ascii="Times New Roman" w:cs="Times New Roman" w:eastAsia="Times New Roman" w:hAnsi="Times New Roman"/>
          <w:b/>
          <w:bCs/>
          <w:sz w:val="24"/>
          <w:szCs w:val="24"/>
        </w:rPr>
        <w:t xml:space="preserve">The Theoretical Gap This Paper Addresses</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Greenwashing research needs a mechanism. It knows that firms produce misleading environmental disclosures. It attributes this to strategic intent and information asymmetry. But the everyday production of misleading sustainability information does not require deceptive intent at its source. It requires only: a domain of genuine measurement ambiguity, a set of professional actors each responsible for a portion of the reporting process, organizational pressure to produce favorable disclosures, and a sensemaking norm of plausibility rather than accuracy. When these conditions are present — and they are present in virtually every mandatory ESG reporting context — greenwashing can emerge without a greenwasher.</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This is what the existing literature cannot explain, and what we set out to theorize.</w:t>
      </w:r>
    </w:p>
    <w:p>
      <w:pPr>
        <w:spacing w:after="0" w:before="0" w:line="480"/>
      </w:pPr>
      <w:r>
        <w:rPr>
          <w:rFonts w:ascii="Times New Roman" w:cs="Times New Roman" w:eastAsia="Times New Roman" w:hAnsi="Times New Roman"/>
          <w:sz w:val="24"/>
          <w:szCs w:val="24"/>
        </w:rPr>
        <w:t xml:space="preserve"/>
      </w:r>
    </w:p>
    <w:p>
      <w:pPr>
        <w:spacing w:after="0" w:before="480" w:line="480"/>
        <w:ind w:firstLine="0"/>
        <w:jc w:val="center"/>
      </w:pPr>
      <w:r>
        <w:rPr>
          <w:rFonts w:ascii="Times New Roman" w:cs="Times New Roman" w:eastAsia="Times New Roman" w:hAnsi="Times New Roman"/>
          <w:b/>
          <w:bCs/>
          <w:sz w:val="24"/>
          <w:szCs w:val="24"/>
        </w:rPr>
        <w:t xml:space="preserve">RESEARCH DESIGN AND METHODS</w:t>
      </w:r>
    </w:p>
    <w:p>
      <w:pPr>
        <w:spacing w:after="0" w:before="0" w:line="480"/>
      </w:pPr>
      <w:r>
        <w:rPr>
          <w:rFonts w:ascii="Times New Roman" w:cs="Times New Roman" w:eastAsia="Times New Roman" w:hAnsi="Times New Roman"/>
          <w:sz w:val="24"/>
          <w:szCs w:val="24"/>
        </w:rPr>
        <w:t xml:space="preserve"/>
      </w:r>
    </w:p>
    <w:p>
      <w:pPr>
        <w:spacing w:after="0" w:before="240" w:line="480"/>
        <w:ind w:firstLine="0"/>
      </w:pPr>
      <w:r>
        <w:rPr>
          <w:rFonts w:ascii="Times New Roman" w:cs="Times New Roman" w:eastAsia="Times New Roman" w:hAnsi="Times New Roman"/>
          <w:b/>
          <w:bCs/>
          <w:sz w:val="24"/>
          <w:szCs w:val="24"/>
        </w:rPr>
        <w:t xml:space="preserve">Research Approach</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The research question — how does organizational greenwashing emerge through distributed sensemaking — is a process question. It asks about mechanisms and sequences, not about variance in outcomes. This makes an inductive qualitative approach theoretically appropriate: the phenomenon is insufficiently theorized to permit deductive hypothesis-testing, the relevant processes are intersubjective and not directly observable in archival data, and the contextual variation across actors and roles is theoretically important rather than statistical noise to be controlled (Eisenhardt, 1989; Gioia et al., 2013).</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We follow the Gioia methodology (Gioia, Corley &amp; Hamilton, 2013) — an inductive approach that moves iteratively from first-order (informant-centric) concepts, through second-order (researcher-theoretic) themes, to aggregate theoretical dimensions. We selected this approach because the phenomenon we sought to understand — how actors make sense of their own contributions to a process they cannot fully see — is fundamentally a question about subjective meaning-making, which requires data collection procedures that elicit informants' own conceptual frameworks rather than imposing the researcher's categories in advance.</w:t>
      </w:r>
    </w:p>
    <w:p>
      <w:pPr>
        <w:spacing w:after="0" w:before="0" w:line="480"/>
      </w:pPr>
      <w:r>
        <w:rPr>
          <w:rFonts w:ascii="Times New Roman" w:cs="Times New Roman" w:eastAsia="Times New Roman" w:hAnsi="Times New Roman"/>
          <w:sz w:val="24"/>
          <w:szCs w:val="24"/>
        </w:rPr>
        <w:t xml:space="preserve"/>
      </w:r>
    </w:p>
    <w:p>
      <w:pPr>
        <w:spacing w:after="0" w:before="240" w:line="480"/>
        <w:ind w:firstLine="0"/>
      </w:pPr>
      <w:r>
        <w:rPr>
          <w:rFonts w:ascii="Times New Roman" w:cs="Times New Roman" w:eastAsia="Times New Roman" w:hAnsi="Times New Roman"/>
          <w:b/>
          <w:bCs/>
          <w:sz w:val="24"/>
          <w:szCs w:val="24"/>
        </w:rPr>
        <w:t xml:space="preserve">Research Setting</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The study was conducted inside six Indian listed companies during the 2022–2024 BRSR reporting cycles. SEBI's mandate that the top 1,000 listed companies file Business Responsibility and Sustainability Reports created a natural field experiment: organizations were compelled to produce detailed ESG disclosures for the first time, under regulatory scrutiny, in a domain where internal measurement systems were immature, professional expertise was scarce, and the consequences of misreporting were legally ambiguous. This combination of conditions — mandatory disclosure, measurement ambiguity, professional novelty, and uncertain enforcement — is theoretically ideal for observing the sensemaking processes that interest us. It is the condition under which the gap between what organizations know and what they report is most likely to become visible.</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The six companies were selected through theoretical sampling (Strauss &amp; Corbin, 1998) to maximize variation across dimensions relevant to the research question. Three are manufacturing firms (high physical environmental impact, complex Scope 1 measurement), two are service-sector companies (lower physical impact, complex Scope 3 measurement), and one is a financial institution (indirect impact, contentious portfolio emissions accounting). Industry size ranges from mid-cap to large-cap listed firms. All are headquartered in eastern and western India.</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Access was secured through an ongoing ESG consulting relationship with each firm. The lead researcher had engaged with each company's sustainability or compliance function in the capacity of an external BRSR advisor. This insider access — which a cold-access researcher could not have obtained — allowed direct observation of reporting process meetings, access to draft documents and revision histories, and the level of candor in interviews that only pre-existing professional trust makes possible. The research relationship was disclosed to all informants, and informed consent was obtained for all data collection. Firm and individual identities have been anonymized.</w:t>
      </w:r>
    </w:p>
    <w:p>
      <w:pPr>
        <w:spacing w:after="0" w:before="0" w:line="480"/>
      </w:pPr>
      <w:r>
        <w:rPr>
          <w:rFonts w:ascii="Times New Roman" w:cs="Times New Roman" w:eastAsia="Times New Roman" w:hAnsi="Times New Roman"/>
          <w:sz w:val="24"/>
          <w:szCs w:val="24"/>
        </w:rPr>
        <w:t xml:space="preserve"/>
      </w:r>
    </w:p>
    <w:p>
      <w:pPr>
        <w:spacing w:after="0" w:before="240" w:line="480"/>
        <w:ind w:firstLine="0"/>
      </w:pPr>
      <w:r>
        <w:rPr>
          <w:rFonts w:ascii="Times New Roman" w:cs="Times New Roman" w:eastAsia="Times New Roman" w:hAnsi="Times New Roman"/>
          <w:b/>
          <w:bCs/>
          <w:sz w:val="24"/>
          <w:szCs w:val="24"/>
        </w:rPr>
        <w:t xml:space="preserve">Data Collection</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Data collection proceeded across three sources. The primary source was 41 semi-structured interviews conducted between January 2022 and December 2024. Informants included ESG/sustainability officers (n=14), finance directors and CFOs (n=8), investor relations and communications professionals (n=7), external ESG auditors and assurance providers (n=6), and regulatory compliance managers (n=6). Interviews averaged 74 minutes, were conducted in English or Hindi according to informant preference, audio-recorded with consent, and transcribed verbatim. Non-English transcripts were back-translated by a bilingual research assistant, with accuracy verified on a 20 percent subsample.</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The secondary source was 94 internal documents collected across the six firms: draft BRSR reports at multiple stages of revision, internal email threads concerning specific disclosure decisions, methodology memos justifying measurement choices, auditor management letters, and board sustainability committee minutes. These documents were crucial for triangulating interview accounts against contemporaneous evidence of how disclosure decisions were actually made — not how informants remembered them.</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The tertiary source was 180 hours of direct observation across 37 reporting process meetings — sustainability committee meetings, cross-functional data collection sessions, auditor walkthroughs, and board disclosure review meetings. Fieldnotes were written within four hours of each observation session.</w:t>
      </w:r>
    </w:p>
    <w:p>
      <w:pPr>
        <w:spacing w:after="0" w:before="0" w:line="480"/>
      </w:pPr>
      <w:r>
        <w:rPr>
          <w:rFonts w:ascii="Times New Roman" w:cs="Times New Roman" w:eastAsia="Times New Roman" w:hAnsi="Times New Roman"/>
          <w:sz w:val="24"/>
          <w:szCs w:val="24"/>
        </w:rPr>
        <w:t xml:space="preserve"/>
      </w:r>
    </w:p>
    <w:p>
      <w:pPr>
        <w:spacing w:after="0" w:before="240" w:line="480"/>
        <w:ind w:firstLine="0"/>
      </w:pPr>
      <w:r>
        <w:rPr>
          <w:rFonts w:ascii="Times New Roman" w:cs="Times New Roman" w:eastAsia="Times New Roman" w:hAnsi="Times New Roman"/>
          <w:b/>
          <w:bCs/>
          <w:sz w:val="24"/>
          <w:szCs w:val="24"/>
        </w:rPr>
        <w:t xml:space="preserve">Data Analysis</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Analysis followed the iterative, abductive logic of the Gioia methodology. In the first-order pass, each transcript and document set was coded using informants' own language — preserving the terms, justifications, and conceptual categories through which actors described their contributions to the reporting process. This produced 847 distinct first-order codes. A doctoral research assistant independently coded a 25 percent subsample; Cohen's kappa across this subsample was .79, indicating strong agreement. Discrepancies were resolved through discussion.</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In the second-order pass, first-order codes were grouped into researcher-theoretic themes by examining what patterns and processes the first-order data reflected at a theoretical level. This produced 12 second-order themes. In the final analytical pass, second-order themes were abstracted into four aggregate theoretical dimensions, which together constitute the grounded theory of distributed greenwashing construction presented in this paper.</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Rigor was ensured through four strategies. Member checks were conducted with eight informants across four firms; all confirmed the accuracy of our empirical characterizations while one challenged an interpretation of intent (which we address in the findings). Negative case analysis was systematic: we actively sought firms and informants whose behavior did not fit the emerging model, revising the theory three times as a result. An audit trail of analytic memos documented all coding decisions and model iterations. Documentary evidence was used to triangulate interview accounts at each stage, with discrepancies treated as theoretically informative rather than as data quality problems.</w:t>
      </w:r>
    </w:p>
    <w:p>
      <w:pPr>
        <w:spacing w:after="0" w:before="0" w:line="480"/>
      </w:pPr>
      <w:r>
        <w:rPr>
          <w:rFonts w:ascii="Times New Roman" w:cs="Times New Roman" w:eastAsia="Times New Roman" w:hAnsi="Times New Roman"/>
          <w:sz w:val="24"/>
          <w:szCs w:val="24"/>
        </w:rPr>
        <w:t xml:space="preserve"/>
      </w:r>
    </w:p>
    <w:p>
      <w:pPr>
        <w:spacing w:after="0" w:before="480" w:line="480"/>
        <w:ind w:firstLine="0"/>
        <w:jc w:val="center"/>
      </w:pPr>
      <w:r>
        <w:rPr>
          <w:rFonts w:ascii="Times New Roman" w:cs="Times New Roman" w:eastAsia="Times New Roman" w:hAnsi="Times New Roman"/>
          <w:b/>
          <w:bCs/>
          <w:sz w:val="24"/>
          <w:szCs w:val="24"/>
        </w:rPr>
        <w:t xml:space="preserve">FINDINGS</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Our analysis produced a grounded theory organized around four aggregate theoretical dimensions: (1) the construction of measurement ambiguity as professional opportunity; (2) metric reframing as locally defensible interpretation; (3) disclosure arbitrage as strategic omission without deception; and (4) narrative coherence work as the final assembly of a misleading whole from truthful parts. Table 1 presents the full data structure. We develop each dimension below, grounding each in evidence across multiple firms and informants.</w:t>
      </w:r>
    </w:p>
    <w:p>
      <w:pPr>
        <w:spacing w:after="0" w:before="0" w:line="480"/>
      </w:pPr>
      <w:r>
        <w:rPr>
          <w:rFonts w:ascii="Times New Roman" w:cs="Times New Roman" w:eastAsia="Times New Roman" w:hAnsi="Times New Roman"/>
          <w:sz w:val="24"/>
          <w:szCs w:val="24"/>
        </w:rPr>
        <w:t xml:space="preserve"/>
      </w:r>
    </w:p>
    <w:p>
      <w:pPr>
        <w:spacing w:after="0" w:before="240" w:line="480"/>
        <w:ind w:firstLine="0"/>
      </w:pPr>
      <w:r>
        <w:rPr>
          <w:rFonts w:ascii="Times New Roman" w:cs="Times New Roman" w:eastAsia="Times New Roman" w:hAnsi="Times New Roman"/>
          <w:b/>
          <w:bCs/>
          <w:sz w:val="24"/>
          <w:szCs w:val="24"/>
        </w:rPr>
        <w:t xml:space="preserve">Constructing Measurement Ambiguity as Professional Opportunity</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Before any reporting decision could be made deceptively — or innocently — it had to be made ambiguous. The first finding of this study is that measurement ambiguity in ESG reporting is not simply given by the complexity of environmental phenomena. It is actively constructed and maintained by organizational actors because ambiguity creates professional latitude. Where measurement is unambiguous, reporting is constrained. Where it is ambiguous, it is negotiable — and negotiation is where professional value is created.</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The construction of ambiguity took two forms. The first was methodological proliferation: the deliberate invocation of multiple legitimate measurement approaches as a means of retaining choice among them. As one sustainability officer at a manufacturing firm (Firm B) explained:</w:t>
      </w:r>
    </w:p>
    <w:p>
      <w:pPr>
        <w:spacing w:after="0" w:before="0" w:line="480"/>
      </w:pPr>
      <w:r>
        <w:rPr>
          <w:rFonts w:ascii="Times New Roman" w:cs="Times New Roman" w:eastAsia="Times New Roman" w:hAnsi="Times New Roman"/>
          <w:sz w:val="24"/>
          <w:szCs w:val="24"/>
        </w:rPr>
        <w:t xml:space="preserve"/>
      </w:r>
    </w:p>
    <w:p>
      <w:pPr>
        <w:spacing w:after="0" w:before="0" w:line="480"/>
        <w:ind w:left="1440" w:right="1440" w:firstLine="0"/>
        <w:jc w:val="both"/>
      </w:pPr>
      <w:r>
        <w:rPr>
          <w:rFonts w:ascii="Times New Roman" w:cs="Times New Roman" w:eastAsia="Times New Roman" w:hAnsi="Times New Roman"/>
          <w:i/>
          <w:iCs/>
          <w:sz w:val="24"/>
          <w:szCs w:val="24"/>
        </w:rPr>
        <w:t xml:space="preserve">"The GRI gives you three ways to calculate water intensity. The BRSR guidance gives you two more. If you follow all of them, you get five different numbers, and they're all technically correct. My job is to pick the one that makes sense for our narrative. That's not manipulation — that's professional judgment."</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The framing — professional judgment — recurred across informants from different functions and firms. It signals something theoretically important: ambiguity is not experienced as a problem to be resolved but as a resource to be managed. The sustainability officer who knows that five methodologies produce five different water intensity figures has not been given a reporting problem. She has been given five reporting options, one of which will be selected on grounds she can articulate after the fact. The selection is retrospective sensemaking in Weick's precise sense: the cue (five numbers) is extracted, the plausible account (professional judgment) is constructed, and the action (selecting the favorable number) is performed.</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The second form of ambiguity construction was scope negotiation: the active redefinition of what the reporting boundary should include. In three of our six firms, we observed formal discussions about whether certain emission sources — captive power plants, contractor vehicles, leased facilities — fell within the organization's reporting scope. In each case, the discussion was structured not around the question "What does the standard require?" but around "What can we defensibly exclude?"</w:t>
      </w:r>
    </w:p>
    <w:p>
      <w:pPr>
        <w:spacing w:after="0" w:before="0" w:line="480"/>
      </w:pPr>
      <w:r>
        <w:rPr>
          <w:rFonts w:ascii="Times New Roman" w:cs="Times New Roman" w:eastAsia="Times New Roman" w:hAnsi="Times New Roman"/>
          <w:sz w:val="24"/>
          <w:szCs w:val="24"/>
        </w:rPr>
        <w:t xml:space="preserve"/>
      </w:r>
    </w:p>
    <w:p>
      <w:pPr>
        <w:spacing w:after="0" w:before="0" w:line="480"/>
        <w:ind w:left="1440" w:right="1440" w:firstLine="0"/>
        <w:jc w:val="both"/>
      </w:pPr>
      <w:r>
        <w:rPr>
          <w:rFonts w:ascii="Times New Roman" w:cs="Times New Roman" w:eastAsia="Times New Roman" w:hAnsi="Times New Roman"/>
          <w:i/>
          <w:iCs/>
          <w:sz w:val="24"/>
          <w:szCs w:val="24"/>
        </w:rPr>
        <w:t xml:space="preserve">"We spent three meetings deciding whether the contractor vehicles were Scope 1 or Scope 3. The honest answer is that it's genuinely ambiguous. The convenient answer is that they're Scope 3, because we don't have to report absolute Scope 3 numbers yet. We went with convenient. But that's what everyone does." (Finance Director, Firm D)</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The last phrase — "that's what everyone does" — is a sensemaking cue of a different kind. It normalizes the choice by situating it within a community of practice. The actor is not deceiving; she is conforming. The deception, if there is one, belongs to the community, not to her.</w:t>
      </w:r>
    </w:p>
    <w:p>
      <w:pPr>
        <w:spacing w:after="0" w:before="0" w:line="480"/>
      </w:pPr>
      <w:r>
        <w:rPr>
          <w:rFonts w:ascii="Times New Roman" w:cs="Times New Roman" w:eastAsia="Times New Roman" w:hAnsi="Times New Roman"/>
          <w:sz w:val="24"/>
          <w:szCs w:val="24"/>
        </w:rPr>
        <w:t xml:space="preserve"/>
      </w:r>
    </w:p>
    <w:p>
      <w:pPr>
        <w:spacing w:after="0" w:before="240" w:line="480"/>
        <w:ind w:firstLine="0"/>
      </w:pPr>
      <w:r>
        <w:rPr>
          <w:rFonts w:ascii="Times New Roman" w:cs="Times New Roman" w:eastAsia="Times New Roman" w:hAnsi="Times New Roman"/>
          <w:b/>
          <w:bCs/>
          <w:sz w:val="24"/>
          <w:szCs w:val="24"/>
        </w:rPr>
        <w:t xml:space="preserve">Metric Reframing as Locally Defensible Interpretation</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Once measurement ambiguity had been constructed as professional opportunity, the second process we observed was metric reframing: the selection and modification of environmental performance metrics in ways that produce favorable comparisons while remaining technically defensible. Metric reframing operated through three distinct mechanisms: intensity switching, baseline adjustment, and denominator selection.</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Intensity switching — replacing absolute emission or resource consumption figures with intensity ratios (per unit of output, per employee, per revenue rupee) — was the most common reframing mechanism. Five of six firms switched from absolute to intensity metrics at least once during the observed reporting cycles. The typical trigger was a year in which absolute performance had worsened due to business growth, while intensity performance had improved due to operational efficiency. The switch was always described as a more accurate reflection of environmental performance given business context.</w:t>
      </w:r>
    </w:p>
    <w:p>
      <w:pPr>
        <w:spacing w:after="0" w:before="0" w:line="480"/>
      </w:pPr>
      <w:r>
        <w:rPr>
          <w:rFonts w:ascii="Times New Roman" w:cs="Times New Roman" w:eastAsia="Times New Roman" w:hAnsi="Times New Roman"/>
          <w:sz w:val="24"/>
          <w:szCs w:val="24"/>
        </w:rPr>
        <w:t xml:space="preserve"/>
      </w:r>
    </w:p>
    <w:p>
      <w:pPr>
        <w:spacing w:after="0" w:before="0" w:line="480"/>
        <w:ind w:left="1440" w:right="1440" w:firstLine="0"/>
        <w:jc w:val="both"/>
      </w:pPr>
      <w:r>
        <w:rPr>
          <w:rFonts w:ascii="Times New Roman" w:cs="Times New Roman" w:eastAsia="Times New Roman" w:hAnsi="Times New Roman"/>
          <w:i/>
          <w:iCs/>
          <w:sz w:val="24"/>
          <w:szCs w:val="24"/>
        </w:rPr>
        <w:t xml:space="preserve">"If we report absolute emissions, we look like we got worse because we grew 40 percent. But we actually became more efficient — our emissions per rupee of revenue went down by 8 percent. Which number is more meaningful? I'd argue intensity is more informative for a growing company. That's not spin. That's context." (ESG Officer, Firm A)</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This reasoning is not false. Intensity metrics are genuinely informative in the context of business growth, and reporting guidance typically permits them. What makes the reasoning function as reframing rather than as clarification is the sequence: the metric is not chosen before the data are known; it is chosen after the data reveal which metric produces the most favorable comparison. The sensemaking is retrospective — which is normal — but the plausibility sought is reputational rather than epistemic.</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Baseline adjustment operated through a similar mechanism. In two firms, we observed changes to the baseline year against which current performance was measured — in both cases, from a year of strong baseline performance to a year of weaker performance, producing a more favorable trajectory. The justification offered was methodological consistency following a data quality review. Both justifications were documented in internal memos written after the decision had been made to change the baseline.</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Denominator selection — choosing among alternative denominators for ratio calculations — was subtler but theoretically revealing. In Firm F, a water-intensive chemical manufacturer, the sustainability team spent four weeks selecting the denominator for their water intensity metric. Production volume, revenue, number of employees, and plant operating hours were all considered. The team selected revenue — which had grown faster than water consumption — producing an intensity improvement of 11 percent that would have been only 3 percent if calculated per unit of production volume. The selection was justified on grounds that revenue was the most stable and externally comparable denominator.</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Across these three mechanisms, what is theoretically significant is not that individual actors were dishonest. They were not. Each decision was locally defensible; each actor could articulate a genuine rationale. What is significant is that the aggregation of locally defensible decisions produced a reporting profile systematically skewed toward favorable disclosure — and that no single actor had to make a decision to deceive in order for that outcome to emerge.</w:t>
      </w:r>
    </w:p>
    <w:p>
      <w:pPr>
        <w:spacing w:after="0" w:before="0" w:line="480"/>
      </w:pPr>
      <w:r>
        <w:rPr>
          <w:rFonts w:ascii="Times New Roman" w:cs="Times New Roman" w:eastAsia="Times New Roman" w:hAnsi="Times New Roman"/>
          <w:sz w:val="24"/>
          <w:szCs w:val="24"/>
        </w:rPr>
        <w:t xml:space="preserve"/>
      </w:r>
    </w:p>
    <w:p>
      <w:pPr>
        <w:spacing w:after="0" w:before="240" w:line="480"/>
        <w:ind w:firstLine="0"/>
      </w:pPr>
      <w:r>
        <w:rPr>
          <w:rFonts w:ascii="Times New Roman" w:cs="Times New Roman" w:eastAsia="Times New Roman" w:hAnsi="Times New Roman"/>
          <w:b/>
          <w:bCs/>
          <w:sz w:val="24"/>
          <w:szCs w:val="24"/>
        </w:rPr>
        <w:t xml:space="preserve">Disclosure Arbitrage: Strategic Omission Without Deception</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Disclosure arbitrage — our term for the selective determination of what to report and what to omit — was the third process we observed. Unlike metric reframing, which works on the numbers that are disclosed, disclosure arbitrage operates on the boundary between disclosed and undisclosed information. Its defining characteristic is that it produces omissions that are technically permissible but strategically motivated.</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The BRSR framework, like most ESG disclosure standards, contains a mixture of mandatory and voluntary disclosure items. Mandatory items must be reported; voluntary items are encouraged but not required. The theoretically interesting space is the grey zone between them: items that are technically voluntary but whose omission is likely to be noticed by sophisticated investors, rating agencies, or regulators. In this grey zone, disclosure decisions are genuinely consequential — and they are made through a sensemaking process that we observed directly.</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The characteristic form of disclosure arbitrage was what informants across multiple firms called a "materiality assessment" — a formal process of determining which sustainability issues are material to the company and therefore require disclosure. Materiality assessments are a legitimate governance tool, endorsed by the GRI, SASB, and SEBI guidance. In principle, they identify the issues most significant to the company's sustainability performance and stakeholder relationships. In practice, we observed them functioning as a structured mechanism for producing a defensible justification for omitting issues the company did not wish to disclose.</w:t>
      </w:r>
    </w:p>
    <w:p>
      <w:pPr>
        <w:spacing w:after="0" w:before="0" w:line="480"/>
      </w:pPr>
      <w:r>
        <w:rPr>
          <w:rFonts w:ascii="Times New Roman" w:cs="Times New Roman" w:eastAsia="Times New Roman" w:hAnsi="Times New Roman"/>
          <w:sz w:val="24"/>
          <w:szCs w:val="24"/>
        </w:rPr>
        <w:t xml:space="preserve"/>
      </w:r>
    </w:p>
    <w:p>
      <w:pPr>
        <w:spacing w:after="0" w:before="0" w:line="480"/>
        <w:ind w:left="1440" w:right="1440" w:firstLine="0"/>
        <w:jc w:val="both"/>
      </w:pPr>
      <w:r>
        <w:rPr>
          <w:rFonts w:ascii="Times New Roman" w:cs="Times New Roman" w:eastAsia="Times New Roman" w:hAnsi="Times New Roman"/>
          <w:i/>
          <w:iCs/>
          <w:sz w:val="24"/>
          <w:szCs w:val="24"/>
        </w:rPr>
        <w:t xml:space="preserve">"Materiality is supposed to be about what matters to stakeholders. But when you're doing the assessment, you're also thinking about what you're comfortable disclosing. If an issue comes up as material and you don't have good performance on it, you have two choices: disclose poor performance or reclassify it as not material. We did the latter twice this year." (IR Manager, Firm C)</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The candor of this account — offered in the third year of a research relationship built on professional trust — illustrates what is theoretically distinctive about disclosure arbitrage. The actor is not confused about what is happening. She can describe it with analytical clarity. And yet her moral self-concept is not threatened by it, because the act of reclassification was procedurally legitimate — conducted through a formal materiality assessment, documented, and reviewed by the audit committee. The deception, if that is what it is, is embedded in a legitimate process. The actor is a professional following a procedure, not a deceiver making a choice.</w:t>
      </w:r>
    </w:p>
    <w:p>
      <w:pPr>
        <w:spacing w:after="0" w:before="0" w:line="480"/>
      </w:pPr>
      <w:r>
        <w:rPr>
          <w:rFonts w:ascii="Times New Roman" w:cs="Times New Roman" w:eastAsia="Times New Roman" w:hAnsi="Times New Roman"/>
          <w:sz w:val="24"/>
          <w:szCs w:val="24"/>
        </w:rPr>
        <w:t xml:space="preserve"/>
      </w:r>
    </w:p>
    <w:p>
      <w:pPr>
        <w:spacing w:after="0" w:before="240" w:line="480"/>
        <w:ind w:firstLine="0"/>
      </w:pPr>
      <w:r>
        <w:rPr>
          <w:rFonts w:ascii="Times New Roman" w:cs="Times New Roman" w:eastAsia="Times New Roman" w:hAnsi="Times New Roman"/>
          <w:b/>
          <w:bCs/>
          <w:sz w:val="24"/>
          <w:szCs w:val="24"/>
        </w:rPr>
        <w:t xml:space="preserve">Narrative Coherence Work: Assembling the Whole</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The final process in the distributed greenwashing sequence is the one that assembles the pieces — metric selections, scope decisions, materiality determinations — into a coherent public narrative. We call this narrative coherence work: the crafting of a sustainability story that is internally consistent, externally legible, and strategically favorable, from the raw material of a year's worth of individually defensible reporting decisions.</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Narrative coherence work was primarily the responsibility of communications and investor relations professionals — actors who, in most firms we studied, had not been involved in the metric selection or disclosure arbitrage processes that preceded it. This positional separation is theoretically significant: the people assembling the final narrative typically did not know which methodological choices had been made upstream, or why. They received a set of numbers and were asked to construct a compelling story.</w:t>
      </w:r>
    </w:p>
    <w:p>
      <w:pPr>
        <w:spacing w:after="0" w:before="0" w:line="480"/>
      </w:pPr>
      <w:r>
        <w:rPr>
          <w:rFonts w:ascii="Times New Roman" w:cs="Times New Roman" w:eastAsia="Times New Roman" w:hAnsi="Times New Roman"/>
          <w:sz w:val="24"/>
          <w:szCs w:val="24"/>
        </w:rPr>
        <w:t xml:space="preserve"/>
      </w:r>
    </w:p>
    <w:p>
      <w:pPr>
        <w:spacing w:after="0" w:before="0" w:line="480"/>
        <w:ind w:left="1440" w:right="1440" w:firstLine="0"/>
        <w:jc w:val="both"/>
      </w:pPr>
      <w:r>
        <w:rPr>
          <w:rFonts w:ascii="Times New Roman" w:cs="Times New Roman" w:eastAsia="Times New Roman" w:hAnsi="Times New Roman"/>
          <w:i/>
          <w:iCs/>
          <w:sz w:val="24"/>
          <w:szCs w:val="24"/>
        </w:rPr>
        <w:t xml:space="preserve">"My job is to take the data and make it readable. I don't go into how the data were calculated — that's the sustainability team's job. I make sure the narrative is consistent with the numbers and tells a coherent story about our direction of travel. I'm not checking whether the numbers are right. I'm making sure the sentences are." (Communications Director, Firm E)</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This division of epistemic labor is the structural foundation of what we call distributed moral displacement. The communications professional cannot be held responsible for misleading metric selection because she did not make those decisions and was not told about them. The sustainability officer who selected the metrics cannot be held responsible for the narrative framing that positioned those metrics as evidence of leadership rather than as the product of methodological choice. The external auditor who verified the numbers cannot be held responsible for what they mean in context. Each actor's moral universe is bounded by their professional role — and their role is bounded in ways that prevent them from seeing the aggregate output of which they are a part.</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Narrative coherence work also involved what we call temporal anchoring: the selection of comparison points and trend periods that maximize the apparent favorability of the trajectory. In four of six firms, the choice of what year to use as a starting point for trend narratives — "over the past three years, our emissions intensity has fallen by X percent" — was made after examining which starting year produced the most favorable trend line. The selection was presented in the final report as a natural reporting period, with no indication that alternative periods would have told a different story.</w:t>
      </w:r>
    </w:p>
    <w:p>
      <w:pPr>
        <w:spacing w:after="0" w:before="0" w:line="480"/>
      </w:pPr>
      <w:r>
        <w:rPr>
          <w:rFonts w:ascii="Times New Roman" w:cs="Times New Roman" w:eastAsia="Times New Roman" w:hAnsi="Times New Roman"/>
          <w:sz w:val="24"/>
          <w:szCs w:val="24"/>
        </w:rPr>
        <w:t xml:space="preserve"/>
      </w:r>
    </w:p>
    <w:p>
      <w:pPr>
        <w:spacing w:after="0" w:before="480" w:line="480"/>
        <w:ind w:firstLine="0"/>
        <w:jc w:val="center"/>
      </w:pPr>
      <w:r>
        <w:rPr>
          <w:rFonts w:ascii="Times New Roman" w:cs="Times New Roman" w:eastAsia="Times New Roman" w:hAnsi="Times New Roman"/>
          <w:b/>
          <w:bCs/>
          <w:sz w:val="24"/>
          <w:szCs w:val="24"/>
        </w:rPr>
        <w:t xml:space="preserve">DISCUSSION</w:t>
      </w:r>
    </w:p>
    <w:p>
      <w:pPr>
        <w:spacing w:after="0" w:before="0" w:line="480"/>
      </w:pPr>
      <w:r>
        <w:rPr>
          <w:rFonts w:ascii="Times New Roman" w:cs="Times New Roman" w:eastAsia="Times New Roman" w:hAnsi="Times New Roman"/>
          <w:sz w:val="24"/>
          <w:szCs w:val="24"/>
        </w:rPr>
        <w:t xml:space="preserve"/>
      </w:r>
    </w:p>
    <w:p>
      <w:pPr>
        <w:spacing w:after="0" w:before="240" w:line="480"/>
        <w:ind w:firstLine="0"/>
      </w:pPr>
      <w:r>
        <w:rPr>
          <w:rFonts w:ascii="Times New Roman" w:cs="Times New Roman" w:eastAsia="Times New Roman" w:hAnsi="Times New Roman"/>
          <w:b/>
          <w:bCs/>
          <w:sz w:val="24"/>
          <w:szCs w:val="24"/>
        </w:rPr>
        <w:t xml:space="preserve">Returning to the Puzzle</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We opened this paper with a puzzle: four professionals had collectively produced a materially misleading sustainability disclosure without any of them having made a decision to deceive. Our findings resolve this puzzle by showing that it is not exceptional. It is the normal product of a specific organizational architecture — one in which measurement authority, disclosure authority, and narrative authority are distributed across functionally separated actors, each of whom applies a plausibility standard rather than an accuracy standard to their contribution, and none of whom can see the aggregate output of which they are a part.</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The three sequential sensemaking processes we identified — metric reframing, disclosure arbitrage, and narrative coherence work — are not individually dishonest. They are individually normal. Professionals make judgment calls under ambiguity. Organizations make strategic choices about what to disclose. Communications teams tell stories from data they did not generate. The problem is not in any of these practices. The problem is in how they are connected — in the specific architecture that links locally defensible professional judgment to globally misleading organizational disclosure.</w:t>
      </w:r>
    </w:p>
    <w:p>
      <w:pPr>
        <w:spacing w:after="0" w:before="0" w:line="480"/>
      </w:pPr>
      <w:r>
        <w:rPr>
          <w:rFonts w:ascii="Times New Roman" w:cs="Times New Roman" w:eastAsia="Times New Roman" w:hAnsi="Times New Roman"/>
          <w:sz w:val="24"/>
          <w:szCs w:val="24"/>
        </w:rPr>
        <w:t xml:space="preserve"/>
      </w:r>
    </w:p>
    <w:p>
      <w:pPr>
        <w:spacing w:after="0" w:before="240" w:line="480"/>
        <w:ind w:firstLine="0"/>
      </w:pPr>
      <w:r>
        <w:rPr>
          <w:rFonts w:ascii="Times New Roman" w:cs="Times New Roman" w:eastAsia="Times New Roman" w:hAnsi="Times New Roman"/>
          <w:b/>
          <w:bCs/>
          <w:sz w:val="24"/>
          <w:szCs w:val="24"/>
        </w:rPr>
        <w:t xml:space="preserve">Theoretical Contributions</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Our first contribution challenges the intentionality assumption in both greenwashing research and corporate misconduct theory. Delmas and Burbano (2011) built their greenwashing framework on the premise that misleading environmental disclosure requires a decision to mislead. Greve et al. (2010) made intentionality similarly central to their theory of organizational misconduct. Our findings show that this assumption is empirically restrictive: it explains only the subset of greenwashing cases in which a deliberate decision to deceive was made. The much larger population of cases — produced through the distributed sensemaking we have documented — lies outside the boundary of existing theory. We propose that greenwashing research requires a two-track theoretical model: one track for strategic deception (where intentionality is present), and one track for distributed construction (where it is not). The theoretical and practical implications of each track are different, and conflating them has led to both incomplete theory and misspecified interventions.</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Our second contribution is the concept of distributed moral displacement. Bandura's (1999) theory of moral disengagement explained how individuals neutralize their own moral standards to engage in harmful conduct. Our findings show that organizations can produce morally compromised outputs without requiring moral disengagement in any individual contributor — because the architecture of distributed sensemaking displaces moral responsibility structurally rather than psychologically. No single actor needs to disengage their moral standards. They only need to be positioned so that their contribution is locally defensible and their view of the aggregate output is obstructed. This structural displacement is more insidious than individual moral disengagement because it cannot be remedied by changing individual attitudes or ethics training. It requires changing the organizational architecture through which sustainability reporting is assembled.</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Our third contribution extends sensemaking theory into the domain of organizational misconduct. Weick (1995) showed that sensemaking produces plausible rather than accurate accounts of organizational reality. The existing sensemaking literature has treated this plausibility bias as epistemically neutral — a cognitive property of human meaning-making, not a moral failure. Our findings show that in domains where accuracy and plausibility systematically diverge — as they do in ESG measurement — the plausibility bias of distributed sensemaking produces organizational outputs that are not just inaccurate but deceptive. This is a significant extension of Weick's framework: the same distributed, retrospective, plausibility-seeking processes that explain organizational resilience and adaptation also explain organizational misconduct when the conditions are right.</w:t>
      </w:r>
    </w:p>
    <w:p>
      <w:pPr>
        <w:spacing w:after="0" w:before="0" w:line="480"/>
      </w:pPr>
      <w:r>
        <w:rPr>
          <w:rFonts w:ascii="Times New Roman" w:cs="Times New Roman" w:eastAsia="Times New Roman" w:hAnsi="Times New Roman"/>
          <w:sz w:val="24"/>
          <w:szCs w:val="24"/>
        </w:rPr>
        <w:t xml:space="preserve"/>
      </w:r>
    </w:p>
    <w:p>
      <w:pPr>
        <w:spacing w:after="0" w:before="240" w:line="480"/>
        <w:ind w:firstLine="0"/>
      </w:pPr>
      <w:r>
        <w:rPr>
          <w:rFonts w:ascii="Times New Roman" w:cs="Times New Roman" w:eastAsia="Times New Roman" w:hAnsi="Times New Roman"/>
          <w:b/>
          <w:bCs/>
          <w:sz w:val="24"/>
          <w:szCs w:val="24"/>
        </w:rPr>
        <w:t xml:space="preserve">Boundary Conditions</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Our theory of distributed greenwashing construction applies under four conditions: (1) genuine measurement ambiguity — domains where multiple methodologies are defensible and no single standard is authoritative; (2) functional distribution of reporting responsibility — organizations in which measurement, disclosure, and narrative authority are held by different actors with limited cross-functional visibility; (3) plausibility norms — organizational cultures in which the operative standard for reporting decisions is defensibility to external audiences rather than accuracy to internal knowledge; and (4) regulatory ambiguity — enforcement environments in which the consequences of misleading disclosure are uncertain enough that the expected cost of optimistic reporting is low. When all four conditions are present — as they are in the current Indian BRSR regime — distributed greenwashing construction is likely. When enforcement becomes more precise and consequential, the architecture of plausible deniability becomes less available and the dynamics shift.</w:t>
      </w:r>
    </w:p>
    <w:p>
      <w:pPr>
        <w:spacing w:after="0" w:before="0" w:line="480"/>
      </w:pPr>
      <w:r>
        <w:rPr>
          <w:rFonts w:ascii="Times New Roman" w:cs="Times New Roman" w:eastAsia="Times New Roman" w:hAnsi="Times New Roman"/>
          <w:sz w:val="24"/>
          <w:szCs w:val="24"/>
        </w:rPr>
        <w:t xml:space="preserve"/>
      </w:r>
    </w:p>
    <w:p>
      <w:pPr>
        <w:spacing w:after="0" w:before="240" w:line="480"/>
        <w:ind w:firstLine="0"/>
      </w:pPr>
      <w:r>
        <w:rPr>
          <w:rFonts w:ascii="Times New Roman" w:cs="Times New Roman" w:eastAsia="Times New Roman" w:hAnsi="Times New Roman"/>
          <w:b/>
          <w:bCs/>
          <w:sz w:val="24"/>
          <w:szCs w:val="24"/>
        </w:rPr>
        <w:t xml:space="preserve">Limitations and Future Research</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Three limitations bound the claims we can make. First, our sample is drawn from Indian listed companies during a period of regulatory novelty. The dynamics we observed may be specific to mandatory disclosure regimes in their early years, when measurement norms are still being established and enforcement is still uncertain. Longitudinal research tracking the same organizations as BRSR enforcement matures would test whether the distributed construction process we identified persists, adapts, or collapses under regulatory pressure. Second, our access was secured through a consulting relationship, which may have shaped what informants chose to disclose. We mitigated this through documentary triangulation and member checks, but the possibility of social desirability effects cannot be eliminated. Third, this study examines only the production side of greenwashing — how misleading disclosures are assembled. It does not examine reception — how investors, analysts, and regulators interpret and act on these disclosures. Future research on the full circuit of sustainability disclosure, from production to consumption, would significantly extend the theoretical framework developed here.</w:t>
      </w:r>
    </w:p>
    <w:p>
      <w:pPr>
        <w:spacing w:after="0" w:before="0" w:line="480"/>
      </w:pPr>
      <w:r>
        <w:rPr>
          <w:rFonts w:ascii="Times New Roman" w:cs="Times New Roman" w:eastAsia="Times New Roman" w:hAnsi="Times New Roman"/>
          <w:sz w:val="24"/>
          <w:szCs w:val="24"/>
        </w:rPr>
        <w:t xml:space="preserve"/>
      </w:r>
    </w:p>
    <w:p>
      <w:pPr>
        <w:spacing w:after="0" w:before="480" w:line="480"/>
        <w:ind w:firstLine="0"/>
        <w:jc w:val="center"/>
      </w:pPr>
      <w:r>
        <w:rPr>
          <w:rFonts w:ascii="Times New Roman" w:cs="Times New Roman" w:eastAsia="Times New Roman" w:hAnsi="Times New Roman"/>
          <w:b/>
          <w:bCs/>
          <w:sz w:val="24"/>
          <w:szCs w:val="24"/>
        </w:rPr>
        <w:t xml:space="preserve">CONCLUSION</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The central argument of this paper is simple and its implications are not. Corporate greenwashing does not require a corporate greenwasher. It requires only an organizational architecture in which measurement authority, disclosure authority, and narrative authority are distributed across actors who each apply plausibility rather than accuracy as their operative standard — and who cannot see the aggregate output their locally defensible contributions have assembled. We have documented this architecture in operation across six Indian corporations, traced the three sensemaking processes through which it produces misleading sustainability disclosures, and built a theoretical concept — distributed moral displacement — to explain why each contributor's moral self-concept survives intact. The implication for practice is that ethics training and individual accountability, the conventional organizational response to misconduct, will not fix this problem. The problem is structural. It will require structural solutions: cross-functional visibility into aggregate reporting outputs, accuracy rather than defensibility as the operative reporting norm, and regulatory frameworks that close the gap between what organizations know and what they can plausibly claim not to have known. The implication for theory is equally direct: organizational misconduct does not require an organization of wrongdoers. It can emerge from an organization of professionals each doing their job correctly.</w:t>
      </w:r>
    </w:p>
    <w:p>
      <w:pPr>
        <w:spacing w:after="0" w:before="0" w:line="480"/>
      </w:pPr>
      <w:r>
        <w:rPr>
          <w:rFonts w:ascii="Times New Roman" w:cs="Times New Roman" w:eastAsia="Times New Roman" w:hAnsi="Times New Roman"/>
          <w:sz w:val="24"/>
          <w:szCs w:val="24"/>
        </w:rPr>
        <w:t xml:space="preserve"/>
      </w:r>
    </w:p>
    <w:p>
      <w:pPr>
        <w:spacing w:after="0" w:before="0" w:line="480"/>
      </w:pPr>
      <w:r>
        <w:br w:type="page"/>
      </w:r>
    </w:p>
    <w:p>
      <w:pPr>
        <w:spacing w:after="0" w:before="480" w:line="480"/>
        <w:ind w:firstLine="0"/>
        <w:jc w:val="center"/>
      </w:pPr>
      <w:r>
        <w:rPr>
          <w:rFonts w:ascii="Times New Roman" w:cs="Times New Roman" w:eastAsia="Times New Roman" w:hAnsi="Times New Roman"/>
          <w:b/>
          <w:bCs/>
          <w:sz w:val="24"/>
          <w:szCs w:val="24"/>
        </w:rPr>
        <w:t xml:space="preserve">REFERENCES</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Bandura, A. (1999). Moral disengagement in the perpetration of inhumanities. Personality and Social Psychology Review, 3(3), 193–209.</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Brass, D. J., Butterfield, K. D., &amp; Skaggs, B. C. (1998). Relationships and unethical behavior: A social network perspective. Academy of Management Review, 23(1), 14–31.</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Bromley, P., &amp; Powell, W. W. (2012). From smoke and mirrors to walking the talk: Decoupling in the contemporary world. Academy of Management Annals, 6(1), 483–530.</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Christensen, L. T., Morsing, M., &amp; Thyssen, O. (2013). CSR as aspirational talk. Organization, 20(3), 372–393.</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Cornelissen, J. P. (2012). Sensemaking under pressure: The influence of professional roles and social accountability on the creation of sense. Organization Science, 23(1), 118–137.</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Davis, M. S. (1971). That's interesting! Towards a phenomenology of sociology and a sociology of phenomenology. Philosophy of the Social Sciences, 1(4), 309–344.</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Delmas, M. A., &amp; Burbano, V. C. (2011). The drivers of greenwashing. California Management Review, 54(1), 64–87.</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Dutton, J. E., &amp; Dukerich, J. M. (1991). Keeping an eye on the mirror: Image and identity in organizational adaptation. Academy of Management Journal, 34(3), 517–554.</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Eisenhardt, K. M. (1989). Building theories from case study research. Academy of Management Review, 14(4), 532–550.</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Gioia, D. A., &amp; Chittipeddi, K. (1991). Sensemaking and sensegiving in strategic change initiation. Strategic Management Journal, 12(6), 433–448.</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Gioia, D. A., Corley, K. G., &amp; Hamilton, A. L. (2013). Seeking qualitative rigor in inductive research: Notes on the Gioia methodology. Organizational Research Methods, 16(1), 15–31.</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Greve, H. R., Palmer, D., &amp; Pozner, J.-E. (2010). Organizations gone wild: The causes, processes, and consequences of organizational misconduct. Academy of Management Annals, 4(1), 53–107.</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Kunda, G. (1992). Engineering culture: Control and commitment in a high-tech corporation. Temple University Press.</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Lincoln, Y. S., &amp; Guba, E. G. (1985). Naturalistic inquiry. Sage.</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Lyon, T. P., &amp; Maxwell, J. W. (2011). Greenwash: Corporate environmental disclosure under threat of audit. Journal of Economics and Management Strategy, 20(1), 3–41.</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Maitlis, S. (2005). The social processes of organizational sensemaking. Academy of Management Journal, 48(1), 21–49.</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Maitlis, S., &amp; Christianson, M. (2014). Sensemaking in organizations: Taking stock and moving forward. Academy of Management Annals, 8(1), 57–125.</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Marquis, C., &amp; Lounsbury, M. (2007). Vive la résistance: Competing logics and the consolidation of U.S. community banking. Academy of Management Journal, 50(4), 799–820.</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Marti, E., &amp; Gond, J.-P. (2018). When do theories become self-fulfilling? Exploring the boundary conditions of performativity. Academy of Management Review, 43(3), 487–508.</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Ramus, C. A., &amp; Montiel, I. (2005). When are corporate environmental policies a form of greenwashing? Business and Society, 44(4), 377–414.</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Strauss, A., &amp; Corbin, J. (1998). Basics of qualitative research: Techniques and procedures for developing grounded theory (2nd ed.). Sage.</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Sutherland, E. H. (1949). White collar crime. Dryden Press.</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Weick, K. E. (1995). Sensemaking in organizations. Sage.</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Weick, K. E., Sutcliffe, K. M., &amp; Obstfeld, D. (2005). Organizing and the process of sensemaking. Organization Science, 16(4), 409–421.</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Wright, C., &amp; Nyberg, D. (2017). An inconvenient truth: How organizations translate climate change into business as usual. Academy of Management Journal, 60(5), 1633–1661.</w:t>
      </w:r>
    </w:p>
    <w:p>
      <w:pPr>
        <w:spacing w:after="0" w:before="0" w:line="480"/>
      </w:pPr>
      <w:r>
        <w:rPr>
          <w:rFonts w:ascii="Times New Roman" w:cs="Times New Roman" w:eastAsia="Times New Roman" w:hAnsi="Times New Roman"/>
          <w:sz w:val="24"/>
          <w:szCs w:val="24"/>
        </w:rPr>
        <w:t xml:space="preserve"/>
      </w:r>
    </w:p>
    <w:p>
      <w:pPr>
        <w:spacing w:after="0" w:before="0" w:line="480"/>
      </w:pPr>
      <w:r>
        <w:br w:type="page"/>
      </w:r>
    </w:p>
    <w:p>
      <w:pPr>
        <w:spacing w:line="480"/>
        <w:ind w:firstLine="0"/>
        <w:jc w:val="center"/>
      </w:pPr>
      <w:r>
        <w:rPr>
          <w:rFonts w:ascii="Times New Roman" w:cs="Times New Roman" w:eastAsia="Times New Roman" w:hAnsi="Times New Roman"/>
          <w:b/>
          <w:bCs/>
          <w:sz w:val="24"/>
          <w:szCs w:val="24"/>
        </w:rPr>
        <w:t xml:space="preserve">TABLE 1</w:t>
      </w:r>
    </w:p>
    <w:p>
      <w:pPr>
        <w:spacing w:line="480"/>
        <w:ind w:firstLine="0"/>
        <w:jc w:val="center"/>
      </w:pPr>
      <w:r>
        <w:rPr>
          <w:rFonts w:ascii="Times New Roman" w:cs="Times New Roman" w:eastAsia="Times New Roman" w:hAnsi="Times New Roman"/>
          <w:b/>
          <w:bCs/>
          <w:sz w:val="24"/>
          <w:szCs w:val="24"/>
        </w:rPr>
        <w:t xml:space="preserve">Data Structure: From First-Order Concepts to Aggregate Theoretical Dimensions</w:t>
      </w:r>
    </w:p>
    <w:p>
      <w:pPr>
        <w:spacing w:after="0" w:before="0" w:line="480"/>
      </w:pPr>
      <w:r>
        <w:rPr>
          <w:rFonts w:ascii="Times New Roman" w:cs="Times New Roman" w:eastAsia="Times New Roman" w:hAnsi="Times New Roman"/>
          <w:sz w:val="24"/>
          <w:szCs w:val="24"/>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2960"/>
      </w:tblGrid>
      <w:tr>
        <w:tc>
          <w:tcPr>
            <w:tcW w:type="dxa" w:w="34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line="320"/>
            </w:pPr>
            <w:r>
              <w:rPr>
                <w:rFonts w:ascii="Times New Roman" w:cs="Times New Roman" w:eastAsia="Times New Roman" w:hAnsi="Times New Roman"/>
                <w:b/>
                <w:bCs/>
                <w:sz w:val="20"/>
                <w:szCs w:val="20"/>
              </w:rPr>
              <w:t xml:space="preserve">1st-Order Concepts (Informant Language)</w:t>
            </w:r>
          </w:p>
        </w:tc>
        <w:tc>
          <w:tcPr>
            <w:tcW w:type="dxa" w:w="26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line="320"/>
            </w:pPr>
            <w:r>
              <w:rPr>
                <w:rFonts w:ascii="Times New Roman" w:cs="Times New Roman" w:eastAsia="Times New Roman" w:hAnsi="Times New Roman"/>
                <w:b/>
                <w:bCs/>
                <w:sz w:val="20"/>
                <w:szCs w:val="20"/>
              </w:rPr>
              <w:t xml:space="preserve">2nd-Order Themes</w:t>
            </w:r>
          </w:p>
        </w:tc>
        <w:tc>
          <w:tcPr>
            <w:tcW w:type="dxa" w:w="296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line="320"/>
            </w:pPr>
            <w:r>
              <w:rPr>
                <w:rFonts w:ascii="Times New Roman" w:cs="Times New Roman" w:eastAsia="Times New Roman" w:hAnsi="Times New Roman"/>
                <w:b/>
                <w:bCs/>
                <w:sz w:val="20"/>
                <w:szCs w:val="20"/>
              </w:rPr>
              <w:t xml:space="preserve">Aggregate Dimensions</w:t>
            </w:r>
          </w:p>
        </w:tc>
      </w:tr>
      <w:tr>
        <w:tc>
          <w:tcPr>
            <w:tcW w:type="dxa" w:w="3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"Five methodologies, five numbers — we pick the one that makes sense for our narrative"</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Methodological proliferation as professional latitude</w:t>
            </w:r>
          </w:p>
        </w:tc>
        <w:tc>
          <w:tcPr>
            <w:tcW w:type="dxa" w:w="2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Constructing Measurement
Ambiguity as
Professional Opportunity</w:t>
            </w:r>
          </w:p>
        </w:tc>
      </w:tr>
      <w:tr>
        <w:tc>
          <w:tcPr>
            <w:tcW w:type="dxa" w:w="3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"What can we defensibly exclude from scope?"</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Scope negotiation as boundary work</w:t>
            </w:r>
          </w:p>
        </w:tc>
        <w:tc>
          <w:tcPr>
            <w:tcW w:type="dxa" w:w="2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
            </w:r>
          </w:p>
        </w:tc>
      </w:tr>
      <w:tr>
        <w:tc>
          <w:tcPr>
            <w:tcW w:type="dxa" w:w="3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"Everyone in the industry does this — it's standard practice"</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Normalization through community conformity</w:t>
            </w:r>
          </w:p>
        </w:tc>
        <w:tc>
          <w:tcPr>
            <w:tcW w:type="dxa" w:w="2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
            </w:r>
          </w:p>
        </w:tc>
      </w:tr>
      <w:tr>
        <w:tc>
          <w:tcPr>
            <w:tcW w:type="dxa" w:w="3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"Intensity is more meaningful for a growing company"</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Intensity switching to absorb growth-driven absolute increases</w:t>
            </w:r>
          </w:p>
        </w:tc>
        <w:tc>
          <w:tcPr>
            <w:tcW w:type="dxa" w:w="2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Metric Reframing as
Locally Defensible
Interpretation</w:t>
            </w:r>
          </w:p>
        </w:tc>
      </w:tr>
      <w:tr>
        <w:tc>
          <w:tcPr>
            <w:tcW w:type="dxa" w:w="3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"We did a data quality review and updated the baseline"</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Baseline adjustment with retrospective justification</w:t>
            </w:r>
          </w:p>
        </w:tc>
        <w:tc>
          <w:tcPr>
            <w:tcW w:type="dxa" w:w="2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
            </w:r>
          </w:p>
        </w:tc>
      </w:tr>
      <w:tr>
        <w:tc>
          <w:tcPr>
            <w:tcW w:type="dxa" w:w="3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"Revenue is the most stable and comparable denominator"</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Denominator selection for favorable ratio outcomes</w:t>
            </w:r>
          </w:p>
        </w:tc>
        <w:tc>
          <w:tcPr>
            <w:tcW w:type="dxa" w:w="2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
            </w:r>
          </w:p>
        </w:tc>
      </w:tr>
      <w:tr>
        <w:tc>
          <w:tcPr>
            <w:tcW w:type="dxa" w:w="3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"If an issue is material and our performance is poor, we reclassify it"</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Materiality reclassification to exclude poor performers</w:t>
            </w:r>
          </w:p>
        </w:tc>
        <w:tc>
          <w:tcPr>
            <w:tcW w:type="dxa" w:w="2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Disclosure Arbitrage:
Strategic Omission
Without Deception</w:t>
            </w:r>
          </w:p>
        </w:tc>
      </w:tr>
      <w:tr>
        <w:tc>
          <w:tcPr>
            <w:tcW w:type="dxa" w:w="3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"We're transparent about what we choose not to report"</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Meta-disclosure as legitimation of omission</w:t>
            </w:r>
          </w:p>
        </w:tc>
        <w:tc>
          <w:tcPr>
            <w:tcW w:type="dxa" w:w="2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
            </w:r>
          </w:p>
        </w:tc>
      </w:tr>
      <w:tr>
        <w:tc>
          <w:tcPr>
            <w:tcW w:type="dxa" w:w="3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"I take the data and make it readable — I don't check how the numbers were made"</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Epistemic segregation of narrative from metric production</w:t>
            </w:r>
          </w:p>
        </w:tc>
        <w:tc>
          <w:tcPr>
            <w:tcW w:type="dxa" w:w="2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Narrative Coherence Work:
Assembling the
Misleading Whole</w:t>
            </w:r>
          </w:p>
        </w:tc>
      </w:tr>
      <w:tr>
        <w:tc>
          <w:tcPr>
            <w:tcW w:type="dxa" w:w="3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"We pick the starting year that shows the best direction of travel"</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Temporal anchoring for favorable trend construction</w:t>
            </w:r>
          </w:p>
        </w:tc>
        <w:tc>
          <w:tcPr>
            <w:tcW w:type="dxa" w:w="2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
            </w:r>
          </w:p>
        </w:tc>
      </w:tr>
      <w:tr>
        <w:tc>
          <w:tcPr>
            <w:tcW w:type="dxa" w:w="3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"The story has to be consistent — it can't contradict itself"</w:t>
            </w:r>
          </w:p>
        </w:tc>
        <w:tc>
          <w:tcPr>
            <w:tcW w:type="dxa" w:w="2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Internal coherence as substitute for external accuracy</w:t>
            </w:r>
          </w:p>
        </w:tc>
        <w:tc>
          <w:tcPr>
            <w:tcW w:type="dxa" w:w="2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320"/>
            </w:pPr>
            <w:r>
              <w:rPr>
                <w:rFonts w:ascii="Times New Roman" w:cs="Times New Roman" w:eastAsia="Times New Roman" w:hAnsi="Times New Roman"/>
                <w:sz w:val="20"/>
                <w:szCs w:val="20"/>
              </w:rPr>
              <w:t xml:space="preserve"/>
            </w:r>
          </w:p>
        </w:tc>
      </w:tr>
    </w:tbl>
    <w:p>
      <w:pPr>
        <w:spacing w:after="0" w:before="0" w:line="480"/>
      </w:pPr>
      <w:r>
        <w:rPr>
          <w:rFonts w:ascii="Times New Roman" w:cs="Times New Roman" w:eastAsia="Times New Roman" w:hAnsi="Times New Roman"/>
          <w:sz w:val="24"/>
          <w:szCs w:val="24"/>
        </w:rPr>
        <w:t xml:space="preserve"/>
      </w:r>
    </w:p>
    <w:p>
      <w:pPr>
        <w:spacing w:after="0" w:before="0" w:line="480"/>
      </w:pPr>
      <w:r>
        <w:br w:type="page"/>
      </w:r>
    </w:p>
    <w:p>
      <w:pPr>
        <w:spacing w:after="0" w:before="480" w:line="480"/>
        <w:ind w:firstLine="0"/>
        <w:jc w:val="center"/>
      </w:pPr>
      <w:r>
        <w:rPr>
          <w:rFonts w:ascii="Times New Roman" w:cs="Times New Roman" w:eastAsia="Times New Roman" w:hAnsi="Times New Roman"/>
          <w:b/>
          <w:bCs/>
          <w:sz w:val="24"/>
          <w:szCs w:val="24"/>
        </w:rPr>
        <w:t xml:space="preserve">APPENDIX A: INTERVIEW GUIDE</w:t>
      </w:r>
    </w:p>
    <w:p>
      <w:pPr>
        <w:spacing w:after="0" w:before="0" w:line="480"/>
      </w:pPr>
      <w:r>
        <w:rPr>
          <w:rFonts w:ascii="Times New Roman" w:cs="Times New Roman" w:eastAsia="Times New Roman" w:hAnsi="Times New Roman"/>
          <w:sz w:val="24"/>
          <w:szCs w:val="24"/>
        </w:rPr>
        <w:t xml:space="preserve"/>
      </w:r>
    </w:p>
    <w:p>
      <w:pPr>
        <w:spacing w:line="480"/>
        <w:ind w:firstLine="0"/>
      </w:pPr>
      <w:r>
        <w:rPr>
          <w:rFonts w:ascii="Times New Roman" w:cs="Times New Roman" w:eastAsia="Times New Roman" w:hAnsi="Times New Roman"/>
          <w:b/>
          <w:bCs/>
          <w:sz w:val="24"/>
          <w:szCs w:val="24"/>
        </w:rPr>
        <w:t xml:space="preserve">Note: </w:t>
      </w:r>
      <w:r>
        <w:rPr>
          <w:rFonts w:ascii="Times New Roman" w:cs="Times New Roman" w:eastAsia="Times New Roman" w:hAnsi="Times New Roman"/>
          <w:i/>
          <w:iCs/>
          <w:sz w:val="24"/>
          <w:szCs w:val="24"/>
        </w:rPr>
        <w:t xml:space="preserve">This guide was adapted for each informant role and organizational context. Questions were asked in informant-preferred language (English or Hindi). The guide was piloted on two informants outside the main sample and revised before main data collection.</w:t>
      </w:r>
    </w:p>
    <w:p>
      <w:pPr>
        <w:spacing w:after="0" w:before="0" w:line="480"/>
      </w:pPr>
      <w:r>
        <w:rPr>
          <w:rFonts w:ascii="Times New Roman" w:cs="Times New Roman" w:eastAsia="Times New Roman" w:hAnsi="Times New Roman"/>
          <w:sz w:val="24"/>
          <w:szCs w:val="24"/>
        </w:rPr>
        <w:t xml:space="preserve"/>
      </w:r>
    </w:p>
    <w:p>
      <w:pPr>
        <w:spacing w:after="0" w:before="240" w:line="480"/>
        <w:ind w:firstLine="0"/>
      </w:pPr>
      <w:r>
        <w:rPr>
          <w:rFonts w:ascii="Times New Roman" w:cs="Times New Roman" w:eastAsia="Times New Roman" w:hAnsi="Times New Roman"/>
          <w:b/>
          <w:bCs/>
          <w:sz w:val="24"/>
          <w:szCs w:val="24"/>
        </w:rPr>
        <w:t xml:space="preserve">Section 1: Role and Reporting Process</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Walk me through what your role in the BRSR/ESG reporting process actually looks like — from when the cycle begins to when the report is filed. What decisions fall to you?</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Which other people or teams do you interact with during the reporting process? At what points? What do they bring to the process that you don't handle yourself?</w:t>
      </w:r>
    </w:p>
    <w:p>
      <w:pPr>
        <w:spacing w:after="0" w:before="0" w:line="480"/>
      </w:pPr>
      <w:r>
        <w:rPr>
          <w:rFonts w:ascii="Times New Roman" w:cs="Times New Roman" w:eastAsia="Times New Roman" w:hAnsi="Times New Roman"/>
          <w:sz w:val="24"/>
          <w:szCs w:val="24"/>
        </w:rPr>
        <w:t xml:space="preserve"/>
      </w:r>
    </w:p>
    <w:p>
      <w:pPr>
        <w:spacing w:after="0" w:before="240" w:line="480"/>
        <w:ind w:firstLine="0"/>
      </w:pPr>
      <w:r>
        <w:rPr>
          <w:rFonts w:ascii="Times New Roman" w:cs="Times New Roman" w:eastAsia="Times New Roman" w:hAnsi="Times New Roman"/>
          <w:b/>
          <w:bCs/>
          <w:sz w:val="24"/>
          <w:szCs w:val="24"/>
        </w:rPr>
        <w:t xml:space="preserve">Section 2: Measurement and Methodology</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When you encounter a sustainability metric where more than one calculation approach is acceptable, how do you decide which one to use? Walk me through a specific example from this year.</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Have there been situations where the choice of methodology changed the reported figure significantly? What drove the choice?</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Has your organization changed the baseline year or reporting boundary at any point? What triggered that decision, and how was it documented?</w:t>
      </w:r>
    </w:p>
    <w:p>
      <w:pPr>
        <w:spacing w:after="0" w:before="0" w:line="480"/>
      </w:pPr>
      <w:r>
        <w:rPr>
          <w:rFonts w:ascii="Times New Roman" w:cs="Times New Roman" w:eastAsia="Times New Roman" w:hAnsi="Times New Roman"/>
          <w:sz w:val="24"/>
          <w:szCs w:val="24"/>
        </w:rPr>
        <w:t xml:space="preserve"/>
      </w:r>
    </w:p>
    <w:p>
      <w:pPr>
        <w:spacing w:after="0" w:before="240" w:line="480"/>
        <w:ind w:firstLine="0"/>
      </w:pPr>
      <w:r>
        <w:rPr>
          <w:rFonts w:ascii="Times New Roman" w:cs="Times New Roman" w:eastAsia="Times New Roman" w:hAnsi="Times New Roman"/>
          <w:b/>
          <w:bCs/>
          <w:sz w:val="24"/>
          <w:szCs w:val="24"/>
        </w:rPr>
        <w:t xml:space="preserve">Section 3: Disclosure Decisions</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Tell me about the materiality assessment process. How are issues classified as material versus not material? Who is involved in that decision?</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Are there sustainability issues where your organization has poor performance that you considered disclosing but chose not to? What shaped that decision?</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When a disclosure item is technically voluntary, how does your team decide whether to include it?</w:t>
      </w:r>
    </w:p>
    <w:p>
      <w:pPr>
        <w:spacing w:after="0" w:before="0" w:line="480"/>
      </w:pPr>
      <w:r>
        <w:rPr>
          <w:rFonts w:ascii="Times New Roman" w:cs="Times New Roman" w:eastAsia="Times New Roman" w:hAnsi="Times New Roman"/>
          <w:sz w:val="24"/>
          <w:szCs w:val="24"/>
        </w:rPr>
        <w:t xml:space="preserve"/>
      </w:r>
    </w:p>
    <w:p>
      <w:pPr>
        <w:spacing w:after="0" w:before="240" w:line="480"/>
        <w:ind w:firstLine="0"/>
      </w:pPr>
      <w:r>
        <w:rPr>
          <w:rFonts w:ascii="Times New Roman" w:cs="Times New Roman" w:eastAsia="Times New Roman" w:hAnsi="Times New Roman"/>
          <w:b/>
          <w:bCs/>
          <w:sz w:val="24"/>
          <w:szCs w:val="24"/>
        </w:rPr>
        <w:t xml:space="preserve">Section 4: Narrative and Communication</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Once the data are finalized, who is responsible for writing the narrative sections of the report? What guidance do they receive about what the data mean?</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Has there been a situation where the narrative framing of a figure changed significantly during the drafting process — where the same number was described differently at different stages?</w:t>
      </w:r>
    </w:p>
    <w:p>
      <w:pPr>
        <w:spacing w:after="0" w:before="0" w:line="480"/>
      </w:pPr>
      <w:r>
        <w:rPr>
          <w:rFonts w:ascii="Times New Roman" w:cs="Times New Roman" w:eastAsia="Times New Roman" w:hAnsi="Times New Roman"/>
          <w:sz w:val="24"/>
          <w:szCs w:val="24"/>
        </w:rPr>
        <w:t xml:space="preserve"/>
      </w:r>
    </w:p>
    <w:p>
      <w:pPr>
        <w:spacing w:after="0" w:before="240" w:line="480"/>
        <w:ind w:firstLine="0"/>
      </w:pPr>
      <w:r>
        <w:rPr>
          <w:rFonts w:ascii="Times New Roman" w:cs="Times New Roman" w:eastAsia="Times New Roman" w:hAnsi="Times New Roman"/>
          <w:b/>
          <w:bCs/>
          <w:sz w:val="24"/>
          <w:szCs w:val="24"/>
        </w:rPr>
        <w:t xml:space="preserve">Section 5: Reflection</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If you think about this year's report as a whole — the numbers, the disclosures, the narrative — how accurately does it represent your organization's actual environmental and social performance? Where is the gap, if there is one?</w:t>
      </w:r>
    </w:p>
    <w:p>
      <w:pPr>
        <w:spacing w:after="0" w:before="0" w:line="480"/>
      </w:pPr>
      <w:r>
        <w:rPr>
          <w:rFonts w:ascii="Times New Roman" w:cs="Times New Roman" w:eastAsia="Times New Roman" w:hAnsi="Times New Roman"/>
          <w:sz w:val="24"/>
          <w:szCs w:val="24"/>
        </w:rPr>
        <w:t xml:space="preserve"/>
      </w:r>
    </w:p>
    <w:p>
      <w:pPr>
        <w:spacing w:after="0" w:before="0" w:line="480"/>
        <w:ind w:left="0" w:hanging="0" w:firstLine="720"/>
        <w:jc w:val="both"/>
      </w:pPr>
      <w:r>
        <w:rPr>
          <w:rFonts w:ascii="Times New Roman" w:cs="Times New Roman" w:eastAsia="Times New Roman" w:hAnsi="Times New Roman"/>
          <w:b w:val="false"/>
          <w:bCs w:val="false"/>
          <w:i w:val="false"/>
          <w:iCs w:val="false"/>
          <w:sz w:val="24"/>
          <w:szCs w:val="24"/>
        </w:rPr>
        <w:t xml:space="preserve">Is there anything about how sustainability reporting works inside this organization that you think outsiders — investors, regulators, researchers — don't understand?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2026-06-15T01:23:53.936Z</dcterms:created>
  <dcterms:modified xsi:type="dcterms:W3CDTF">2026-06-15T01:23:53.950Z</dcterms:modified>
</cp:coreProperties>
</file>

<file path=docProps/custom.xml><?xml version="1.0" encoding="utf-8"?>
<Properties xmlns="http://schemas.openxmlformats.org/officeDocument/2006/custom-properties" xmlns:vt="http://schemas.openxmlformats.org/officeDocument/2006/docPropsVTypes"/>
</file>