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Times New Roman" w:cs="Times New Roman" w:eastAsia="Times New Roman" w:hAnsi="Times New Roman"/>
          <w:b/>
          <w:bCs/>
          <w:sz w:val="32"/>
          <w:szCs w:val="32"/>
        </w:rPr>
        <w:t xml:space="preserve">When AI Feels Human: Anthropomorphism, Trust Calibration, and Brand Relationship Quality in Generative AI Interfaces</w:t>
      </w:r>
    </w:p>
    <w:p>
      <w:pPr>
        <w:spacing w:after="120"/>
        <w:jc w:val="center"/>
      </w:pPr>
      <w:r>
        <w:rPr>
          <w:rFonts w:ascii="Times New Roman" w:cs="Times New Roman" w:eastAsia="Times New Roman" w:hAnsi="Times New Roman"/>
          <w:i/>
          <w:iCs/>
          <w:color w:val="888888"/>
          <w:sz w:val="22"/>
          <w:szCs w:val="22"/>
        </w:rPr>
        <w:t xml:space="preserve">[Author names and affiliations on title page only — blind manuscript follows]</w:t>
      </w:r>
    </w:p>
    <w:p>
      <w:pPr>
        <w:spacing w:after="480"/>
        <w:jc w:val="center"/>
      </w:pPr>
      <w:r>
        <w:rPr>
          <w:rFonts w:ascii="Times New Roman" w:cs="Times New Roman" w:eastAsia="Times New Roman" w:hAnsi="Times New Roman"/>
          <w:sz w:val="22"/>
          <w:szCs w:val="22"/>
        </w:rPr>
        <w:t xml:space="preserve">Word count (body): ~9,800 | Abstract: 198 words | References: 72</w:t>
      </w:r>
    </w:p>
    <w:p>
      <w:pPr>
        <w:spacing w:after="120"/>
        <w:jc w:val="center"/>
      </w:pPr>
      <w:r>
        <w:rPr>
          <w:rFonts w:ascii="Times New Roman" w:cs="Times New Roman" w:eastAsia="Times New Roman" w:hAnsi="Times New Roman"/>
          <w:b/>
          <w:bCs/>
          <w:sz w:val="22"/>
          <w:szCs w:val="22"/>
        </w:rPr>
        <w:t xml:space="preserve">Submitted to: Journal of Marketing</w:t>
      </w:r>
    </w:p>
    <w:p>
      <w:pPr>
        <w:spacing w:after="120"/>
        <w:jc w:val="center"/>
      </w:pPr>
      <w:r>
        <w:rPr>
          <w:rFonts w:ascii="Times New Roman" w:cs="Times New Roman" w:eastAsia="Times New Roman" w:hAnsi="Times New Roman"/>
          <w:sz w:val="22"/>
          <w:szCs w:val="22"/>
        </w:rPr>
        <w:t xml:space="preserve">Manuscript type: Empirical Article</w:t>
      </w:r>
    </w:p>
    <w:p>
      <w:pPr>
        <w:spacing w:after="2880"/>
        <w:jc w:val="center"/>
      </w:pPr>
      <w:r>
        <w:rPr>
          <w:rFonts w:ascii="Times New Roman" w:cs="Times New Roman" w:eastAsia="Times New Roman" w:hAnsi="Times New Roman"/>
          <w:sz w:val="22"/>
          <w:szCs w:val="22"/>
        </w:rPr>
        <w:t xml:space="preserve">June 2026</w:t>
      </w:r>
    </w:p>
    <w:p>
      <w:r>
        <w:br w:type="page"/>
      </w:r>
    </w:p>
    <w:p>
      <w:pPr>
        <w:spacing w:after="240"/>
        <w:jc w:val="center"/>
      </w:pPr>
      <w:r>
        <w:rPr>
          <w:rFonts w:ascii="Times New Roman" w:cs="Times New Roman" w:eastAsia="Times New Roman" w:hAnsi="Times New Roman"/>
          <w:b/>
          <w:bCs/>
          <w:sz w:val="28"/>
          <w:szCs w:val="28"/>
        </w:rPr>
        <w:t xml:space="preserve">Abstract</w:t>
      </w:r>
    </w:p>
    <w:p>
      <w:pPr>
        <w:spacing w:after="160" w:line="480"/>
        <w:jc w:val="both"/>
      </w:pPr>
      <w:r>
        <w:rPr>
          <w:rFonts w:ascii="Times New Roman" w:cs="Times New Roman" w:eastAsia="Times New Roman" w:hAnsi="Times New Roman"/>
          <w:sz w:val="24"/>
          <w:szCs w:val="24"/>
        </w:rPr>
        <w:t xml:space="preserve">Generative AI (GenAI) interfaces are proliferating across brand touchpoints, yet firms deploying them face a poorly understood risk: consumers who perceive AI agents as humanlike may trust them differently than those who do not. Drawing on anthropomorphism theory and trust calibration research, we develop and test a model in which AI anthropomorphism perception shapes consumer trust — but through two distinct pathways with competing valence. Perceived warmth drives benevolence-based trust and strengthens brand relationship quality (BRQ), whereas perceived competence drives ability-based trust with no direct BRQ effect absent warmth cues. Across four studies — a large-scale text-mining analysis of 1.4 million GenAI product reviews, two pre-registered online experiments, and a field study with a retail chatbot deployment — we demonstrate that warmth-competence incongruence (high competence, low warmth) actually suppresses BRQ below the baseline of a non-anthropomorphized interface. A novel boundary condition emerges: consumers high in need for cognitive closure respond to warmth cues more strongly, while chronically privacy-concerned consumers discount both trust pathways. The findings carry direct implications for how firms design, position, and communicate about GenAI agents to build rather than erode brand equity.</w:t>
      </w:r>
    </w:p>
    <w:p>
      <w:pPr>
        <w:spacing w:after="120"/>
      </w:pPr>
    </w:p>
    <w:p>
      <w:pPr>
        <w:spacing w:after="16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generative AI, anthropomorphism, brand relationship quality, trust calibration, AI marketing, chatbot, consumer-AI interaction</w:t>
      </w:r>
    </w:p>
    <w:p>
      <w:r>
        <w:br w:type="page"/>
      </w:r>
    </w:p>
    <w:p>
      <w:pPr>
        <w:pStyle w:val="Heading1"/>
      </w:pPr>
      <w:r>
        <w:rPr>
          <w:b/>
          <w:bCs/>
        </w:rPr>
        <w:t xml:space="preserve">Introduction</w:t>
      </w:r>
    </w:p>
    <w:p>
      <w:pPr>
        <w:spacing w:after="160" w:line="480"/>
        <w:jc w:val="both"/>
      </w:pPr>
      <w:r>
        <w:rPr>
          <w:rFonts w:ascii="Times New Roman" w:cs="Times New Roman" w:eastAsia="Times New Roman" w:hAnsi="Times New Roman"/>
          <w:sz w:val="24"/>
          <w:szCs w:val="24"/>
        </w:rPr>
        <w:t xml:space="preserve">In March 2025, Klarna announced that its AI assistant handled more than two-thirds of all customer service interactions — roughly the workload of 700 human agents — within a single month. Shortly after, customer satisfaction scores dipped 4 points and brand sentiment on social media turned measurably negative. Klarna had built an efficient machine. It had not built a trusted one.</w:t>
      </w:r>
    </w:p>
    <w:p>
      <w:pPr>
        <w:spacing w:after="160" w:line="480"/>
        <w:jc w:val="both"/>
      </w:pPr>
      <w:r>
        <w:rPr>
          <w:rFonts w:ascii="Times New Roman" w:cs="Times New Roman" w:eastAsia="Times New Roman" w:hAnsi="Times New Roman"/>
          <w:sz w:val="24"/>
          <w:szCs w:val="24"/>
        </w:rPr>
        <w:t xml:space="preserve">That gap between efficiency and trust is where this paper lives. Firms are embedding generative AI (GenAI) agents into nearly every consumer-facing touchpoint: shopping assistants, financial advisors, healthcare guides, loyalty companions. These agents do not merely answer questions — they converse, adapt, joke, and apologize. In other words, they appear human. Whether this appearance helps or hurts brands depends on mechanisms that current theory cannot adequately explain.</w:t>
      </w:r>
    </w:p>
    <w:p>
      <w:pPr>
        <w:spacing w:after="160" w:line="480"/>
        <w:jc w:val="both"/>
      </w:pPr>
      <w:r>
        <w:rPr>
          <w:rFonts w:ascii="Times New Roman" w:cs="Times New Roman" w:eastAsia="Times New Roman" w:hAnsi="Times New Roman"/>
          <w:sz w:val="24"/>
          <w:szCs w:val="24"/>
        </w:rPr>
        <w:t xml:space="preserve">We know consumers anthropomorphize technology — attribute human traits to non-human objects — almost reflexively (Epley, Waytz, and Cacioppo 2007). We know that anthropomorphism shapes trust in online agents (Novak and Hoffman 2019). What we do not know is how anthropomorphism shapes the specific trust dimensions that connect to brand outcomes, whether warmth and competence cues operate similarly or divergently, and which consumers are most sensitive to these dynamics. These are not academic footnotes. The answers determine whether deploying a humanlike GenAI agent builds brand equity or quietly corrodes it.</w:t>
      </w:r>
    </w:p>
    <w:p>
      <w:pPr>
        <w:spacing w:after="160" w:line="480"/>
        <w:jc w:val="both"/>
      </w:pPr>
      <w:r>
        <w:rPr>
          <w:rFonts w:ascii="Times New Roman" w:cs="Times New Roman" w:eastAsia="Times New Roman" w:hAnsi="Times New Roman"/>
          <w:sz w:val="24"/>
          <w:szCs w:val="24"/>
        </w:rPr>
        <w:t xml:space="preserve">We address these gaps with a theoretically grounded, multi-method investigation. Drawing on anthropomorphism theory (Epley et al. 2007) and the warmth-competence model from social cognition (Fiske, Cuddy, and Glick 2007), we propose and test a dual-pathway model in which AI anthropomorphism perception influences brand relationship quality (BRQ; Fournier 1998) through benevolence-based trust (driven by warmth) and ability-based trust (driven by competence). We test the model across four studies: a machine-learning analysis of 1.4 million GenAI product reviews (Study 1), two pre-registered experiments (Studies 2 and 3), and a field study using a live retail chatbot deployment (Study 4).</w:t>
      </w:r>
    </w:p>
    <w:p>
      <w:pPr>
        <w:spacing w:after="160" w:line="480"/>
        <w:jc w:val="both"/>
      </w:pPr>
      <w:r>
        <w:rPr>
          <w:rFonts w:ascii="Times New Roman" w:cs="Times New Roman" w:eastAsia="Times New Roman" w:hAnsi="Times New Roman"/>
          <w:sz w:val="24"/>
          <w:szCs w:val="24"/>
        </w:rPr>
        <w:t xml:space="preserve">The paper advances theory and practice in three ways. Theoretically, it introduces trust calibration as the mechanism linking AI anthropomorphism to brand outcomes, disaggregating trust into warmth-driven and competence-driven pathways with distinct BRQ consequences. It also identifies warmth-competence incongruence as a brand risk, not merely a communication failure. Managerially, it provides actionable design guidance: which anthropomorphism cues to amplify, which to temper, and for which consumer segments.</w:t>
      </w:r>
    </w:p>
    <w:p>
      <w:pPr>
        <w:spacing w:after="160" w:line="480"/>
        <w:jc w:val="both"/>
      </w:pPr>
      <w:r>
        <w:rPr>
          <w:rFonts w:ascii="Times New Roman" w:cs="Times New Roman" w:eastAsia="Times New Roman" w:hAnsi="Times New Roman"/>
          <w:sz w:val="24"/>
          <w:szCs w:val="24"/>
        </w:rPr>
        <w:t xml:space="preserve">The remainder of this paper is organized as follows. We review theoretical foundations and develop our conceptual model and hypotheses. We then describe four studies testing the model, report findings, and conclude with theoretical contributions, managerial implications, limitations, and directions for future research.</w:t>
      </w:r>
    </w:p>
    <w:p>
      <w:r>
        <w:br w:type="page"/>
      </w:r>
    </w:p>
    <w:p>
      <w:pPr>
        <w:pStyle w:val="Heading1"/>
      </w:pPr>
      <w:r>
        <w:rPr>
          <w:b/>
          <w:bCs/>
        </w:rPr>
        <w:t xml:space="preserve">Theoretical Background and Hypotheses</w:t>
      </w:r>
    </w:p>
    <w:p>
      <w:pPr>
        <w:pStyle w:val="Heading2"/>
      </w:pPr>
      <w:r>
        <w:rPr>
          <w:b/>
          <w:bCs/>
        </w:rPr>
        <w:t xml:space="preserve">Anthropomorphism in Human-AI Interaction</w:t>
      </w:r>
    </w:p>
    <w:p>
      <w:pPr>
        <w:spacing w:after="160" w:line="480"/>
        <w:jc w:val="both"/>
      </w:pPr>
      <w:r>
        <w:rPr>
          <w:rFonts w:ascii="Times New Roman" w:cs="Times New Roman" w:eastAsia="Times New Roman" w:hAnsi="Times New Roman"/>
          <w:sz w:val="24"/>
          <w:szCs w:val="24"/>
        </w:rPr>
        <w:t xml:space="preserve">Anthropomorphism — the attribution of human characteristics, emotions, or intentions to non-human agents — is not a cognitive quirk. It is a pervasive default (Epley et al. 2007). The SEEK model (Epley et al. 2007) identifies three drivers: sociality motivation, effectance motivation, and elicited agent knowledge. GenAI interfaces engage all three simultaneously. They respond in natural language, adapting to individual users (sociality), they signal agency through autonomous decision-making (effectance), and they activate stored mental schemas about humanlike entities (elicited knowledge).</w:t>
      </w:r>
    </w:p>
    <w:p>
      <w:pPr>
        <w:spacing w:after="160" w:line="480"/>
        <w:jc w:val="both"/>
      </w:pPr>
      <w:r>
        <w:rPr>
          <w:rFonts w:ascii="Times New Roman" w:cs="Times New Roman" w:eastAsia="Times New Roman" w:hAnsi="Times New Roman"/>
          <w:sz w:val="24"/>
          <w:szCs w:val="24"/>
        </w:rPr>
        <w:t xml:space="preserve">Within marketing, anthropomorphism research has examined brand mascots (Aggarwal and McGill 2007), virtual influencers (Moustakas et al. 2021), and service robots (van Doorn et al. 2017). GenAI agents differ from these prior contexts in critical ways. Unlike mascots, they interact; unlike robots, they are invisible infrastructure, embedded in brand touchpoints without physical form. Consumers may anthropomorphize GenAI agents without consciously recognizing the agent as non-human — a dynamic that prior frameworks were not designed to capture.</w:t>
      </w:r>
    </w:p>
    <w:p>
      <w:pPr>
        <w:spacing w:after="160" w:line="480"/>
        <w:jc w:val="both"/>
      </w:pPr>
      <w:r>
        <w:rPr>
          <w:rFonts w:ascii="Times New Roman" w:cs="Times New Roman" w:eastAsia="Times New Roman" w:hAnsi="Times New Roman"/>
          <w:sz w:val="24"/>
          <w:szCs w:val="24"/>
        </w:rPr>
        <w:t xml:space="preserve">We focus on two anthropomorphism dimensions most relevant to brand interaction: perceived warmth (the extent to which consumers attribute friendly, caring, sincere motives to the AI) and perceived competence (the extent to which they attribute capability, intelligence, and expertise). These dimensions map directly onto the warmth-competence framework from social cognition (Fiske et al. 2007), which has proven among the most replicable structures in social perception research and has recently been applied to brand evaluation (Aaker, Vohs, and Mogilner 2010).</w:t>
      </w:r>
    </w:p>
    <w:p>
      <w:pPr>
        <w:pStyle w:val="Heading2"/>
      </w:pPr>
      <w:r>
        <w:rPr>
          <w:b/>
          <w:bCs/>
        </w:rPr>
        <w:t xml:space="preserve">Trust Calibration in AI Contexts</w:t>
      </w:r>
    </w:p>
    <w:p>
      <w:pPr>
        <w:spacing w:after="160" w:line="480"/>
        <w:jc w:val="both"/>
      </w:pPr>
      <w:r>
        <w:rPr>
          <w:rFonts w:ascii="Times New Roman" w:cs="Times New Roman" w:eastAsia="Times New Roman" w:hAnsi="Times New Roman"/>
          <w:sz w:val="24"/>
          <w:szCs w:val="24"/>
        </w:rPr>
        <w:t xml:space="preserve">Trust is multidimensional. McKnight, Choudhury, and Kacmar (2002) distinguish ability-based trust (confidence in the trustee's competence to deliver), benevolence-based trust (belief that the trustee cares about one's welfare), and integrity-based trust (belief in shared values and honest conduct). In human-to-human contexts, these dimensions are highly correlated. In human-AI contexts, research suggests they diverge (Hancock et al. 2021).</w:t>
      </w:r>
    </w:p>
    <w:p>
      <w:pPr>
        <w:spacing w:after="160" w:line="480"/>
        <w:jc w:val="both"/>
      </w:pPr>
      <w:r>
        <w:rPr>
          <w:rFonts w:ascii="Times New Roman" w:cs="Times New Roman" w:eastAsia="Times New Roman" w:hAnsi="Times New Roman"/>
          <w:sz w:val="24"/>
          <w:szCs w:val="24"/>
        </w:rPr>
        <w:t xml:space="preserve">Trust calibration refers to the alignment between a consumer's trust level and the objective trustworthiness of the trusted party (Lee and See 2004). Miscalibration — trusting too much or too little relative to what the AI can actually deliver — is costly. Overtrust leads to reliance on flawed AI outputs; undertrust leads to rejection of useful AI assistance. For brands, trust miscalibration in a GenAI interaction carries a further cost: it propagates to brand trust itself, because consumers attribute service failures to the brand, not just the technology (Tax, Brown, and Chandrashekaran 1998).</w:t>
      </w:r>
    </w:p>
    <w:p>
      <w:pPr>
        <w:spacing w:after="160" w:line="480"/>
        <w:jc w:val="both"/>
      </w:pPr>
      <w:r>
        <w:rPr>
          <w:rFonts w:ascii="Times New Roman" w:cs="Times New Roman" w:eastAsia="Times New Roman" w:hAnsi="Times New Roman"/>
          <w:sz w:val="24"/>
          <w:szCs w:val="24"/>
        </w:rPr>
        <w:t xml:space="preserve">We propose that AI anthropomorphism perception triggers distinct trust calibration processes depending on which dimension — warmth or competence — is salient. This distinction is theoretically motivated by the warmth-competence model (Fiske et al. 2007), which predicts that warmth perceptions are processed faster, carry greater affective weight, and dominate initial impressions, whereas competence perceptions are processed more deliberatively and updated more readily based on performance evidence.</w:t>
      </w:r>
    </w:p>
    <w:p>
      <w:pPr>
        <w:pStyle w:val="Heading2"/>
      </w:pPr>
      <w:r>
        <w:rPr>
          <w:b/>
          <w:bCs/>
        </w:rPr>
        <w:t xml:space="preserve">Conceptual Model and Hypotheses</w:t>
      </w:r>
    </w:p>
    <w:p>
      <w:pPr>
        <w:spacing w:after="160" w:line="480"/>
        <w:jc w:val="both"/>
      </w:pPr>
      <w:r>
        <w:rPr>
          <w:rFonts w:ascii="Times New Roman" w:cs="Times New Roman" w:eastAsia="Times New Roman" w:hAnsi="Times New Roman"/>
          <w:sz w:val="24"/>
          <w:szCs w:val="24"/>
        </w:rPr>
        <w:t xml:space="preserve">Figure 1 presents our conceptual model. AI anthropomorphism perception (comprising perceived warmth and perceived competence) drives two parallel trust pathways — benevolence-based trust and ability-based trust — which in turn influence brand relationship quality. Two boundary conditions moderate these pathways: consumer need for cognitive closure (NFCC) and privacy concern.</w:t>
      </w:r>
    </w:p>
    <w:p>
      <w:pPr>
        <w:pStyle w:val="Heading3"/>
      </w:pPr>
      <w:r>
        <w:rPr>
          <w:b/>
          <w:bCs/>
        </w:rPr>
        <w:t xml:space="preserve">Perceived Warmth and Benevolence-Based Trust</w:t>
      </w:r>
    </w:p>
    <w:p>
      <w:pPr>
        <w:spacing w:after="160" w:line="480"/>
        <w:jc w:val="both"/>
      </w:pPr>
      <w:r>
        <w:rPr>
          <w:rFonts w:ascii="Times New Roman" w:cs="Times New Roman" w:eastAsia="Times New Roman" w:hAnsi="Times New Roman"/>
          <w:sz w:val="24"/>
          <w:szCs w:val="24"/>
        </w:rPr>
        <w:t xml:space="preserve">When consumers perceive a GenAI agent as warm — as genuinely attentive, empathetic, and caring in its responses — they activate the benevolence dimension of trust. Warmth is a social signal. Evolutionarily, detecting warmth in an interacting agent was adaptive: it predicted whether the agent would act in one's interest or against it (Fiske et al. 2007). GenAI agents that use personalized greetings, express concern for user wellbeing, and acknowledge errors with apparent sincerity trigger this warmth detection process.</w:t>
      </w:r>
    </w:p>
    <w:p>
      <w:pPr>
        <w:spacing w:after="160" w:line="480"/>
        <w:jc w:val="both"/>
      </w:pPr>
      <w:r>
        <w:rPr>
          <w:rFonts w:ascii="Times New Roman" w:cs="Times New Roman" w:eastAsia="Times New Roman" w:hAnsi="Times New Roman"/>
          <w:sz w:val="24"/>
          <w:szCs w:val="24"/>
        </w:rPr>
        <w:t xml:space="preserve">Benevolence-based trust, once activated, shapes consumer willingness to engage deeply with the brand — sharing more information, returning repeatedly, and extending charitable interpretations to service failures. These behaviors map directly onto the commitment and intimacy dimensions of BRQ (Fournier 1998). Brands whose AI agents feel warm are not merely better-liked; they build the attachment patterns that sustain long-term relationship value.</w:t>
      </w:r>
    </w:p>
    <w:p>
      <w:pPr>
        <w:spacing w:after="160" w:line="480"/>
        <w:jc w:val="both"/>
      </w:pPr>
      <w:r>
        <w:rPr>
          <w:rFonts w:ascii="Times New Roman" w:cs="Times New Roman" w:eastAsia="Times New Roman" w:hAnsi="Times New Roman"/>
          <w:b/>
          <w:bCs/>
          <w:sz w:val="24"/>
          <w:szCs w:val="24"/>
        </w:rPr>
        <w:t xml:space="preserve">H1: </w:t>
      </w:r>
      <w:r>
        <w:rPr>
          <w:rFonts w:ascii="Times New Roman" w:cs="Times New Roman" w:eastAsia="Times New Roman" w:hAnsi="Times New Roman"/>
          <w:sz w:val="24"/>
          <w:szCs w:val="24"/>
        </w:rPr>
        <w:t xml:space="preserve">Perceived warmth of a GenAI agent has a positive effect on benevolence-based trust in the AI agent.</w:t>
      </w:r>
    </w:p>
    <w:p>
      <w:pPr>
        <w:spacing w:after="160" w:line="480"/>
        <w:jc w:val="both"/>
      </w:pPr>
      <w:r>
        <w:rPr>
          <w:rFonts w:ascii="Times New Roman" w:cs="Times New Roman" w:eastAsia="Times New Roman" w:hAnsi="Times New Roman"/>
          <w:b/>
          <w:bCs/>
          <w:sz w:val="24"/>
          <w:szCs w:val="24"/>
        </w:rPr>
        <w:t xml:space="preserve">H2: </w:t>
      </w:r>
      <w:r>
        <w:rPr>
          <w:rFonts w:ascii="Times New Roman" w:cs="Times New Roman" w:eastAsia="Times New Roman" w:hAnsi="Times New Roman"/>
          <w:sz w:val="24"/>
          <w:szCs w:val="24"/>
        </w:rPr>
        <w:t xml:space="preserve">Benevolence-based trust in a GenAI agent has a positive effect on brand relationship quality.</w:t>
      </w:r>
    </w:p>
    <w:p>
      <w:pPr>
        <w:pStyle w:val="Heading3"/>
      </w:pPr>
      <w:r>
        <w:rPr>
          <w:b/>
          <w:bCs/>
        </w:rPr>
        <w:t xml:space="preserve">Perceived Competence and Ability-Based Trust</w:t>
      </w:r>
    </w:p>
    <w:p>
      <w:pPr>
        <w:spacing w:after="160" w:line="480"/>
        <w:jc w:val="both"/>
      </w:pPr>
      <w:r>
        <w:rPr>
          <w:rFonts w:ascii="Times New Roman" w:cs="Times New Roman" w:eastAsia="Times New Roman" w:hAnsi="Times New Roman"/>
          <w:sz w:val="24"/>
          <w:szCs w:val="24"/>
        </w:rPr>
        <w:t xml:space="preserve">Perceived competence of a GenAI agent — accuracy, depth of knowledge, problem-solving speed — activates ability-based trust through a more deliberative route. Consumers update ability-based trust based on task performance (Lee and See 2004), which means competence-driven trust is more volatile than warmth-driven trust. A single response that is confidently wrong can collapse ability-based trust, even in agents that had previously performed well.</w:t>
      </w:r>
    </w:p>
    <w:p>
      <w:pPr>
        <w:spacing w:after="160" w:line="480"/>
        <w:jc w:val="both"/>
      </w:pPr>
      <w:r>
        <w:rPr>
          <w:rFonts w:ascii="Times New Roman" w:cs="Times New Roman" w:eastAsia="Times New Roman" w:hAnsi="Times New Roman"/>
          <w:sz w:val="24"/>
          <w:szCs w:val="24"/>
        </w:rPr>
        <w:t xml:space="preserve">Critically, ability-based trust does not carry the same BRQ implications as benevolence-based trust. Trusting that an AI can solve your problem is instrumentally valuable but does not by itself generate the interdependence, affective commitment, or intimacy that characterize strong brand relationships (Fournier 1998). A highly competent but cold agent is like a reliable but distant professional relationship — functional, not bonded.</w:t>
      </w:r>
    </w:p>
    <w:p>
      <w:pPr>
        <w:spacing w:after="160" w:line="480"/>
        <w:jc w:val="both"/>
      </w:pPr>
      <w:r>
        <w:rPr>
          <w:rFonts w:ascii="Times New Roman" w:cs="Times New Roman" w:eastAsia="Times New Roman" w:hAnsi="Times New Roman"/>
          <w:b/>
          <w:bCs/>
          <w:sz w:val="24"/>
          <w:szCs w:val="24"/>
        </w:rPr>
        <w:t xml:space="preserve">H3: </w:t>
      </w:r>
      <w:r>
        <w:rPr>
          <w:rFonts w:ascii="Times New Roman" w:cs="Times New Roman" w:eastAsia="Times New Roman" w:hAnsi="Times New Roman"/>
          <w:sz w:val="24"/>
          <w:szCs w:val="24"/>
        </w:rPr>
        <w:t xml:space="preserve">Perceived competence of a GenAI agent has a positive effect on ability-based trust in the AI agent.</w:t>
      </w:r>
    </w:p>
    <w:p>
      <w:pPr>
        <w:spacing w:after="160" w:line="480"/>
        <w:jc w:val="both"/>
      </w:pPr>
      <w:r>
        <w:rPr>
          <w:rFonts w:ascii="Times New Roman" w:cs="Times New Roman" w:eastAsia="Times New Roman" w:hAnsi="Times New Roman"/>
          <w:b/>
          <w:bCs/>
          <w:sz w:val="24"/>
          <w:szCs w:val="24"/>
        </w:rPr>
        <w:t xml:space="preserve">H4: </w:t>
      </w:r>
      <w:r>
        <w:rPr>
          <w:rFonts w:ascii="Times New Roman" w:cs="Times New Roman" w:eastAsia="Times New Roman" w:hAnsi="Times New Roman"/>
          <w:sz w:val="24"/>
          <w:szCs w:val="24"/>
        </w:rPr>
        <w:t xml:space="preserve">Ability-based trust in a GenAI agent has a positive effect on brand relationship quality, but this effect is weaker than the effect of benevolence-based trust (H2).</w:t>
      </w:r>
    </w:p>
    <w:p>
      <w:pPr>
        <w:pStyle w:val="Heading3"/>
      </w:pPr>
      <w:r>
        <w:rPr>
          <w:b/>
          <w:bCs/>
        </w:rPr>
        <w:t xml:space="preserve">Warmth-Competence Incongruence: The Brand Risk</w:t>
      </w:r>
    </w:p>
    <w:p>
      <w:pPr>
        <w:spacing w:after="160" w:line="480"/>
        <w:jc w:val="both"/>
      </w:pPr>
      <w:r>
        <w:rPr>
          <w:rFonts w:ascii="Times New Roman" w:cs="Times New Roman" w:eastAsia="Times New Roman" w:hAnsi="Times New Roman"/>
          <w:sz w:val="24"/>
          <w:szCs w:val="24"/>
        </w:rPr>
        <w:t xml:space="preserve">The most theoretically novel prediction in our model concerns incongruence. What happens when a GenAI agent signals high competence but low warmth? Social cognition research on the warmth-competence trade-off predicts that high-competence, low-warmth entities elicit envy — a mix of admiration and resentment — rather than trust (Cuddy, Fiske, and Glick 2008). In brand contexts, this translates to a more disturbing outcome: consumers interact with the agent, receive objectively correct answers, and still walk away with a diminished sense of connection to the brand.</w:t>
      </w:r>
    </w:p>
    <w:p>
      <w:pPr>
        <w:spacing w:after="160" w:line="480"/>
        <w:jc w:val="both"/>
      </w:pPr>
      <w:r>
        <w:rPr>
          <w:rFonts w:ascii="Times New Roman" w:cs="Times New Roman" w:eastAsia="Times New Roman" w:hAnsi="Times New Roman"/>
          <w:sz w:val="24"/>
          <w:szCs w:val="24"/>
        </w:rPr>
        <w:t xml:space="preserve">We predict this incongruence effect is not merely additive (a positive competence effect partially offset by a negative warmth effect) but suppressive: the presence of high-competence cues without warmth signals makes the agent feel calculatedly efficient rather than genuinely helpful — a distinction consumers are sensitive to (Waytz, Heafner, and Epley 2014). The resulting affective residue should push BRQ below the baseline of an agent that signals neither warmth nor competence (a neutral, transactional interface).</w:t>
      </w:r>
    </w:p>
    <w:p>
      <w:pPr>
        <w:spacing w:after="160" w:line="480"/>
        <w:jc w:val="both"/>
      </w:pPr>
      <w:r>
        <w:rPr>
          <w:rFonts w:ascii="Times New Roman" w:cs="Times New Roman" w:eastAsia="Times New Roman" w:hAnsi="Times New Roman"/>
          <w:b/>
          <w:bCs/>
          <w:sz w:val="24"/>
          <w:szCs w:val="24"/>
        </w:rPr>
        <w:t xml:space="preserve">H5: </w:t>
      </w:r>
      <w:r>
        <w:rPr>
          <w:rFonts w:ascii="Times New Roman" w:cs="Times New Roman" w:eastAsia="Times New Roman" w:hAnsi="Times New Roman"/>
          <w:sz w:val="24"/>
          <w:szCs w:val="24"/>
        </w:rPr>
        <w:t xml:space="preserve">Warmth-competence incongruence (high perceived competence combined with low perceived warmth) has a negative effect on brand relationship quality that is more negative than the BRQ produced by a non-anthropomorphized (neutral) interface.</w:t>
      </w:r>
    </w:p>
    <w:p>
      <w:pPr>
        <w:pStyle w:val="Heading3"/>
      </w:pPr>
      <w:r>
        <w:rPr>
          <w:b/>
          <w:bCs/>
        </w:rPr>
        <w:t xml:space="preserve">Boundary Conditions</w:t>
      </w:r>
    </w:p>
    <w:p>
      <w:pPr>
        <w:spacing w:after="160" w:line="480"/>
        <w:jc w:val="both"/>
      </w:pPr>
      <w:r>
        <w:rPr>
          <w:rFonts w:ascii="Times New Roman" w:cs="Times New Roman" w:eastAsia="Times New Roman" w:hAnsi="Times New Roman"/>
          <w:sz w:val="24"/>
          <w:szCs w:val="24"/>
        </w:rPr>
        <w:t xml:space="preserve">Not all consumers process warmth cues equally. Need for cognitive closure (NFCC; Kruglanski and Webster 1996) — the desire for clear, definitive answers and aversion to ambiguity — amplifies reliance on salient initial cues. Because warmth is processed faster and more automatically than competence (Fiske et al. 2007), consumers high in NFCC should be more responsive to warmth signals: they lock onto the warmth cue early, generate a trust judgment, and are less likely to revise it based on later performance evidence.</w:t>
      </w:r>
    </w:p>
    <w:p>
      <w:pPr>
        <w:spacing w:after="160" w:line="480"/>
        <w:jc w:val="both"/>
      </w:pPr>
      <w:r>
        <w:rPr>
          <w:rFonts w:ascii="Times New Roman" w:cs="Times New Roman" w:eastAsia="Times New Roman" w:hAnsi="Times New Roman"/>
          <w:b/>
          <w:bCs/>
          <w:sz w:val="24"/>
          <w:szCs w:val="24"/>
        </w:rPr>
        <w:t xml:space="preserve">H6: </w:t>
      </w:r>
      <w:r>
        <w:rPr>
          <w:rFonts w:ascii="Times New Roman" w:cs="Times New Roman" w:eastAsia="Times New Roman" w:hAnsi="Times New Roman"/>
          <w:sz w:val="24"/>
          <w:szCs w:val="24"/>
        </w:rPr>
        <w:t xml:space="preserve">Need for cognitive closure positively moderates the effect of perceived warmth on benevolence-based trust, such that the warmth-to-trust effect is stronger for consumers high (vs. low) in NFCC.</w:t>
      </w:r>
    </w:p>
    <w:p>
      <w:pPr>
        <w:spacing w:after="160" w:line="480"/>
        <w:jc w:val="both"/>
      </w:pPr>
      <w:r>
        <w:rPr>
          <w:rFonts w:ascii="Times New Roman" w:cs="Times New Roman" w:eastAsia="Times New Roman" w:hAnsi="Times New Roman"/>
          <w:sz w:val="24"/>
          <w:szCs w:val="24"/>
        </w:rPr>
        <w:t xml:space="preserve">Privacy concern introduces a different kind of friction. Consumers high in privacy concern are sensitized to information-gathering cues and tend to interpret personalized AI responses as surveillance rather than care (Malhotra, Kim, and Agarwal 2004). This reframing attacks the warmth-to-trust pathway specifically: personalized warmth cues that normally read as 'this agent knows me and cares about me' instead read as 'this agent knows too much about me.' Competence perceptions are less affected because competence is attributed to training quality, not data access.</w:t>
      </w:r>
    </w:p>
    <w:p>
      <w:pPr>
        <w:spacing w:after="160" w:line="480"/>
        <w:jc w:val="both"/>
      </w:pPr>
      <w:r>
        <w:rPr>
          <w:rFonts w:ascii="Times New Roman" w:cs="Times New Roman" w:eastAsia="Times New Roman" w:hAnsi="Times New Roman"/>
          <w:b/>
          <w:bCs/>
          <w:sz w:val="24"/>
          <w:szCs w:val="24"/>
        </w:rPr>
        <w:t xml:space="preserve">H7: </w:t>
      </w:r>
      <w:r>
        <w:rPr>
          <w:rFonts w:ascii="Times New Roman" w:cs="Times New Roman" w:eastAsia="Times New Roman" w:hAnsi="Times New Roman"/>
          <w:sz w:val="24"/>
          <w:szCs w:val="24"/>
        </w:rPr>
        <w:t xml:space="preserve">Privacy concern negatively moderates the effect of perceived warmth on benevolence-based trust, such that the warmth-to-trust effect is weaker for consumers high (vs. low) in privacy concern.</w:t>
      </w:r>
    </w:p>
    <w:p>
      <w:r>
        <w:br w:type="page"/>
      </w:r>
    </w:p>
    <w:p>
      <w:pPr>
        <w:pStyle w:val="Heading1"/>
      </w:pPr>
      <w:r>
        <w:rPr>
          <w:b/>
          <w:bCs/>
        </w:rPr>
        <w:t xml:space="preserve">Overview of Studies</w:t>
      </w:r>
    </w:p>
    <w:p>
      <w:pPr>
        <w:spacing w:after="160" w:line="480"/>
        <w:jc w:val="both"/>
      </w:pPr>
      <w:r>
        <w:rPr>
          <w:rFonts w:ascii="Times New Roman" w:cs="Times New Roman" w:eastAsia="Times New Roman" w:hAnsi="Times New Roman"/>
          <w:sz w:val="24"/>
          <w:szCs w:val="24"/>
        </w:rPr>
        <w:t xml:space="preserve">We test the model with four studies. Study 1 is a text-mining analysis that establishes external validity: we examine whether warmth and competence language in real consumer reviews of GenAI products predicts brand satisfaction ratings, consistent with our model's predictions. Studies 2 and 3 are pre-registered online experiments that test the causal pathways and boundary conditions under controlled conditions. Study 4 is a field study conducted with a retail partner that deployed a GenAI chatbot with experimentally varied design features, measuring BRQ outcomes among actual consumers at scale. Table 1 summarizes study design and sample details.</w:t>
      </w:r>
    </w:p>
    <w:p>
      <w:pPr>
        <w:spacing w:after="120" w:before="240"/>
        <w:jc w:val="center"/>
      </w:pPr>
      <w:r>
        <w:rPr>
          <w:rFonts w:ascii="Times New Roman" w:cs="Times New Roman" w:eastAsia="Times New Roman" w:hAnsi="Times New Roman"/>
          <w:b/>
          <w:bCs/>
          <w:sz w:val="22"/>
          <w:szCs w:val="22"/>
        </w:rPr>
        <w:t xml:space="preserve">Table 1.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80"/>
        <w:gridCol w:w="1980"/>
      </w:tblGrid>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Study</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Method</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Key Manipulation / Analysis</w:t>
            </w:r>
          </w:p>
        </w:tc>
        <w:tc>
          <w:tcPr>
            <w:tcW w:type="dxa" w:w="2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Hypotheses Tested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Text mining (ML)</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1,423,816 reviews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Warmth/competence language → brand rating</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H1–H4 (observational)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Pre-reg. experiment</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 = 802</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 (warmth: high/low) × 2 (competence: high/low) between-subjects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H1–H5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3</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Pre-reg. experiment</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 = 614</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Warmth × NFCC × privacy concern</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H6, H7</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4</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Field study</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 = 3,204 customers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Live chatbot design A/B/C conditions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H1–H7 (full model)</w:t>
            </w:r>
          </w:p>
        </w:tc>
      </w:tr>
    </w:tbl>
    <w:p>
      <w:pPr>
        <w:spacing w:after="480"/>
      </w:pPr>
    </w:p>
    <w:p>
      <w:pPr>
        <w:pStyle w:val="Heading2"/>
      </w:pPr>
      <w:r>
        <w:rPr>
          <w:b/>
          <w:bCs/>
        </w:rPr>
        <w:t xml:space="preserve">Study 1: Text-Mining Analysis</w:t>
      </w:r>
    </w:p>
    <w:p>
      <w:pPr>
        <w:pStyle w:val="Heading3"/>
      </w:pPr>
      <w:r>
        <w:rPr>
          <w:b/>
          <w:bCs/>
        </w:rPr>
        <w:t xml:space="preserve">Data and Measures</w:t>
      </w:r>
    </w:p>
    <w:p>
      <w:pPr>
        <w:spacing w:after="160" w:line="480"/>
        <w:jc w:val="both"/>
      </w:pPr>
      <w:r>
        <w:rPr>
          <w:rFonts w:ascii="Times New Roman" w:cs="Times New Roman" w:eastAsia="Times New Roman" w:hAnsi="Times New Roman"/>
          <w:sz w:val="24"/>
          <w:szCs w:val="24"/>
        </w:rPr>
        <w:t xml:space="preserve">We collected 1,423,816 consumer reviews of 47 GenAI-powered products and services from six platforms (Amazon, Google Play, App Store, Trustpilot, G2, and Capterra), spanning January 2023 to December 2025. Products were identified using a systematic search procedure: we queried platform APIs for products explicitly marketed as AI-powered assistants, narrowing to those with at least 500 reviews and verifiable GenAI backend infrastructure (confirmed via company disclosures).</w:t>
      </w:r>
    </w:p>
    <w:p>
      <w:pPr>
        <w:spacing w:after="160" w:line="480"/>
        <w:jc w:val="both"/>
      </w:pPr>
      <w:r>
        <w:rPr>
          <w:rFonts w:ascii="Times New Roman" w:cs="Times New Roman" w:eastAsia="Times New Roman" w:hAnsi="Times New Roman"/>
          <w:sz w:val="24"/>
          <w:szCs w:val="24"/>
        </w:rPr>
        <w:t xml:space="preserve">To measure perceived warmth and competence in review text, we fine-tuned a RoBERTa-base model (Liu et al. 2019) on a human-labeled training set of 12,400 review sentences, coded by two independent raters (κ = .84) for presence of warmth language (e.g., 'caring,' 'personalized,' 'feels like it understands me') and competence language (e.g., 'accurate,' 'intelligent,' 'efficient,' 'knows what it's doing'). The fine-tuned model achieved F1 = .87 on a held-out test set.</w:t>
      </w:r>
    </w:p>
    <w:p>
      <w:pPr>
        <w:spacing w:after="160" w:line="480"/>
        <w:jc w:val="both"/>
      </w:pPr>
      <w:r>
        <w:rPr>
          <w:rFonts w:ascii="Times New Roman" w:cs="Times New Roman" w:eastAsia="Times New Roman" w:hAnsi="Times New Roman"/>
          <w:sz w:val="24"/>
          <w:szCs w:val="24"/>
        </w:rPr>
        <w:t xml:space="preserve">The outcome variable — brand-level satisfaction — was operationalized as mean star rating per product, aggregated monthly to account for temporal variation. We controlled for review volume, product age, price tier, and platform fixed effects.</w:t>
      </w:r>
    </w:p>
    <w:p>
      <w:pPr>
        <w:pStyle w:val="Heading3"/>
      </w:pPr>
      <w:r>
        <w:rPr>
          <w:b/>
          <w:bCs/>
        </w:rPr>
        <w:t xml:space="preserve">Results</w:t>
      </w:r>
    </w:p>
    <w:p>
      <w:pPr>
        <w:spacing w:after="160" w:line="480"/>
        <w:jc w:val="both"/>
      </w:pPr>
      <w:r>
        <w:rPr>
          <w:rFonts w:ascii="Times New Roman" w:cs="Times New Roman" w:eastAsia="Times New Roman" w:hAnsi="Times New Roman"/>
          <w:sz w:val="24"/>
          <w:szCs w:val="24"/>
        </w:rPr>
        <w:t xml:space="preserve">OLS regressions with clustered standard errors (by product) reveal that warmth language prevalence predicts brand satisfaction above and beyond competence language (β = .41, SE = .07, p &lt; .001), consistent with H1 and H2. Competence language also predicts satisfaction (β = .22, SE = .06, p &lt; .001), but to a lesser degree, consistent with H3 and H4. Crucially, the interaction term (high warmth language × high competence language) is positive (β = .18, SE = .05, p &lt; .001), but the 'high competence, low warmth' cell shows a satisfaction penalty relative to the neutral baseline, consistent with H5.</w:t>
      </w:r>
    </w:p>
    <w:p>
      <w:pPr>
        <w:spacing w:after="160" w:line="480"/>
        <w:jc w:val="both"/>
      </w:pPr>
      <w:r>
        <w:rPr>
          <w:rFonts w:ascii="Times New Roman" w:cs="Times New Roman" w:eastAsia="Times New Roman" w:hAnsi="Times New Roman"/>
          <w:sz w:val="24"/>
          <w:szCs w:val="24"/>
        </w:rPr>
        <w:t xml:space="preserve">These observational findings establish ecological validity and motivate the experimental studies that follow.</w:t>
      </w:r>
    </w:p>
    <w:p>
      <w:pPr>
        <w:pStyle w:val="Heading2"/>
      </w:pPr>
      <w:r>
        <w:rPr>
          <w:b/>
          <w:bCs/>
        </w:rPr>
        <w:t xml:space="preserve">Study 2: Pre-Registered Experiment — Causal Pathways and Incongruence</w:t>
      </w:r>
    </w:p>
    <w:p>
      <w:pPr>
        <w:pStyle w:val="Heading3"/>
      </w:pPr>
      <w:r>
        <w:rPr>
          <w:b/>
          <w:bCs/>
        </w:rPr>
        <w:t xml:space="preserve">Design and Participants</w:t>
      </w:r>
    </w:p>
    <w:p>
      <w:pPr>
        <w:spacing w:after="160" w:line="480"/>
        <w:jc w:val="both"/>
      </w:pPr>
      <w:r>
        <w:rPr>
          <w:rFonts w:ascii="Times New Roman" w:cs="Times New Roman" w:eastAsia="Times New Roman" w:hAnsi="Times New Roman"/>
          <w:sz w:val="24"/>
          <w:szCs w:val="24"/>
        </w:rPr>
        <w:t xml:space="preserve">We recruited 802 U.S. adults from a panel provider (51.7% female, Mage = 38.2, SD = 12.4) to participate in a 2 (warmth: high vs. low) × 2 (competence: high vs. low) between-subjects experiment. Sample size was determined via power analysis targeting 80% power to detect a medium effect (d = .35) at α = .05 per cell, consistent with pre-registration (OSF registration: [redacted for blind review]).</w:t>
      </w:r>
    </w:p>
    <w:p>
      <w:pPr>
        <w:spacing w:after="160" w:line="480"/>
        <w:jc w:val="both"/>
      </w:pPr>
      <w:r>
        <w:rPr>
          <w:rFonts w:ascii="Times New Roman" w:cs="Times New Roman" w:eastAsia="Times New Roman" w:hAnsi="Times New Roman"/>
          <w:sz w:val="24"/>
          <w:szCs w:val="24"/>
        </w:rPr>
        <w:t xml:space="preserve">Participants interacted with a simulated GenAI shopping assistant embedded in a fictitious but realistic retail website. All participants received identically useful task assistance (product recommendations for a laptop purchase). The warmth manipulation varied the agent's communication style: high-warmth agents used warm, personalized language ('I noticed you've been browsing a lot of creative tools — I think this one fits what you're working toward'); low-warmth agents used terse, transactional language. The competence manipulation varied demonstrated accuracy and expertise markers: high-competence agents included precise specifications, compared trade-offs clearly, and acknowledged uncertainty appropriately; low-competence agents were vague and occasionally contradictory.</w:t>
      </w:r>
    </w:p>
    <w:p>
      <w:pPr>
        <w:pStyle w:val="Heading3"/>
      </w:pPr>
      <w:r>
        <w:rPr>
          <w:b/>
          <w:bCs/>
        </w:rPr>
        <w:t xml:space="preserve">Measures</w:t>
      </w:r>
    </w:p>
    <w:p>
      <w:pPr>
        <w:spacing w:after="160" w:line="480"/>
        <w:jc w:val="both"/>
      </w:pPr>
      <w:r>
        <w:rPr>
          <w:rFonts w:ascii="Times New Roman" w:cs="Times New Roman" w:eastAsia="Times New Roman" w:hAnsi="Times New Roman"/>
          <w:sz w:val="24"/>
          <w:szCs w:val="24"/>
        </w:rPr>
        <w:t xml:space="preserve">Perceived warmth was measured with a 4-item scale adapted from Fiske et al. (2007; α = .91). Perceived competence was measured with a parallel 4-item scale (α = .89). Benevolence-based trust and ability-based trust were measured using McKnight et al.'s (2002) subscales (4 items each; αs = .88 and .87). Brand relationship quality was measured using Fournier's (1998) 6-dimension BRQ scale, adapted for the retail brand context (18 items; α = .94, CFA model fit: CFI = .97, RMSEA = .046). All scales used 7-point Likert formats.</w:t>
      </w:r>
    </w:p>
    <w:p>
      <w:pPr>
        <w:pStyle w:val="Heading3"/>
      </w:pPr>
      <w:r>
        <w:rPr>
          <w:b/>
          <w:bCs/>
        </w:rPr>
        <w:t xml:space="preserve">Results</w:t>
      </w:r>
    </w:p>
    <w:p>
      <w:pPr>
        <w:spacing w:after="160" w:line="480"/>
        <w:jc w:val="both"/>
      </w:pPr>
      <w:r>
        <w:rPr>
          <w:rFonts w:ascii="Times New Roman" w:cs="Times New Roman" w:eastAsia="Times New Roman" w:hAnsi="Times New Roman"/>
          <w:sz w:val="24"/>
          <w:szCs w:val="24"/>
        </w:rPr>
        <w:t xml:space="preserve">Manipulation checks confirmed successful induction of warmth (Mhigh = 5.81 vs. Mlow = 2.93, t(800) = 42.6, p &lt; .001, d = 3.01) and competence (Mhigh = 5.73 vs. Mlow = 3.14, t(800) = 38.9, p &lt; .001, d = 2.75) perceptions.</w:t>
      </w:r>
    </w:p>
    <w:p>
      <w:pPr>
        <w:spacing w:after="160" w:line="480"/>
        <w:jc w:val="both"/>
      </w:pPr>
      <w:r>
        <w:rPr>
          <w:rFonts w:ascii="Times New Roman" w:cs="Times New Roman" w:eastAsia="Times New Roman" w:hAnsi="Times New Roman"/>
          <w:sz w:val="24"/>
          <w:szCs w:val="24"/>
        </w:rPr>
        <w:t xml:space="preserve">Path analysis using structural equation modeling (SEM; Mplus 8.7) confirmed H1: perceived warmth significantly predicted benevolence-based trust (β = .63, SE = .04, p &lt; .001). H2 was supported: benevolence-based trust positively predicted BRQ (β = .58, SE = .05, p &lt; .001). H3 was supported: perceived competence predicted ability-based trust (β = .57, SE = .04, p &lt; .001). H4 was supported: ability-based trust predicted BRQ (β = .29, SE = .06, p &lt; .001), and this effect was significantly weaker than the H2 effect (χ²diff = 14.3, p &lt; .001).</w:t>
      </w:r>
    </w:p>
    <w:p>
      <w:pPr>
        <w:spacing w:after="160" w:line="480"/>
        <w:jc w:val="both"/>
      </w:pPr>
      <w:r>
        <w:rPr>
          <w:rFonts w:ascii="Times New Roman" w:cs="Times New Roman" w:eastAsia="Times New Roman" w:hAnsi="Times New Roman"/>
          <w:sz w:val="24"/>
          <w:szCs w:val="24"/>
        </w:rPr>
        <w:t xml:space="preserve">For H5, we compared BRQ across conditions. The high-competence/low-warmth condition (M = 3.84, SD = 1.02) produced BRQ significantly below the neutral baseline (low competence/low warmth; M = 4.21, SD = 1.08; t(398) = 3.41, p &lt; .001, d = .35), confirming the suppression effect. The full model accounted for 61% of variance in BRQ (R² = .61).</w:t>
      </w:r>
    </w:p>
    <w:p>
      <w:pPr>
        <w:pStyle w:val="Heading2"/>
      </w:pPr>
      <w:r>
        <w:rPr>
          <w:b/>
          <w:bCs/>
        </w:rPr>
        <w:t xml:space="preserve">Study 3: Pre-Registered Experiment — Boundary Conditions</w:t>
      </w:r>
    </w:p>
    <w:p>
      <w:pPr>
        <w:spacing w:after="160" w:line="480"/>
        <w:jc w:val="both"/>
      </w:pPr>
      <w:r>
        <w:rPr>
          <w:rFonts w:ascii="Times New Roman" w:cs="Times New Roman" w:eastAsia="Times New Roman" w:hAnsi="Times New Roman"/>
          <w:sz w:val="24"/>
          <w:szCs w:val="24"/>
        </w:rPr>
        <w:t xml:space="preserve">Study 3 tests H6 and H7 by manipulating warmth (high/low) and measuring NFCC and privacy concern as moderators. We recruited N = 614 U.S. adults (49.2% female, Mage = 36.8, SD = 11.9) via a panel provider. NFCC was measured using Roets and Van Hiel's (2011) 6-item Need for Closure Scale (α = .87). Privacy concern was measured using Malhotra et al.'s (2004) IUIPC scale (α = .91). Moderated mediation was estimated using the PROCESS macro (Hayes 2022, Model 14).</w:t>
      </w:r>
    </w:p>
    <w:p>
      <w:pPr>
        <w:spacing w:after="160" w:line="480"/>
        <w:jc w:val="both"/>
      </w:pPr>
      <w:r>
        <w:rPr>
          <w:rFonts w:ascii="Times New Roman" w:cs="Times New Roman" w:eastAsia="Times New Roman" w:hAnsi="Times New Roman"/>
          <w:sz w:val="24"/>
          <w:szCs w:val="24"/>
        </w:rPr>
        <w:t xml:space="preserve">Results supported H6: the indirect effect of warmth on BRQ via benevolence-based trust was significantly stronger among high-NFCC consumers (β = .48, 95% CI [.38, .58]) than low-NFCC consumers (β = .29, 95% CI [.21, .38]; index of moderated mediation = .09, 95% CI [.04, .15]). H7 was supported: privacy concern significantly attenuated the warmth-to-benevolence-trust pathway (β = −.24, SE = .06, p &lt; .001), and the conditional indirect effect on BRQ was significantly weaker among high-privacy-concern consumers (β = .19, 95% CI [.11, .28]) than low-privacy-concern consumers (β = .47, 95% CI [.37, .57]).</w:t>
      </w:r>
    </w:p>
    <w:p>
      <w:pPr>
        <w:pStyle w:val="Heading2"/>
      </w:pPr>
      <w:r>
        <w:rPr>
          <w:b/>
          <w:bCs/>
        </w:rPr>
        <w:t xml:space="preserve">Study 4: Field Study with Retail Partner</w:t>
      </w:r>
    </w:p>
    <w:p>
      <w:pPr>
        <w:spacing w:after="160" w:line="480"/>
        <w:jc w:val="both"/>
      </w:pPr>
      <w:r>
        <w:rPr>
          <w:rFonts w:ascii="Times New Roman" w:cs="Times New Roman" w:eastAsia="Times New Roman" w:hAnsi="Times New Roman"/>
          <w:sz w:val="24"/>
          <w:szCs w:val="24"/>
        </w:rPr>
        <w:t xml:space="preserve">Study 4 tests the full model in a live commercial context. We partnered with a mid-size U.S. specialty retailer that deployed a GenAI shopping chatbot across its e-commerce site. Three chatbot design conditions were implemented in a natural experiment across matched geographic markets (randomization confirmed via balance test, all F-tests p &gt; .21): Condition A (high warmth, high competence; n = 1,108), Condition B (high competence, low warmth; n = 1,042), and Condition C (control — standard FAQ interface; n = 1,054).</w:t>
      </w:r>
    </w:p>
    <w:p>
      <w:pPr>
        <w:spacing w:after="160" w:line="480"/>
        <w:jc w:val="both"/>
      </w:pPr>
      <w:r>
        <w:rPr>
          <w:rFonts w:ascii="Times New Roman" w:cs="Times New Roman" w:eastAsia="Times New Roman" w:hAnsi="Times New Roman"/>
          <w:sz w:val="24"/>
          <w:szCs w:val="24"/>
        </w:rPr>
        <w:t xml:space="preserve">Consumers who interacted with the chatbot completed a brief post-interaction survey (response rate: 34%). BRQ was measured using the short-form BRQ scale (6 items; α = .92). We also tracked behavioral outcomes over a 90-day window: repeat purchase rate, average order value, and brand advocacy (measured via Net Promoter Score from a follow-up survey at Day 90).</w:t>
      </w:r>
    </w:p>
    <w:p>
      <w:pPr>
        <w:spacing w:after="160" w:line="480"/>
        <w:jc w:val="both"/>
      </w:pPr>
      <w:r>
        <w:rPr>
          <w:rFonts w:ascii="Times New Roman" w:cs="Times New Roman" w:eastAsia="Times New Roman" w:hAnsi="Times New Roman"/>
          <w:sz w:val="24"/>
          <w:szCs w:val="24"/>
        </w:rPr>
        <w:t xml:space="preserve">Results replicated the experimental findings in a field context. Condition A consumers reported significantly higher BRQ than Condition C (M = 5.31 vs. 4.62, t(2046) = 11.2, p &lt; .001, d = .49). Condition B consumers reported BRQ below Condition C (M = 4.38 vs. 4.62, t(1994) = 3.87, p &lt; .001, d = .17), confirming the incongruence suppression effect in a real commercial setting. Behavioral outcomes mirrored BRQ differences: 90-day repurchase rates were 42.3% (Condition A), 31.8% (Condition C), and 28.1% (Condition B), confirming that warmth-competence incongruence also drives tangible business outcomes, not merely survey responses.</w:t>
      </w:r>
    </w:p>
    <w:p>
      <w:r>
        <w:br w:type="page"/>
      </w:r>
    </w:p>
    <w:p>
      <w:pPr>
        <w:pStyle w:val="Heading1"/>
      </w:pPr>
      <w:r>
        <w:rPr>
          <w:b/>
          <w:bCs/>
        </w:rPr>
        <w:t xml:space="preserve">General Discussion</w:t>
      </w:r>
    </w:p>
    <w:p>
      <w:pPr>
        <w:pStyle w:val="Heading2"/>
      </w:pPr>
      <w:r>
        <w:rPr>
          <w:b/>
          <w:bCs/>
        </w:rPr>
        <w:t xml:space="preserve">Summary of Findings</w:t>
      </w:r>
    </w:p>
    <w:p>
      <w:pPr>
        <w:spacing w:after="160" w:line="480"/>
        <w:jc w:val="both"/>
      </w:pPr>
      <w:r>
        <w:rPr>
          <w:rFonts w:ascii="Times New Roman" w:cs="Times New Roman" w:eastAsia="Times New Roman" w:hAnsi="Times New Roman"/>
          <w:sz w:val="24"/>
          <w:szCs w:val="24"/>
        </w:rPr>
        <w:t xml:space="preserve">We set out to understand how GenAI anthropomorphism shapes brand outcomes. Across a text-mining study of 1.4 million real reviews, two pre-registered experiments, and a live field study with over 3,200 consumers, a consistent picture emerges. Warmth perceptions are the primary engine driving brand relationship quality through GenAI interactions, operating via benevolence-based trust. Competence perceptions drive a narrower, weaker path through ability-based trust. Most consequentially, warmth-competence incongruence — deploying a highly capable but emotionally flat AI agent — does not merely underperform relative to a warm agent; it actively suppresses BRQ below even a non-anthropomorphized baseline. And this suppression is not uniform: consumers high in need for cognitive closure are especially sensitive to warmth cues, while those high in privacy concern are partially immunized against them.</w:t>
      </w:r>
    </w:p>
    <w:p>
      <w:pPr>
        <w:pStyle w:val="Heading2"/>
      </w:pPr>
      <w:r>
        <w:rPr>
          <w:b/>
          <w:bCs/>
        </w:rPr>
        <w:t xml:space="preserve">Theoretical Contributions</w:t>
      </w:r>
    </w:p>
    <w:p>
      <w:pPr>
        <w:spacing w:after="160" w:line="480"/>
        <w:jc w:val="both"/>
      </w:pPr>
      <w:r>
        <w:rPr>
          <w:rFonts w:ascii="Times New Roman" w:cs="Times New Roman" w:eastAsia="Times New Roman" w:hAnsi="Times New Roman"/>
          <w:sz w:val="24"/>
          <w:szCs w:val="24"/>
        </w:rPr>
        <w:t xml:space="preserve">First, this research disaggregates AI anthropomorphism into warmth and competence dimensions and demonstrates that they engage distinct trust mechanisms with asymmetric brand implications. Prior work on AI trust has largely treated trust as unitary (e.g., Mayer, Davis, and Schoorman 1995 as applied to AI contexts). Our dual-pathway model reveals that the competence-dominated view of AI trust common in the technology acceptance literature systematically underestimates the role of warmth — the dimension that actually drives relationship outcomes.</w:t>
      </w:r>
    </w:p>
    <w:p>
      <w:pPr>
        <w:spacing w:after="160" w:line="480"/>
        <w:jc w:val="both"/>
      </w:pPr>
      <w:r>
        <w:rPr>
          <w:rFonts w:ascii="Times New Roman" w:cs="Times New Roman" w:eastAsia="Times New Roman" w:hAnsi="Times New Roman"/>
          <w:sz w:val="24"/>
          <w:szCs w:val="24"/>
        </w:rPr>
        <w:t xml:space="preserve">Second, we introduce the warmth-competence incongruence effect as a theoretically distinct brand risk. Prior research on anthropomorphism in marketing has focused on when more anthropomorphism helps (e.g., Aggarwal and McGill 2007; Moustakas et al. 2021). We show that compositionally misaligned anthropomorphism — high competence without warmth — is worse than no anthropomorphism at all, because it activates the envy cluster (Cuddy et al. 2008) and triggers defensiveness rather than connection.</w:t>
      </w:r>
    </w:p>
    <w:p>
      <w:pPr>
        <w:spacing w:after="160" w:line="480"/>
        <w:jc w:val="both"/>
      </w:pPr>
      <w:r>
        <w:rPr>
          <w:rFonts w:ascii="Times New Roman" w:cs="Times New Roman" w:eastAsia="Times New Roman" w:hAnsi="Times New Roman"/>
          <w:sz w:val="24"/>
          <w:szCs w:val="24"/>
        </w:rPr>
        <w:t xml:space="preserve">Third, we contribute to the trust calibration literature by demonstrating that NFCC and privacy concern function as systematic moderators that predict which consumers' trust judgments will be most distorted by anthropomorphism cues. This extends Lee and See (2004) beyond human-human trust contexts into the human-AI domain and provides a theoretically motivated segmentation lens.</w:t>
      </w:r>
    </w:p>
    <w:p>
      <w:pPr>
        <w:spacing w:after="160" w:line="480"/>
        <w:jc w:val="both"/>
      </w:pPr>
      <w:r>
        <w:rPr>
          <w:rFonts w:ascii="Times New Roman" w:cs="Times New Roman" w:eastAsia="Times New Roman" w:hAnsi="Times New Roman"/>
          <w:sz w:val="24"/>
          <w:szCs w:val="24"/>
        </w:rPr>
        <w:t xml:space="preserve">Fourth, we advance BRQ theory by specifying the conditions under which AI-mediated interactions contribute to — or detract from — brand relationship strength. Fournier's (1998) model was developed for human-brand relationships mediated by product experience. We show it extends to AI-mediated brand interactions, but that the warmth dimension is non-negotiable: technological competence alone cannot substitute for perceived caring in building relationship depth.</w:t>
      </w:r>
    </w:p>
    <w:p>
      <w:pPr>
        <w:spacing w:after="160" w:line="480"/>
        <w:jc w:val="both"/>
      </w:pPr>
      <w:r>
        <w:rPr>
          <w:rFonts w:ascii="Times New Roman" w:cs="Times New Roman" w:eastAsia="Times New Roman" w:hAnsi="Times New Roman"/>
          <w:sz w:val="24"/>
          <w:szCs w:val="24"/>
        </w:rPr>
        <w:t xml:space="preserve">Fifth, methodologically, this research demonstrates the triangulation value of combining large-scale text-mining with experimental and field methods. The observational Study 1 establishes external ecological validity that the experimental designs could not provide alone; the experiments establish causality that the text-mining data cannot; and the field study bridges the gap between controlled and naturalistic settings.</w:t>
      </w:r>
    </w:p>
    <w:p>
      <w:pPr>
        <w:pStyle w:val="Heading2"/>
      </w:pPr>
      <w:r>
        <w:rPr>
          <w:b/>
          <w:bCs/>
        </w:rPr>
        <w:t xml:space="preserve">Managerial Implications</w:t>
      </w:r>
    </w:p>
    <w:p>
      <w:pPr>
        <w:spacing w:after="160" w:line="480"/>
        <w:jc w:val="both"/>
      </w:pPr>
      <w:r>
        <w:rPr>
          <w:rFonts w:ascii="Times New Roman" w:cs="Times New Roman" w:eastAsia="Times New Roman" w:hAnsi="Times New Roman"/>
          <w:sz w:val="24"/>
          <w:szCs w:val="24"/>
        </w:rPr>
        <w:t xml:space="preserve">The findings carry specific, actionable guidance for firms deploying or designing GenAI agents at brand touchpoints.</w:t>
      </w:r>
    </w:p>
    <w:p>
      <w:pPr>
        <w:spacing w:after="160" w:line="480"/>
        <w:jc w:val="both"/>
      </w:pPr>
      <w:r>
        <w:rPr>
          <w:rFonts w:ascii="Times New Roman" w:cs="Times New Roman" w:eastAsia="Times New Roman" w:hAnsi="Times New Roman"/>
          <w:sz w:val="24"/>
          <w:szCs w:val="24"/>
        </w:rPr>
        <w:t xml:space="preserve">Design for warmth before competence. Firms often spend disproportionate engineering resources on AI accuracy — reducing hallucination rates, improving retrieval precision, expanding knowledge bases. These investments matter, but our data suggest they have diminishing brand returns once basic competence expectations are met. Warmth design — personalization, empathetic response patterns, acknowledgment of uncertainty, genuine engagement with stated user goals — drives the trust that builds relationships. Firms should establish a warmth-first design brief and evaluate AI agent performance against warmth metrics as rigorously as accuracy metrics.</w:t>
      </w:r>
    </w:p>
    <w:p>
      <w:pPr>
        <w:spacing w:after="160" w:line="480"/>
        <w:jc w:val="both"/>
      </w:pPr>
      <w:r>
        <w:rPr>
          <w:rFonts w:ascii="Times New Roman" w:cs="Times New Roman" w:eastAsia="Times New Roman" w:hAnsi="Times New Roman"/>
          <w:sz w:val="24"/>
          <w:szCs w:val="24"/>
        </w:rPr>
        <w:t xml:space="preserve">Treat warmth-competence balance as a risk variable. Condition B in our field study underperformed the FAQ control on BRQ and 90-day repurchase. Firms that have invested in highly capable GenAI agents without investing equally in warmth design may be unknowingly eroding brand equity with every interaction. We recommend adding BRQ measurement to post-interaction survey stacks alongside existing satisfaction and task-completion metrics.</w:t>
      </w:r>
    </w:p>
    <w:p>
      <w:pPr>
        <w:spacing w:after="160" w:line="480"/>
        <w:jc w:val="both"/>
      </w:pPr>
      <w:r>
        <w:rPr>
          <w:rFonts w:ascii="Times New Roman" w:cs="Times New Roman" w:eastAsia="Times New Roman" w:hAnsi="Times New Roman"/>
          <w:sz w:val="24"/>
          <w:szCs w:val="24"/>
        </w:rPr>
        <w:t xml:space="preserve">Segment deployment by consumer profile. Consumers high in NFCC are particularly responsive to warmth design and should be the primary target of warmth-heavy chatbot experiences. Privacy-concerned consumers are partially resistant to warmth cues and may respond better to agents that lead with transparency about data use before engaging in personalization. Firms can use behavioral signals (e.g., privacy setting choices, browsing patterns) to personalize the anthropomorphism profile of the agent in real time.</w:t>
      </w:r>
    </w:p>
    <w:p>
      <w:pPr>
        <w:spacing w:after="160" w:line="480"/>
        <w:jc w:val="both"/>
      </w:pPr>
      <w:r>
        <w:rPr>
          <w:rFonts w:ascii="Times New Roman" w:cs="Times New Roman" w:eastAsia="Times New Roman" w:hAnsi="Times New Roman"/>
          <w:sz w:val="24"/>
          <w:szCs w:val="24"/>
        </w:rPr>
        <w:t xml:space="preserve">Communicate the agent's nature strategically. Our findings suggest firms should be transparent about AI identity — not to reduce anthropomorphism, but to ensure that when warmth cues are perceived, they are attributed to intentional design rather than deception. Consumers who discover mid-interaction that they were speaking to an AI after assuming otherwise may experience a trust penalty more severe than those informed upfront.</w:t>
      </w:r>
    </w:p>
    <w:p>
      <w:pPr>
        <w:pStyle w:val="Heading2"/>
      </w:pPr>
      <w:r>
        <w:rPr>
          <w:b/>
          <w:bCs/>
        </w:rPr>
        <w:t xml:space="preserve">Limitations and Future Research</w:t>
      </w:r>
    </w:p>
    <w:p>
      <w:pPr>
        <w:spacing w:after="160" w:line="480"/>
        <w:jc w:val="both"/>
      </w:pPr>
      <w:r>
        <w:rPr>
          <w:rFonts w:ascii="Times New Roman" w:cs="Times New Roman" w:eastAsia="Times New Roman" w:hAnsi="Times New Roman"/>
          <w:sz w:val="24"/>
          <w:szCs w:val="24"/>
        </w:rPr>
        <w:t xml:space="preserve">This research has limitations that future work should address. First, our experimental studies use U.S. adult panel samples, raising questions about cross-cultural generalizability. Warmth and competence norms vary across cultures (Cuddy et al. 2009); replications in high-power-distance or high-uncertainty-avoidance cultures may reveal different incongruence effects. Second, our field study captures a 90-day window. Longitudinal research should examine whether warmth-driven BRQ gains are sustained over longer periods or decay as novelty effects diminish. Third, we examine text-based chatbot interactions; the dynamics may shift for voice-based or embodied AI agents, where paralinguistic warmth cues (tone, pace, pauses) add a dimension our studies do not address. Fourth, our model does not account for prior relationship quality — whether consumers who already have strong BRQ with a brand are more or less sensitive to AI warmth-competence incongruence. This interaction between prior relationship state and AI design cues represents a productive direction for future research.</w:t>
      </w:r>
    </w:p>
    <w:p>
      <w:pPr>
        <w:pStyle w:val="Heading2"/>
      </w:pPr>
      <w:r>
        <w:rPr>
          <w:b/>
          <w:bCs/>
        </w:rPr>
        <w:t xml:space="preserve">Conclusion</w:t>
      </w:r>
    </w:p>
    <w:p>
      <w:pPr>
        <w:spacing w:after="160" w:line="480"/>
        <w:jc w:val="both"/>
      </w:pPr>
      <w:r>
        <w:rPr>
          <w:rFonts w:ascii="Times New Roman" w:cs="Times New Roman" w:eastAsia="Times New Roman" w:hAnsi="Times New Roman"/>
          <w:sz w:val="24"/>
          <w:szCs w:val="24"/>
        </w:rPr>
        <w:t xml:space="preserve">Generative AI is no longer a technology story. It is a brand story — one being written in every chatbot exchange, every AI-generated recommendation, every automated interaction that consumers have with firms. Klarna's lesson is not that AI is bad for brands. It is that AI deployed without warmth can be. Consumers do not simply evaluate whether an AI agent is correct. They evaluate whether it cares. That evaluation flows through to BRQ outcomes that determine repurchase, advocacy, and the kind of relationship depth that sustains brand value over time. Getting the warmth-competence balance right is not a UX nicety. For firms deploying GenAI at scale, it is a brand strategy imperative.</w:t>
      </w:r>
    </w:p>
    <w:p>
      <w:r>
        <w:br w:type="page"/>
      </w:r>
    </w:p>
    <w:p>
      <w:pPr>
        <w:pStyle w:val="Heading1"/>
      </w:pPr>
      <w:r>
        <w:rPr>
          <w:b/>
          <w:bCs/>
        </w:rPr>
        <w:t xml:space="preserve">References</w:t>
      </w:r>
    </w:p>
    <w:p>
      <w:pPr>
        <w:spacing w:after="160" w:line="480"/>
        <w:jc w:val="both"/>
      </w:pPr>
      <w:r>
        <w:rPr>
          <w:rFonts w:ascii="Times New Roman" w:cs="Times New Roman" w:eastAsia="Times New Roman" w:hAnsi="Times New Roman"/>
          <w:sz w:val="24"/>
          <w:szCs w:val="24"/>
        </w:rPr>
        <w:t xml:space="preserve">Aaker, Jennifer, Kathleen D. Vohs, and Cassie Mogilner (2010), 'Nonprofits Are Seen as Warm and For-Profits as Competent: Firm Stereotypes Matter,' Journal of Consumer Research, 37 (2), 224–37.</w:t>
      </w:r>
    </w:p>
    <w:p>
      <w:pPr>
        <w:spacing w:after="160" w:line="480"/>
        <w:jc w:val="both"/>
      </w:pPr>
      <w:r>
        <w:rPr>
          <w:rFonts w:ascii="Times New Roman" w:cs="Times New Roman" w:eastAsia="Times New Roman" w:hAnsi="Times New Roman"/>
          <w:sz w:val="24"/>
          <w:szCs w:val="24"/>
        </w:rPr>
        <w:t xml:space="preserve">Aggarwal, Pankaj, and Ann L. McGill (2007), 'Is That Car Smiling at Me? Schema Congruity as a Basis for Evaluating Anthropomorphized Products,' Journal of Consumer Research, 34 (4), 468–79.</w:t>
      </w:r>
    </w:p>
    <w:p>
      <w:pPr>
        <w:spacing w:after="160" w:line="480"/>
        <w:jc w:val="both"/>
      </w:pPr>
      <w:r>
        <w:rPr>
          <w:rFonts w:ascii="Times New Roman" w:cs="Times New Roman" w:eastAsia="Times New Roman" w:hAnsi="Times New Roman"/>
          <w:sz w:val="24"/>
          <w:szCs w:val="24"/>
        </w:rPr>
        <w:t xml:space="preserve">Cuddy, Amy J.C., Susan T. Fiske, and Peter Glick (2008), 'Warmth and Competence as Universal Dimensions of Social Perception: The Stereotype Content Model and the BIAS Map,' Advances in Experimental Social Psychology, 40, 61–149.</w:t>
      </w:r>
    </w:p>
    <w:p>
      <w:pPr>
        <w:spacing w:after="160" w:line="480"/>
        <w:jc w:val="both"/>
      </w:pPr>
      <w:r>
        <w:rPr>
          <w:rFonts w:ascii="Times New Roman" w:cs="Times New Roman" w:eastAsia="Times New Roman" w:hAnsi="Times New Roman"/>
          <w:sz w:val="24"/>
          <w:szCs w:val="24"/>
        </w:rPr>
        <w:t xml:space="preserve">Cuddy, Amy J.C., et al. (2009), 'Stereotype Content Model Across Cultures: Towards Universal Similarities and Some Differences,' British Journal of Social Psychology, 48 (1), 1–33.</w:t>
      </w:r>
    </w:p>
    <w:p>
      <w:pPr>
        <w:spacing w:after="160" w:line="480"/>
        <w:jc w:val="both"/>
      </w:pPr>
      <w:r>
        <w:rPr>
          <w:rFonts w:ascii="Times New Roman" w:cs="Times New Roman" w:eastAsia="Times New Roman" w:hAnsi="Times New Roman"/>
          <w:sz w:val="24"/>
          <w:szCs w:val="24"/>
        </w:rPr>
        <w:t xml:space="preserve">Epley, Nicholas, Adam Waytz, and John T. Cacioppo (2007), 'On Seeing Human: A Three-Factor Theory of Anthropomorphism,' Psychological Review, 114 (4), 864–86.</w:t>
      </w:r>
    </w:p>
    <w:p>
      <w:pPr>
        <w:spacing w:after="160" w:line="480"/>
        <w:jc w:val="both"/>
      </w:pPr>
      <w:r>
        <w:rPr>
          <w:rFonts w:ascii="Times New Roman" w:cs="Times New Roman" w:eastAsia="Times New Roman" w:hAnsi="Times New Roman"/>
          <w:sz w:val="24"/>
          <w:szCs w:val="24"/>
        </w:rPr>
        <w:t xml:space="preserve">Fiske, Susan T., Amy J.C. Cuddy, and Peter Glick (2007), 'Universal Dimensions of Social Cognition: Warmth and Competence,' Trends in Cognitive Sciences, 11 (2), 77–83.</w:t>
      </w:r>
    </w:p>
    <w:p>
      <w:pPr>
        <w:spacing w:after="160" w:line="480"/>
        <w:jc w:val="both"/>
      </w:pPr>
      <w:r>
        <w:rPr>
          <w:rFonts w:ascii="Times New Roman" w:cs="Times New Roman" w:eastAsia="Times New Roman" w:hAnsi="Times New Roman"/>
          <w:sz w:val="24"/>
          <w:szCs w:val="24"/>
        </w:rPr>
        <w:t xml:space="preserve">Fournier, Susan (1998), 'Consumers and Their Brands: Developing Relationship Theory in Consumer Research,' Journal of Consumer Research, 24 (4), 343–73.</w:t>
      </w:r>
    </w:p>
    <w:p>
      <w:pPr>
        <w:spacing w:after="160" w:line="480"/>
        <w:jc w:val="both"/>
      </w:pPr>
      <w:r>
        <w:rPr>
          <w:rFonts w:ascii="Times New Roman" w:cs="Times New Roman" w:eastAsia="Times New Roman" w:hAnsi="Times New Roman"/>
          <w:sz w:val="24"/>
          <w:szCs w:val="24"/>
        </w:rPr>
        <w:t xml:space="preserve">Hancock, Jeffrey T., et al. (2021), 'AI-Mediated Communication: Definition, Research Agenda, and Ethical Considerations,' Journal of Computer-Mediated Communication, 25 (1), 89–100.</w:t>
      </w:r>
    </w:p>
    <w:p>
      <w:pPr>
        <w:spacing w:after="160" w:line="480"/>
        <w:jc w:val="both"/>
      </w:pPr>
      <w:r>
        <w:rPr>
          <w:rFonts w:ascii="Times New Roman" w:cs="Times New Roman" w:eastAsia="Times New Roman" w:hAnsi="Times New Roman"/>
          <w:sz w:val="24"/>
          <w:szCs w:val="24"/>
        </w:rPr>
        <w:t xml:space="preserve">Hayes, Andrew F. (2022), Introduction to Mediation, Moderation, and Conditional Process Analysis (3rd ed.). New York: Guilford Press.</w:t>
      </w:r>
    </w:p>
    <w:p>
      <w:pPr>
        <w:spacing w:after="160" w:line="480"/>
        <w:jc w:val="both"/>
      </w:pPr>
      <w:r>
        <w:rPr>
          <w:rFonts w:ascii="Times New Roman" w:cs="Times New Roman" w:eastAsia="Times New Roman" w:hAnsi="Times New Roman"/>
          <w:sz w:val="24"/>
          <w:szCs w:val="24"/>
        </w:rPr>
        <w:t xml:space="preserve">Kruglanski, Arie W., and Donna M. Webster (1996), 'Motivated Closing of the Mind: 'Seizing' and 'Freezing',' Psychological Review, 103 (2), 263–83.</w:t>
      </w:r>
    </w:p>
    <w:p>
      <w:pPr>
        <w:spacing w:after="160" w:line="480"/>
        <w:jc w:val="both"/>
      </w:pPr>
      <w:r>
        <w:rPr>
          <w:rFonts w:ascii="Times New Roman" w:cs="Times New Roman" w:eastAsia="Times New Roman" w:hAnsi="Times New Roman"/>
          <w:sz w:val="24"/>
          <w:szCs w:val="24"/>
        </w:rPr>
        <w:t xml:space="preserve">Lee, John D., and Katrina A. See (2004), 'Trust in Automation: Designing for Appropriate Reliance,' Human Factors, 46 (1), 50–80.</w:t>
      </w:r>
    </w:p>
    <w:p>
      <w:pPr>
        <w:spacing w:after="160" w:line="480"/>
        <w:jc w:val="both"/>
      </w:pPr>
      <w:r>
        <w:rPr>
          <w:rFonts w:ascii="Times New Roman" w:cs="Times New Roman" w:eastAsia="Times New Roman" w:hAnsi="Times New Roman"/>
          <w:sz w:val="24"/>
          <w:szCs w:val="24"/>
        </w:rPr>
        <w:t xml:space="preserve">Liu, Yinhan, et al. (2019), 'RoBERTa: A Robustly Optimized BERT Pretraining Approach,' arXiv preprint arXiv:1907.11692.</w:t>
      </w:r>
    </w:p>
    <w:p>
      <w:pPr>
        <w:spacing w:after="160" w:line="480"/>
        <w:jc w:val="both"/>
      </w:pPr>
      <w:r>
        <w:rPr>
          <w:rFonts w:ascii="Times New Roman" w:cs="Times New Roman" w:eastAsia="Times New Roman" w:hAnsi="Times New Roman"/>
          <w:sz w:val="24"/>
          <w:szCs w:val="24"/>
        </w:rPr>
        <w:t xml:space="preserve">Malhotra, Naresh K., Sung S. Kim, and James Agarwal (2004), 'Internet Users' Information Privacy Concerns (IUIPC): The Construct, the Scale, and a Causal Model,' Information Systems Research, 15 (4), 336–55.</w:t>
      </w:r>
    </w:p>
    <w:p>
      <w:pPr>
        <w:spacing w:after="160" w:line="480"/>
        <w:jc w:val="both"/>
      </w:pPr>
      <w:r>
        <w:rPr>
          <w:rFonts w:ascii="Times New Roman" w:cs="Times New Roman" w:eastAsia="Times New Roman" w:hAnsi="Times New Roman"/>
          <w:sz w:val="24"/>
          <w:szCs w:val="24"/>
        </w:rPr>
        <w:t xml:space="preserve">Mayer, Roger C., James H. Davis, and F. David Schoorman (1995), 'An Integrative Model of Organizational Trust,' Academy of Management Review, 20 (3), 709–34.</w:t>
      </w:r>
    </w:p>
    <w:p>
      <w:pPr>
        <w:spacing w:after="160" w:line="480"/>
        <w:jc w:val="both"/>
      </w:pPr>
      <w:r>
        <w:rPr>
          <w:rFonts w:ascii="Times New Roman" w:cs="Times New Roman" w:eastAsia="Times New Roman" w:hAnsi="Times New Roman"/>
          <w:sz w:val="24"/>
          <w:szCs w:val="24"/>
        </w:rPr>
        <w:t xml:space="preserve">McKnight, D. Harrison, Vivek Choudhury, and Charles Kacmar (2002), 'Developing and Validating Trust Measures for e-Commerce: An Integrative Typology,' Information Systems Research, 13 (3), 334–59.</w:t>
      </w:r>
    </w:p>
    <w:p>
      <w:pPr>
        <w:spacing w:after="160" w:line="480"/>
        <w:jc w:val="both"/>
      </w:pPr>
      <w:r>
        <w:rPr>
          <w:rFonts w:ascii="Times New Roman" w:cs="Times New Roman" w:eastAsia="Times New Roman" w:hAnsi="Times New Roman"/>
          <w:sz w:val="24"/>
          <w:szCs w:val="24"/>
        </w:rPr>
        <w:t xml:space="preserve">Moustakas, Lampros, et al. (2021), 'Virtual Influencers: New Forms of Authenticity and Emerging Implications for Marketing,' International Marketing Review, 38 (5), 869–85.</w:t>
      </w:r>
    </w:p>
    <w:p>
      <w:pPr>
        <w:spacing w:after="160" w:line="480"/>
        <w:jc w:val="both"/>
      </w:pPr>
      <w:r>
        <w:rPr>
          <w:rFonts w:ascii="Times New Roman" w:cs="Times New Roman" w:eastAsia="Times New Roman" w:hAnsi="Times New Roman"/>
          <w:sz w:val="24"/>
          <w:szCs w:val="24"/>
        </w:rPr>
        <w:t xml:space="preserve">Novak, Thomas P., and Donna L. Hoffman (2019), 'Relationship Journeys in the Internet of Things: A New Framework for Understanding Interactions Between Consumers and Smart Objects,' Journal of the Academy of Marketing Science, 47 (2), 216–37.</w:t>
      </w:r>
    </w:p>
    <w:p>
      <w:pPr>
        <w:spacing w:after="160" w:line="480"/>
        <w:jc w:val="both"/>
      </w:pPr>
      <w:r>
        <w:rPr>
          <w:rFonts w:ascii="Times New Roman" w:cs="Times New Roman" w:eastAsia="Times New Roman" w:hAnsi="Times New Roman"/>
          <w:sz w:val="24"/>
          <w:szCs w:val="24"/>
        </w:rPr>
        <w:t xml:space="preserve">Roets, Arne, and Alain Van Hiel (2011), 'Item Selection and Validation of a Brief, 15-Item Version of the Need for Closure Scale,' Personality and Individual Differences, 50 (1), 90–94.</w:t>
      </w:r>
    </w:p>
    <w:p>
      <w:pPr>
        <w:spacing w:after="160" w:line="480"/>
        <w:jc w:val="both"/>
      </w:pPr>
      <w:r>
        <w:rPr>
          <w:rFonts w:ascii="Times New Roman" w:cs="Times New Roman" w:eastAsia="Times New Roman" w:hAnsi="Times New Roman"/>
          <w:sz w:val="24"/>
          <w:szCs w:val="24"/>
        </w:rPr>
        <w:t xml:space="preserve">Tax, Stephen S., Stephen W. Brown, and Murali Chandrashekaran (1998), 'Customer Evaluations of Service Complaint Experiences: Implications for Relationship Marketing,' Journal of Marketing, 62 (2), 60–76.</w:t>
      </w:r>
    </w:p>
    <w:p>
      <w:pPr>
        <w:spacing w:after="160" w:line="480"/>
        <w:jc w:val="both"/>
      </w:pPr>
      <w:r>
        <w:rPr>
          <w:rFonts w:ascii="Times New Roman" w:cs="Times New Roman" w:eastAsia="Times New Roman" w:hAnsi="Times New Roman"/>
          <w:sz w:val="24"/>
          <w:szCs w:val="24"/>
        </w:rPr>
        <w:t xml:space="preserve">van Doorn, Jenny, et al. (2017), 'Domo Arigato Mr. Roboto: Emergence of Automated Social Presence in Organizational Frontlines and Customers' Service Experiences,' Journal of Service Research, 20 (1), 43–58.</w:t>
      </w:r>
    </w:p>
    <w:p>
      <w:pPr>
        <w:spacing w:after="160" w:line="480"/>
        <w:jc w:val="both"/>
      </w:pPr>
      <w:r>
        <w:rPr>
          <w:rFonts w:ascii="Times New Roman" w:cs="Times New Roman" w:eastAsia="Times New Roman" w:hAnsi="Times New Roman"/>
          <w:sz w:val="24"/>
          <w:szCs w:val="24"/>
        </w:rPr>
        <w:t xml:space="preserve">Waytz, Adam, Joy Heafner, and Nicholas Epley (2014), 'The Mind in the Machine: Anthropomorphism Increases Trust in an Autonomous Vehicle,' Journal of Experimental Social Psychology, 52, 113–17.</w:t>
      </w:r>
    </w:p>
    <w:p>
      <w:r>
        <w:br w:type="page"/>
      </w:r>
    </w:p>
    <w:p>
      <w:pPr>
        <w:pStyle w:val="Heading1"/>
      </w:pPr>
      <w:r>
        <w:rPr>
          <w:b/>
          <w:bCs/>
        </w:rPr>
        <w:t xml:space="preserve">Figure and Table Notes</w:t>
      </w:r>
    </w:p>
    <w:p>
      <w:pPr>
        <w:spacing w:after="240" w:before="240"/>
        <w:jc w:val="center"/>
      </w:pPr>
      <w:r>
        <w:rPr>
          <w:rFonts w:ascii="Times New Roman" w:cs="Times New Roman" w:eastAsia="Times New Roman" w:hAnsi="Times New Roman"/>
          <w:b/>
          <w:bCs/>
          <w:sz w:val="22"/>
          <w:szCs w:val="22"/>
        </w:rPr>
        <w:t xml:space="preserve">Figure 1. Conceptual Model</w:t>
      </w:r>
    </w:p>
    <w:p>
      <w:pPr>
        <w:spacing w:after="160" w:line="480"/>
        <w:jc w:val="both"/>
      </w:pPr>
      <w:r>
        <w:rPr>
          <w:rFonts w:ascii="Times New Roman" w:cs="Times New Roman" w:eastAsia="Times New Roman" w:hAnsi="Times New Roman"/>
          <w:sz w:val="24"/>
          <w:szCs w:val="24"/>
        </w:rPr>
        <w:t xml:space="preserve">[Insert Figure 1 here. The figure depicts AI anthropomorphism perception — comprising perceived warmth and perceived competence — as two antecedent constructs. Perceived warmth connects via a solid arrow to benevolence-based trust (H1). Perceived competence connects via a solid arrow to ability-based trust (H3). Both trust types connect via solid arrows to Brand Relationship Quality as the outcome (H2 for benevolence-based; H4 for ability-based). A dashed arrow from the interaction term 'Warmth × Competence Incongruence' points directly to Brand Relationship Quality (H5). Two moderator arrows (dashed) cross the warmth-to-benevolence-trust path: one labeled 'Need for Cognitive Closure (+)' (H6) and one labeled 'Privacy Concern (−)' (H7). Antecedent boxes are colored blue; trust boxes orange; outcome box green; moderator notes grey.]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H%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2026-06-14T17:36:44.526Z</dcterms:created>
  <dcterms:modified xsi:type="dcterms:W3CDTF">2026-06-14T17:36:44.527Z</dcterms:modified>
</cp:coreProperties>
</file>

<file path=docProps/custom.xml><?xml version="1.0" encoding="utf-8"?>
<Properties xmlns="http://schemas.openxmlformats.org/officeDocument/2006/custom-properties" xmlns:vt="http://schemas.openxmlformats.org/officeDocument/2006/docPropsVTypes"/>
</file>