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a9cb96947295c39510b9efc3aed32fd9c0a576b9.png"/>
            <a:graphic>
              <a:graphicData uri="http://schemas.openxmlformats.org/drawingml/2006/picture">
                <pic:pic>
                  <pic:nvPicPr>
                    <pic:cNvPr id="1" name="image-a9cb96947295c39510b9efc3aed32fd9c0a576b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analyze_the_textual_analysis_rese_427ef5"/>
      <w:r>
        <w:rPr>
          <w:rFonts w:eastAsia="georgia" w:cs="georgia" w:ascii="georgia" w:hAnsi="georgia"/>
          <w:b/>
          <w:color w:val="000000"/>
          <w:sz w:val="39"/>
        </w:rPr>
        <w:t xml:space="preserve">Analyze the textual analysis research in the field of finance and accounting. Suggest to me some futuristic research topics in this area that will have high chances of publication in FT50 journals or the Journal of Finance. These research topics must be on Textual Analysis and Machine Learning uses. Give the topic Name, Econometric Models, Dependent Variables, Independent Variables, Control Variables, and which Model to apply, like FE, OLS, GMM, etc., best for the topic. The topics are like worlds best Professor with 30 years of experience and must have future relevance and usefulness in future.</w:t>
      </w:r>
      <w:bookmarkEnd w:id="0"/>
    </w:p>
    <w:p>
      <w:pPr>
        <w:spacing w:line="360" w:after="210" w:lineRule="auto"/>
      </w:pPr>
      <w:r>
        <w:rPr>
          <w:rFonts w:eastAsia="georgia" w:cs="georgia" w:ascii="georgia" w:hAnsi="georgia"/>
          <w:color w:val="000000"/>
        </w:rPr>
        <w:t xml:space="preserve">Textual analysis and machine learning have become mainstream tools in top finance and accounting research, with recent surveys explicitly calling for deeper use of ML and especially LLMs to move beyond simple sentiment/readability into richer constructs like complexity, climate risk, and fraud. Below I first position where the frontier currently is, then propose eight forward‑looking topics with concrete model designs that are realistic candidates for FT50/JoF‐style work if executed with strong identification.</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where_the_frontier_is_now"/>
      <w:r>
        <w:rPr>
          <w:rFonts w:eastAsia="georgia" w:cs="georgia" w:ascii="georgia" w:hAnsi="georgia"/>
          <w:b/>
          <w:color w:val="000000"/>
          <w:sz w:val="24"/>
        </w:rPr>
        <w:t xml:space="preserve">Where the frontier is now</w:t>
      </w:r>
      <w:bookmarkEnd w:id="4"/>
    </w:p>
    <w:p>
      <w:pPr>
        <w:spacing w:line="360" w:after="210" w:lineRule="auto"/>
      </w:pPr>
      <w:r>
        <w:rPr>
          <w:rFonts w:eastAsia="georgia" w:cs="georgia" w:ascii="georgia" w:hAnsi="georgia"/>
          <w:color w:val="000000"/>
        </w:rPr>
        <w:t xml:space="preserve">Recent surveys in accounting and finance show a clear evolution from dictionary‑based tone/readability to more sophisticated ML (topic models, deep learning, transformers) applied to annual reports, MD&amp;A, earnings calls, news and social media. Textual analysis is now routinely used to measure sentiment, forward‑lookingness, risk and disclosure complexity, but construct validity and economic identification are recurring concerns.</w:t>
      </w:r>
      <w:bookmarkStart w:id="5" w:name="fnref2_1"/>
      <w:bookmarkEnd w:id="5"/>
      <w:hyperlink w:anchor="fn2">
        <w:r>
          <w:rPr>
            <w:rFonts w:eastAsia="helvetica neue" w:cs="helvetica neue" w:ascii="helvetica neue" w:hAnsi="helvetica neue"/>
            <w:color w:val="#000"/>
            <w:u w:val="single"/>
            <w:vertAlign w:val="superscript"/>
          </w:rPr>
          <w:t xml:space="preserve">[2]</w:t>
        </w:r>
      </w:hyperlink>
      <w:bookmarkStart w:id="6" w:name="fnref4"/>
      <w:bookmarkEnd w:id="6"/>
      <w:hyperlink w:anchor="fn4">
        <w:r>
          <w:rPr>
            <w:rFonts w:eastAsia="helvetica neue" w:cs="helvetica neue" w:ascii="helvetica neue" w:hAnsi="helvetica neue"/>
            <w:color w:val="#000"/>
            <w:u w:val="single"/>
            <w:vertAlign w:val="superscript"/>
          </w:rPr>
          <w:t xml:space="preserve">[4]</w:t>
        </w:r>
      </w:hyperlink>
      <w:bookmarkStart w:id="7" w:name="fnref1_1"/>
      <w:bookmarkEnd w:id="7"/>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At the same time, LLM surveys highlight rapidly growing applications in financial NLP (filings, calls, financial statements) and point to opportunities in financial reasoning, risk detection, and decision support, particularly via fine‑tuned or domain‑specific LLMs. Climate and ESG disclosures are another emerging hotspot where advanced text/ML methods (e.g., Word2Vec, transformer models) are already being used to build firm‑level climate risk exposure measures and study their effects on liquidity and valuation, with clear calls for more sophisticated AI‑based disclosure analytics.</w:t>
      </w:r>
      <w:bookmarkStart w:id="8" w:name="fnref5"/>
      <w:bookmarkEnd w:id="8"/>
      <w:hyperlink w:anchor="fn5">
        <w:r>
          <w:rPr>
            <w:rFonts w:eastAsia="helvetica neue" w:cs="helvetica neue" w:ascii="helvetica neue" w:hAnsi="helvetica neue"/>
            <w:color w:val="#000"/>
            <w:u w:val="single"/>
            <w:vertAlign w:val="superscript"/>
          </w:rPr>
          <w:t xml:space="preserve">[5]</w:t>
        </w:r>
      </w:hyperlink>
      <w:bookmarkStart w:id="9" w:name="fnref3_1"/>
      <w:bookmarkEnd w:id="9"/>
      <w:hyperlink w:anchor="fn3">
        <w:r>
          <w:rPr>
            <w:rFonts w:eastAsia="helvetica neue" w:cs="helvetica neue" w:ascii="helvetica neue" w:hAnsi="helvetica neue"/>
            <w:color w:val="#000"/>
            <w:u w:val="single"/>
            <w:vertAlign w:val="superscript"/>
          </w:rPr>
          <w:t xml:space="preserve">[3]</w:t>
        </w:r>
      </w:hyperlink>
      <w:bookmarkStart w:id="10" w:name="fnref6"/>
      <w:bookmarkEnd w:id="10"/>
      <w:hyperlink w:anchor="fn6">
        <w:r>
          <w:rPr>
            <w:rFonts w:eastAsia="helvetica neue" w:cs="helvetica neue" w:ascii="helvetica neue" w:hAnsi="helvetica neue"/>
            <w:color w:val="#000"/>
            <w:u w:val="single"/>
            <w:vertAlign w:val="superscript"/>
          </w:rPr>
          <w:t xml:space="preserve">[6]</w:t>
        </w:r>
      </w:hyperlink>
      <w:bookmarkStart w:id="11" w:name="fnref7"/>
      <w:bookmarkEnd w:id="11"/>
      <w:hyperlink w:anchor="fn7">
        <w:r>
          <w:rPr>
            <w:rFonts w:eastAsia="helvetica neue" w:cs="helvetica neue" w:ascii="helvetica neue" w:hAnsi="helvetica neue"/>
            <w:color w:val="#000"/>
            <w:u w:val="single"/>
            <w:vertAlign w:val="superscript"/>
          </w:rPr>
          <w:t xml:space="preserve">[7]</w:t>
        </w:r>
      </w:hyperlink>
      <w:bookmarkStart w:id="12" w:name="fnref8"/>
      <w:bookmarkEnd w:id="12"/>
      <w:hyperlink w:anchor="fn8">
        <w:r>
          <w:rPr>
            <w:rFonts w:eastAsia="helvetica neue" w:cs="helvetica neue" w:ascii="helvetica neue" w:hAnsi="helvetica neue"/>
            <w:color w:val="#000"/>
            <w:u w:val="single"/>
            <w:vertAlign w:val="superscript"/>
          </w:rPr>
          <w:t xml:space="preserve">[8]</w:t>
        </w:r>
      </w:hyperlink>
    </w:p>
    <w:p>
      <w:pPr>
        <w:spacing w:line="360" w:after="210" w:lineRule="auto"/>
      </w:pPr>
      <w:r>
        <w:rPr>
          <w:rFonts w:eastAsia="georgia" w:cs="georgia" w:ascii="georgia" w:hAnsi="georgia"/>
          <w:color w:val="000000"/>
        </w:rPr>
        <w:t xml:space="preserve">Against that backdrop, topics that (i) use powerful ML/LLM text measures, (ii) answer a first‐order economic question (asset pricing, corporate policy, banking, regulation), and (iii) offer clean identification are most likely to appeal to JoF/FT50 gatekeepers.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topic_1_llm_based_financial_repor_a3df33"/>
      <w:r>
        <w:rPr>
          <w:rFonts w:eastAsia="georgia" w:cs="georgia" w:ascii="georgia" w:hAnsi="georgia"/>
          <w:b/>
          <w:color w:val="000000"/>
          <w:sz w:val="24"/>
        </w:rPr>
        <w:t xml:space="preserve">Topic 1: LLM‑based Financial Reporting Complexity and the Cost of Capital</w:t>
      </w:r>
      <w:bookmarkEnd w:id="13"/>
    </w:p>
    <w:p>
      <w:pPr>
        <w:spacing w:line="360" w:after="210" w:lineRule="auto"/>
      </w:pPr>
      <w:r>
        <w:rPr>
          <w:rFonts w:eastAsia="georgia" w:cs="georgia" w:ascii="georgia" w:hAnsi="georgia"/>
          <w:b/>
          <w:color w:val="000000"/>
        </w:rPr>
        <w:t xml:space="preserve">Research idea</w:t>
      </w:r>
      <w:r>
        <w:rPr>
          <w:rFonts w:eastAsia="georgia" w:cs="georgia" w:ascii="georgia" w:hAnsi="georgia"/>
          <w:color w:val="000000"/>
        </w:rPr>
        <w:br w:type="textWrapping"/>
      </w:r>
      <w:r>
        <w:rPr>
          <w:rFonts w:eastAsia="georgia" w:cs="georgia" w:ascii="georgia" w:hAnsi="georgia"/>
          <w:color w:val="000000"/>
        </w:rPr>
        <w:t xml:space="preserve">Use LLMs to construct a nuanced “economic complexity” measure from 10‑K/annual report narratives (not just readability), and examine its impact on the cost of equity, cost of debt, and market liquidity, building on calls to move from readability to complexity and richer constructs.</w:t>
      </w:r>
      <w:bookmarkStart w:id="14" w:name="fnref9"/>
      <w:bookmarkEnd w:id="14"/>
      <w:hyperlink w:anchor="fn9">
        <w:r>
          <w:rPr>
            <w:rFonts w:eastAsia="helvetica neue" w:cs="helvetica neue" w:ascii="helvetica neue" w:hAnsi="helvetica neue"/>
            <w:color w:val="#000"/>
            <w:u w:val="single"/>
            <w:vertAlign w:val="superscript"/>
          </w:rPr>
          <w:t xml:space="preserve">[9]</w:t>
        </w:r>
      </w:hyperlink>
      <w:bookmarkStart w:id="15" w:name="fnref2_2"/>
      <w:bookmarkEnd w:id="15"/>
      <w:hyperlink w:anchor="fn2">
        <w:r>
          <w:rPr>
            <w:rFonts w:eastAsia="helvetica neue" w:cs="helvetica neue" w:ascii="helvetica neue" w:hAnsi="helvetica neue"/>
            <w:color w:val="#000"/>
            <w:u w:val="single"/>
            <w:vertAlign w:val="superscript"/>
          </w:rPr>
          <w:t xml:space="preserve">[2]</w:t>
        </w:r>
      </w:hyperlink>
    </w:p>
    <w:p>
      <w:pPr>
        <w:numPr>
          <w:ilvl w:val="0"/>
          <w:numId w:val="1"/>
        </w:numPr>
        <w:spacing w:line="360" w:after="210" w:lineRule="auto"/>
      </w:pPr>
      <w:r>
        <w:rPr>
          <w:rFonts w:eastAsia="georgia" w:cs="georgia" w:ascii="georgia" w:hAnsi="georgia"/>
          <w:b/>
          <w:color w:val="000000"/>
          <w:sz w:val="21"/>
        </w:rPr>
        <w:t xml:space="preserve">Econometric models (overall design)</w:t>
      </w:r>
    </w:p>
    <w:p>
      <w:pPr>
        <w:numPr>
          <w:ilvl w:val="1"/>
          <w:numId w:val="1"/>
        </w:numPr>
        <w:spacing w:line="360" w:before="105" w:after="105" w:lineRule="auto"/>
      </w:pPr>
      <w:r>
        <w:rPr>
          <w:rFonts w:eastAsia="georgia" w:cs="georgia" w:ascii="georgia" w:hAnsi="georgia"/>
          <w:color w:val="000000"/>
          <w:sz w:val="21"/>
        </w:rPr>
        <w:t xml:space="preserve">Baseline: panel regressions of cost‑of‑capital proxies on text‑based complexity measures.</w:t>
      </w:r>
    </w:p>
    <w:p>
      <w:pPr>
        <w:numPr>
          <w:ilvl w:val="1"/>
          <w:numId w:val="1"/>
        </w:numPr>
        <w:spacing w:line="360" w:before="105" w:after="105" w:lineRule="auto"/>
      </w:pPr>
      <w:r>
        <w:rPr>
          <w:rFonts w:eastAsia="georgia" w:cs="georgia" w:ascii="georgia" w:hAnsi="georgia"/>
          <w:color w:val="000000"/>
          <w:sz w:val="21"/>
        </w:rPr>
        <w:t xml:space="preserve">Identification extensions:</w:t>
      </w:r>
    </w:p>
    <w:p>
      <w:pPr>
        <w:numPr>
          <w:ilvl w:val="2"/>
          <w:numId w:val="1"/>
        </w:numPr>
        <w:spacing w:line="360" w:before="105" w:after="105" w:lineRule="auto"/>
      </w:pPr>
      <w:r>
        <w:rPr>
          <w:rFonts w:eastAsia="georgia" w:cs="georgia" w:ascii="georgia" w:hAnsi="georgia"/>
          <w:color w:val="000000"/>
          <w:sz w:val="21"/>
        </w:rPr>
        <w:t xml:space="preserve">Difference‑in‑differences using exogenous shocks that force disclosure changes (e.g., major reporting standard changes, regulatory disclosure mandates).</w:t>
      </w:r>
    </w:p>
    <w:p>
      <w:pPr>
        <w:numPr>
          <w:ilvl w:val="2"/>
          <w:numId w:val="1"/>
        </w:numPr>
        <w:spacing w:line="360" w:before="105" w:after="105" w:lineRule="auto"/>
      </w:pPr>
      <w:r>
        <w:rPr>
          <w:rFonts w:eastAsia="georgia" w:cs="georgia" w:ascii="georgia" w:hAnsi="georgia"/>
          <w:color w:val="000000"/>
          <w:sz w:val="21"/>
        </w:rPr>
        <w:t xml:space="preserve">Instrumental‑variables where feasible (e.g., shock to peer firms’ disclosure practices).</w:t>
      </w:r>
    </w:p>
    <w:p>
      <w:pPr>
        <w:numPr>
          <w:ilvl w:val="0"/>
          <w:numId w:val="1"/>
        </w:numPr>
        <w:spacing w:line="360" w:after="210" w:lineRule="auto"/>
      </w:pPr>
      <w:r>
        <w:rPr>
          <w:rFonts w:eastAsia="georgia" w:cs="georgia" w:ascii="georgia" w:hAnsi="georgia"/>
          <w:b/>
          <w:color w:val="000000"/>
          <w:sz w:val="21"/>
        </w:rPr>
        <w:t xml:space="preserve">Dependent variables (DVs)</w:t>
      </w:r>
    </w:p>
    <w:p>
      <w:pPr>
        <w:numPr>
          <w:ilvl w:val="1"/>
          <w:numId w:val="1"/>
        </w:numPr>
        <w:spacing w:line="360" w:before="105" w:after="105" w:lineRule="auto"/>
      </w:pPr>
      <w:r>
        <w:rPr>
          <w:rFonts w:eastAsia="georgia" w:cs="georgia" w:ascii="georgia" w:hAnsi="georgia"/>
          <w:color w:val="000000"/>
          <w:sz w:val="21"/>
        </w:rPr>
        <w:t xml:space="preserve">Implied cost of equity from analyst forecasts.</w:t>
      </w:r>
    </w:p>
    <w:p>
      <w:pPr>
        <w:numPr>
          <w:ilvl w:val="1"/>
          <w:numId w:val="1"/>
        </w:numPr>
        <w:spacing w:line="360" w:before="105" w:after="105" w:lineRule="auto"/>
      </w:pPr>
      <w:r>
        <w:rPr>
          <w:rFonts w:eastAsia="georgia" w:cs="georgia" w:ascii="georgia" w:hAnsi="georgia"/>
          <w:color w:val="000000"/>
          <w:sz w:val="21"/>
        </w:rPr>
        <w:t xml:space="preserve">Corporate bond yield spreads / CDS spreads.</w:t>
      </w:r>
    </w:p>
    <w:p>
      <w:pPr>
        <w:numPr>
          <w:ilvl w:val="1"/>
          <w:numId w:val="1"/>
        </w:numPr>
        <w:spacing w:line="360" w:before="105" w:after="105" w:lineRule="auto"/>
      </w:pPr>
      <w:r>
        <w:rPr>
          <w:rFonts w:eastAsia="georgia" w:cs="georgia" w:ascii="georgia" w:hAnsi="georgia"/>
          <w:color w:val="000000"/>
          <w:sz w:val="21"/>
        </w:rPr>
        <w:t xml:space="preserve">Market liquidity: Amihud illiquidity, bid–ask spreads, turnover.</w:t>
      </w:r>
    </w:p>
    <w:p>
      <w:pPr>
        <w:numPr>
          <w:ilvl w:val="0"/>
          <w:numId w:val="1"/>
        </w:numPr>
        <w:spacing w:line="360" w:after="210" w:lineRule="auto"/>
      </w:pPr>
      <w:r>
        <w:rPr>
          <w:rFonts w:eastAsia="georgia" w:cs="georgia" w:ascii="georgia" w:hAnsi="georgia"/>
          <w:b/>
          <w:color w:val="000000"/>
          <w:sz w:val="21"/>
        </w:rPr>
        <w:t xml:space="preserve">Key independent variables (text/ML)</w:t>
      </w:r>
    </w:p>
    <w:p>
      <w:pPr>
        <w:numPr>
          <w:ilvl w:val="1"/>
          <w:numId w:val="1"/>
        </w:numPr>
        <w:spacing w:line="360" w:before="105" w:after="105" w:lineRule="auto"/>
      </w:pPr>
      <w:r>
        <w:rPr>
          <w:rFonts w:eastAsia="georgia" w:cs="georgia" w:ascii="georgia" w:hAnsi="georgia"/>
          <w:color w:val="000000"/>
          <w:sz w:val="21"/>
        </w:rPr>
        <w:t xml:space="preserve">LLM‑based “complexity” score of the MD&amp;A and risk factor sections (semantic complexity beyond FOG/FK indices).</w:t>
      </w:r>
    </w:p>
    <w:p>
      <w:pPr>
        <w:numPr>
          <w:ilvl w:val="1"/>
          <w:numId w:val="1"/>
        </w:numPr>
        <w:spacing w:line="360" w:before="105" w:after="105" w:lineRule="auto"/>
      </w:pPr>
      <w:r>
        <w:rPr>
          <w:rFonts w:eastAsia="georgia" w:cs="georgia" w:ascii="georgia" w:hAnsi="georgia"/>
          <w:color w:val="000000"/>
          <w:sz w:val="21"/>
        </w:rPr>
        <w:t xml:space="preserve">LLM‑classified components: technical complexity vs obfuscation vs genuine uncertainty.</w:t>
      </w:r>
    </w:p>
    <w:p>
      <w:pPr>
        <w:numPr>
          <w:ilvl w:val="1"/>
          <w:numId w:val="1"/>
        </w:numPr>
        <w:spacing w:line="360" w:before="105" w:after="105" w:lineRule="auto"/>
      </w:pPr>
      <w:r>
        <w:rPr>
          <w:rFonts w:eastAsia="georgia" w:cs="georgia" w:ascii="georgia" w:hAnsi="georgia"/>
          <w:color w:val="000000"/>
          <w:sz w:val="21"/>
        </w:rPr>
        <w:t xml:space="preserve">Interaction of complexity with firm information environment (e.g., analyst coverage).</w:t>
      </w:r>
    </w:p>
    <w:p>
      <w:pPr>
        <w:numPr>
          <w:ilvl w:val="0"/>
          <w:numId w:val="1"/>
        </w:numPr>
        <w:spacing w:line="360" w:after="210" w:lineRule="auto"/>
      </w:pPr>
      <w:r>
        <w:rPr>
          <w:rFonts w:eastAsia="georgia" w:cs="georgia" w:ascii="georgia" w:hAnsi="georgia"/>
          <w:b/>
          <w:color w:val="000000"/>
          <w:sz w:val="21"/>
        </w:rPr>
        <w:t xml:space="preserve">Control variables</w:t>
      </w:r>
    </w:p>
    <w:p>
      <w:pPr>
        <w:numPr>
          <w:ilvl w:val="1"/>
          <w:numId w:val="1"/>
        </w:numPr>
        <w:spacing w:line="360" w:before="105" w:after="105" w:lineRule="auto"/>
      </w:pPr>
      <w:r>
        <w:rPr>
          <w:rFonts w:eastAsia="georgia" w:cs="georgia" w:ascii="georgia" w:hAnsi="georgia"/>
          <w:color w:val="000000"/>
          <w:sz w:val="21"/>
        </w:rPr>
        <w:t xml:space="preserve">Size, book‑to‑market, leverage, profitability, cash holdings, past returns, analyst coverage, institutional ownership, credit rating; industry, country and year fixed effects.</w:t>
      </w:r>
    </w:p>
    <w:p>
      <w:pPr>
        <w:numPr>
          <w:ilvl w:val="0"/>
          <w:numId w:val="1"/>
        </w:numPr>
        <w:spacing w:line="360" w:after="210" w:lineRule="auto"/>
      </w:pPr>
      <w:r>
        <w:rPr>
          <w:rFonts w:eastAsia="georgia" w:cs="georgia" w:ascii="georgia" w:hAnsi="georgia"/>
          <w:b/>
          <w:color w:val="000000"/>
          <w:sz w:val="21"/>
        </w:rPr>
        <w:t xml:space="preserve">Recommended estimators</w:t>
      </w:r>
    </w:p>
    <w:p>
      <w:pPr>
        <w:numPr>
          <w:ilvl w:val="1"/>
          <w:numId w:val="1"/>
        </w:numPr>
        <w:spacing w:line="360" w:before="105" w:after="105" w:lineRule="auto"/>
      </w:pPr>
      <w:r>
        <w:rPr>
          <w:rFonts w:eastAsia="georgia" w:cs="georgia" w:ascii="georgia" w:hAnsi="georgia"/>
          <w:color w:val="000000"/>
          <w:sz w:val="21"/>
        </w:rPr>
        <w:t xml:space="preserve">Main: Firm and year fixed‑effects OLS (within estimator) to absorb time‑invariant reporting style and macro shocks.</w:t>
      </w:r>
    </w:p>
    <w:p>
      <w:pPr>
        <w:numPr>
          <w:ilvl w:val="1"/>
          <w:numId w:val="1"/>
        </w:numPr>
        <w:spacing w:line="360" w:before="105" w:after="105" w:lineRule="auto"/>
      </w:pPr>
      <w:r>
        <w:rPr>
          <w:rFonts w:eastAsia="georgia" w:cs="georgia" w:ascii="georgia" w:hAnsi="georgia"/>
          <w:color w:val="000000"/>
          <w:sz w:val="21"/>
        </w:rPr>
        <w:t xml:space="preserve">Robustness:</w:t>
      </w:r>
    </w:p>
    <w:p>
      <w:pPr>
        <w:numPr>
          <w:ilvl w:val="2"/>
          <w:numId w:val="1"/>
        </w:numPr>
        <w:spacing w:line="360" w:before="105" w:after="105" w:lineRule="auto"/>
      </w:pPr>
      <w:r>
        <w:rPr>
          <w:rFonts w:eastAsia="georgia" w:cs="georgia" w:ascii="georgia" w:hAnsi="georgia"/>
          <w:color w:val="000000"/>
          <w:sz w:val="21"/>
        </w:rPr>
        <w:t xml:space="preserve">Firm‑clustered standard errors; multi‑way clustering (firm × year).</w:t>
      </w:r>
    </w:p>
    <w:p>
      <w:pPr>
        <w:numPr>
          <w:ilvl w:val="2"/>
          <w:numId w:val="1"/>
        </w:numPr>
        <w:spacing w:line="360" w:before="105" w:after="105" w:lineRule="auto"/>
      </w:pPr>
      <w:r>
        <w:rPr>
          <w:rFonts w:eastAsia="georgia" w:cs="georgia" w:ascii="georgia" w:hAnsi="georgia"/>
          <w:color w:val="000000"/>
          <w:sz w:val="21"/>
        </w:rPr>
        <w:t xml:space="preserve">2SLS FE when exploiting plausibly exogenous instruments;</w:t>
      </w:r>
    </w:p>
    <w:p>
      <w:pPr>
        <w:numPr>
          <w:ilvl w:val="2"/>
          <w:numId w:val="1"/>
        </w:numPr>
        <w:spacing w:line="360" w:before="105" w:after="105" w:lineRule="auto"/>
      </w:pPr>
      <w:r>
        <w:rPr>
          <w:rFonts w:eastAsia="georgia" w:cs="georgia" w:ascii="georgia" w:hAnsi="georgia"/>
          <w:color w:val="000000"/>
          <w:sz w:val="21"/>
        </w:rPr>
        <w:t xml:space="preserve">System‑GMM only if you specify a dynamic model with lagged DVs (e.g., persistent cost of capital), being careful about instrument proliferation.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topic_2_ai_based_climate_transiti_38eff7"/>
      <w:r>
        <w:rPr>
          <w:rFonts w:eastAsia="georgia" w:cs="georgia" w:ascii="georgia" w:hAnsi="georgia"/>
          <w:b/>
          <w:color w:val="000000"/>
          <w:sz w:val="24"/>
        </w:rPr>
        <w:t xml:space="preserve">Topic 2: AI‑Based Climate Transition Risk in Disclosures and Global Asset Pricing</w:t>
      </w:r>
      <w:bookmarkEnd w:id="16"/>
    </w:p>
    <w:p>
      <w:pPr>
        <w:spacing w:line="360" w:after="210" w:lineRule="auto"/>
      </w:pPr>
      <w:r>
        <w:rPr>
          <w:rFonts w:eastAsia="georgia" w:cs="georgia" w:ascii="georgia" w:hAnsi="georgia"/>
          <w:b/>
          <w:color w:val="000000"/>
        </w:rPr>
        <w:t xml:space="preserve">Research idea</w:t>
      </w:r>
      <w:r>
        <w:rPr>
          <w:rFonts w:eastAsia="georgia" w:cs="georgia" w:ascii="georgia" w:hAnsi="georgia"/>
          <w:color w:val="000000"/>
        </w:rPr>
        <w:br w:type="textWrapping"/>
      </w:r>
      <w:r>
        <w:rPr>
          <w:rFonts w:eastAsia="georgia" w:cs="georgia" w:ascii="georgia" w:hAnsi="georgia"/>
          <w:color w:val="000000"/>
        </w:rPr>
        <w:t xml:space="preserve">Build an AI‑based firm‑level climate transition risk index from climate‑related and ESG disclosures (reports, TCFD sections, MD&amp;A), extending recent ML work that uses Word2Vec and other models to measure firm‑level climate risk exposure and link it to liquidity. Then study whether this risk is priced in the cross‑section of global stock and bond returns.</w:t>
      </w:r>
      <w:bookmarkStart w:id="17" w:name="fnref6_1"/>
      <w:bookmarkEnd w:id="17"/>
      <w:hyperlink w:anchor="fn6">
        <w:r>
          <w:rPr>
            <w:rFonts w:eastAsia="helvetica neue" w:cs="helvetica neue" w:ascii="helvetica neue" w:hAnsi="helvetica neue"/>
            <w:color w:val="#000"/>
            <w:u w:val="single"/>
            <w:vertAlign w:val="superscript"/>
          </w:rPr>
          <w:t xml:space="preserve">[6]</w:t>
        </w:r>
      </w:hyperlink>
      <w:bookmarkStart w:id="18" w:name="fnref8_1"/>
      <w:bookmarkEnd w:id="18"/>
      <w:hyperlink w:anchor="fn8">
        <w:r>
          <w:rPr>
            <w:rFonts w:eastAsia="helvetica neue" w:cs="helvetica neue" w:ascii="helvetica neue" w:hAnsi="helvetica neue"/>
            <w:color w:val="#000"/>
            <w:u w:val="single"/>
            <w:vertAlign w:val="superscript"/>
          </w:rPr>
          <w:t xml:space="preserve">[8]</w:t>
        </w:r>
      </w:hyperlink>
    </w:p>
    <w:p>
      <w:pPr>
        <w:numPr>
          <w:ilvl w:val="0"/>
          <w:numId w:val="2"/>
        </w:numPr>
        <w:spacing w:line="360" w:after="210" w:lineRule="auto"/>
      </w:pPr>
      <w:r>
        <w:rPr>
          <w:rFonts w:eastAsia="georgia" w:cs="georgia" w:ascii="georgia" w:hAnsi="georgia"/>
          <w:b/>
          <w:color w:val="000000"/>
          <w:sz w:val="21"/>
        </w:rPr>
        <w:t xml:space="preserve">Econometric models</w:t>
      </w:r>
    </w:p>
    <w:p>
      <w:pPr>
        <w:numPr>
          <w:ilvl w:val="1"/>
          <w:numId w:val="2"/>
        </w:numPr>
        <w:spacing w:line="360" w:before="105" w:after="105" w:lineRule="auto"/>
      </w:pPr>
      <w:r>
        <w:rPr>
          <w:rFonts w:eastAsia="georgia" w:cs="georgia" w:ascii="georgia" w:hAnsi="georgia"/>
          <w:color w:val="000000"/>
          <w:sz w:val="21"/>
        </w:rPr>
        <w:t xml:space="preserve">Two‑step Fama–MacBeth cross‑sectional regressions with portfolio sorts and factor models.</w:t>
      </w:r>
    </w:p>
    <w:p>
      <w:pPr>
        <w:numPr>
          <w:ilvl w:val="1"/>
          <w:numId w:val="2"/>
        </w:numPr>
        <w:spacing w:line="360" w:before="105" w:after="105" w:lineRule="auto"/>
      </w:pPr>
      <w:r>
        <w:rPr>
          <w:rFonts w:eastAsia="georgia" w:cs="georgia" w:ascii="georgia" w:hAnsi="georgia"/>
          <w:color w:val="000000"/>
          <w:sz w:val="21"/>
        </w:rPr>
        <w:t xml:space="preserve">Panel asset‑pricing tests with firm fixed effects.</w:t>
      </w:r>
    </w:p>
    <w:p>
      <w:pPr>
        <w:numPr>
          <w:ilvl w:val="0"/>
          <w:numId w:val="2"/>
        </w:numPr>
        <w:spacing w:line="360" w:after="210" w:lineRule="auto"/>
      </w:pPr>
      <w:r>
        <w:rPr>
          <w:rFonts w:eastAsia="georgia" w:cs="georgia" w:ascii="georgia" w:hAnsi="georgia"/>
          <w:b/>
          <w:color w:val="000000"/>
          <w:sz w:val="21"/>
        </w:rPr>
        <w:t xml:space="preserve">Dependent variables</w:t>
      </w:r>
    </w:p>
    <w:p>
      <w:pPr>
        <w:numPr>
          <w:ilvl w:val="1"/>
          <w:numId w:val="2"/>
        </w:numPr>
        <w:spacing w:line="360" w:before="105" w:after="105" w:lineRule="auto"/>
      </w:pPr>
      <w:r>
        <w:rPr>
          <w:rFonts w:eastAsia="georgia" w:cs="georgia" w:ascii="georgia" w:hAnsi="georgia"/>
          <w:color w:val="000000"/>
          <w:sz w:val="21"/>
        </w:rPr>
        <w:t xml:space="preserve">Future stock returns (monthly/annual), abnormal returns relative to standard factor models.</w:t>
      </w:r>
    </w:p>
    <w:p>
      <w:pPr>
        <w:numPr>
          <w:ilvl w:val="1"/>
          <w:numId w:val="2"/>
        </w:numPr>
        <w:spacing w:line="360" w:before="105" w:after="105" w:lineRule="auto"/>
      </w:pPr>
      <w:r>
        <w:rPr>
          <w:rFonts w:eastAsia="georgia" w:cs="georgia" w:ascii="georgia" w:hAnsi="georgia"/>
          <w:color w:val="000000"/>
          <w:sz w:val="21"/>
        </w:rPr>
        <w:t xml:space="preserve">Bond yield spreads; CDS premia.</w:t>
      </w:r>
    </w:p>
    <w:p>
      <w:pPr>
        <w:numPr>
          <w:ilvl w:val="0"/>
          <w:numId w:val="2"/>
        </w:numPr>
        <w:spacing w:line="360" w:after="210" w:lineRule="auto"/>
      </w:pPr>
      <w:r>
        <w:rPr>
          <w:rFonts w:eastAsia="georgia" w:cs="georgia" w:ascii="georgia" w:hAnsi="georgia"/>
          <w:b/>
          <w:color w:val="000000"/>
          <w:sz w:val="21"/>
        </w:rPr>
        <w:t xml:space="preserve">Key independent variables (text/ML)</w:t>
      </w:r>
    </w:p>
    <w:p>
      <w:pPr>
        <w:numPr>
          <w:ilvl w:val="1"/>
          <w:numId w:val="2"/>
        </w:numPr>
        <w:spacing w:line="360" w:before="105" w:after="105" w:lineRule="auto"/>
      </w:pPr>
      <w:r>
        <w:rPr>
          <w:rFonts w:eastAsia="georgia" w:cs="georgia" w:ascii="georgia" w:hAnsi="georgia"/>
          <w:color w:val="000000"/>
          <w:sz w:val="21"/>
        </w:rPr>
        <w:t xml:space="preserve">LLM/transformer‑based climate transition risk score from disclosures: exposure to carbon pricing, stranded asset risk, policy risk, and transition plans.</w:t>
      </w:r>
    </w:p>
    <w:p>
      <w:pPr>
        <w:numPr>
          <w:ilvl w:val="1"/>
          <w:numId w:val="2"/>
        </w:numPr>
        <w:spacing w:line="360" w:before="105" w:after="105" w:lineRule="auto"/>
      </w:pPr>
      <w:r>
        <w:rPr>
          <w:rFonts w:eastAsia="georgia" w:cs="georgia" w:ascii="georgia" w:hAnsi="georgia"/>
          <w:color w:val="000000"/>
          <w:sz w:val="21"/>
        </w:rPr>
        <w:t xml:space="preserve">Separate measures for adaptation vs mitigation vs opportunistic “green growth” language.</w:t>
      </w:r>
    </w:p>
    <w:p>
      <w:pPr>
        <w:numPr>
          <w:ilvl w:val="0"/>
          <w:numId w:val="2"/>
        </w:numPr>
        <w:spacing w:line="360" w:after="210" w:lineRule="auto"/>
      </w:pPr>
      <w:r>
        <w:rPr>
          <w:rFonts w:eastAsia="georgia" w:cs="georgia" w:ascii="georgia" w:hAnsi="georgia"/>
          <w:b/>
          <w:color w:val="000000"/>
          <w:sz w:val="21"/>
        </w:rPr>
        <w:t xml:space="preserve">Control variables</w:t>
      </w:r>
    </w:p>
    <w:p>
      <w:pPr>
        <w:numPr>
          <w:ilvl w:val="1"/>
          <w:numId w:val="2"/>
        </w:numPr>
        <w:spacing w:line="360" w:before="105" w:after="105" w:lineRule="auto"/>
      </w:pPr>
      <w:r>
        <w:rPr>
          <w:rFonts w:eastAsia="georgia" w:cs="georgia" w:ascii="georgia" w:hAnsi="georgia"/>
          <w:color w:val="000000"/>
          <w:sz w:val="21"/>
        </w:rPr>
        <w:t xml:space="preserve">Standard asset‑pricing controls: size, book‑to‑market, momentum, profitability, investment, beta, downside beta, volatility, past emissions levels, ESG ratings.</w:t>
      </w:r>
    </w:p>
    <w:p>
      <w:pPr>
        <w:numPr>
          <w:ilvl w:val="1"/>
          <w:numId w:val="2"/>
        </w:numPr>
        <w:spacing w:line="360" w:before="105" w:after="105" w:lineRule="auto"/>
      </w:pPr>
      <w:r>
        <w:rPr>
          <w:rFonts w:eastAsia="georgia" w:cs="georgia" w:ascii="georgia" w:hAnsi="georgia"/>
          <w:color w:val="000000"/>
          <w:sz w:val="21"/>
        </w:rPr>
        <w:t xml:space="preserve">Country‑sector fixed effects to control for regulatory and industry climate exposure.</w:t>
      </w:r>
    </w:p>
    <w:p>
      <w:pPr>
        <w:numPr>
          <w:ilvl w:val="0"/>
          <w:numId w:val="2"/>
        </w:numPr>
        <w:spacing w:line="360" w:after="210" w:lineRule="auto"/>
      </w:pPr>
      <w:r>
        <w:rPr>
          <w:rFonts w:eastAsia="georgia" w:cs="georgia" w:ascii="georgia" w:hAnsi="georgia"/>
          <w:b/>
          <w:color w:val="000000"/>
          <w:sz w:val="21"/>
        </w:rPr>
        <w:t xml:space="preserve">Recommended estimators</w:t>
      </w:r>
    </w:p>
    <w:p>
      <w:pPr>
        <w:numPr>
          <w:ilvl w:val="1"/>
          <w:numId w:val="2"/>
        </w:numPr>
        <w:spacing w:line="360" w:before="105" w:after="105" w:lineRule="auto"/>
      </w:pPr>
      <w:r>
        <w:rPr>
          <w:rFonts w:eastAsia="georgia" w:cs="georgia" w:ascii="georgia" w:hAnsi="georgia"/>
          <w:color w:val="000000"/>
          <w:sz w:val="21"/>
        </w:rPr>
        <w:t xml:space="preserve">Main: Fama–MacBeth regressions (risk premium estimation) plus portfolio sorts by climate risk deciles.</w:t>
      </w:r>
    </w:p>
    <w:p>
      <w:pPr>
        <w:numPr>
          <w:ilvl w:val="1"/>
          <w:numId w:val="2"/>
        </w:numPr>
        <w:spacing w:line="360" w:before="105" w:after="105" w:lineRule="auto"/>
      </w:pPr>
      <w:r>
        <w:rPr>
          <w:rFonts w:eastAsia="georgia" w:cs="georgia" w:ascii="georgia" w:hAnsi="georgia"/>
          <w:color w:val="000000"/>
          <w:sz w:val="21"/>
        </w:rPr>
        <w:t xml:space="preserve">Panel FE OLS as robustness.</w:t>
      </w:r>
    </w:p>
    <w:p>
      <w:pPr>
        <w:numPr>
          <w:ilvl w:val="1"/>
          <w:numId w:val="2"/>
        </w:numPr>
        <w:spacing w:line="360" w:before="105" w:after="105" w:lineRule="auto"/>
      </w:pPr>
      <w:r>
        <w:rPr>
          <w:rFonts w:eastAsia="georgia" w:cs="georgia" w:ascii="georgia" w:hAnsi="georgia"/>
          <w:color w:val="000000"/>
          <w:sz w:val="21"/>
        </w:rPr>
        <w:t xml:space="preserve">Limited‑information GMM for factor model estimation if you want a structural risk‑premium interpretation.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topic_3_detecting_esg_greenwashin_69745c"/>
      <w:r>
        <w:rPr>
          <w:rFonts w:eastAsia="georgia" w:cs="georgia" w:ascii="georgia" w:hAnsi="georgia"/>
          <w:b/>
          <w:color w:val="000000"/>
          <w:sz w:val="24"/>
        </w:rPr>
        <w:t xml:space="preserve">Topic 3: Detecting ESG Greenwashing via Text–Numeric Inconsistency and Its Market Consequences</w:t>
      </w:r>
      <w:bookmarkEnd w:id="19"/>
    </w:p>
    <w:p>
      <w:pPr>
        <w:spacing w:line="360" w:after="210" w:lineRule="auto"/>
      </w:pPr>
      <w:r>
        <w:rPr>
          <w:rFonts w:eastAsia="georgia" w:cs="georgia" w:ascii="georgia" w:hAnsi="georgia"/>
          <w:b/>
          <w:color w:val="000000"/>
        </w:rPr>
        <w:t xml:space="preserve">Research idea</w:t>
      </w:r>
      <w:r>
        <w:rPr>
          <w:rFonts w:eastAsia="georgia" w:cs="georgia" w:ascii="georgia" w:hAnsi="georgia"/>
          <w:color w:val="000000"/>
        </w:rPr>
        <w:br w:type="textWrapping"/>
      </w:r>
      <w:r>
        <w:rPr>
          <w:rFonts w:eastAsia="georgia" w:cs="georgia" w:ascii="georgia" w:hAnsi="georgia"/>
          <w:color w:val="000000"/>
        </w:rPr>
        <w:t xml:space="preserve">Use ML to detect “greenwashing” as the inconsistency between ESG narrative disclosures and underlying environmental performance metrics, responding to evidence that ESG text and actual ESG outcomes can diverge. Study how a text‑based greenwashing score affects capital flows, valuation, and regulatory outcomes.</w:t>
      </w:r>
      <w:bookmarkStart w:id="20" w:name="fnref10"/>
      <w:bookmarkEnd w:id="20"/>
      <w:hyperlink w:anchor="fn10">
        <w:r>
          <w:rPr>
            <w:rFonts w:eastAsia="helvetica neue" w:cs="helvetica neue" w:ascii="helvetica neue" w:hAnsi="helvetica neue"/>
            <w:color w:val="#000"/>
            <w:u w:val="single"/>
            <w:vertAlign w:val="superscript"/>
          </w:rPr>
          <w:t xml:space="preserve">[10]</w:t>
        </w:r>
      </w:hyperlink>
      <w:bookmarkStart w:id="21" w:name="fnref11"/>
      <w:bookmarkEnd w:id="21"/>
      <w:hyperlink w:anchor="fn11">
        <w:r>
          <w:rPr>
            <w:rFonts w:eastAsia="helvetica neue" w:cs="helvetica neue" w:ascii="helvetica neue" w:hAnsi="helvetica neue"/>
            <w:color w:val="#000"/>
            <w:u w:val="single"/>
            <w:vertAlign w:val="superscript"/>
          </w:rPr>
          <w:t xml:space="preserve">[11]</w:t>
        </w:r>
      </w:hyperlink>
    </w:p>
    <w:p>
      <w:pPr>
        <w:numPr>
          <w:ilvl w:val="0"/>
          <w:numId w:val="3"/>
        </w:numPr>
        <w:spacing w:line="360" w:after="210" w:lineRule="auto"/>
      </w:pPr>
      <w:r>
        <w:rPr>
          <w:rFonts w:eastAsia="georgia" w:cs="georgia" w:ascii="georgia" w:hAnsi="georgia"/>
          <w:b/>
          <w:color w:val="000000"/>
          <w:sz w:val="21"/>
        </w:rPr>
        <w:t xml:space="preserve">Econometric models</w:t>
      </w:r>
    </w:p>
    <w:p>
      <w:pPr>
        <w:numPr>
          <w:ilvl w:val="1"/>
          <w:numId w:val="3"/>
        </w:numPr>
        <w:spacing w:line="360" w:before="105" w:after="105" w:lineRule="auto"/>
      </w:pPr>
      <w:r>
        <w:rPr>
          <w:rFonts w:eastAsia="georgia" w:cs="georgia" w:ascii="georgia" w:hAnsi="georgia"/>
          <w:color w:val="000000"/>
          <w:sz w:val="21"/>
        </w:rPr>
        <w:t xml:space="preserve">Panel regressions for flows, valuation and risk.</w:t>
      </w:r>
    </w:p>
    <w:p>
      <w:pPr>
        <w:numPr>
          <w:ilvl w:val="1"/>
          <w:numId w:val="3"/>
        </w:numPr>
        <w:spacing w:line="360" w:before="105" w:after="105" w:lineRule="auto"/>
      </w:pPr>
      <w:r>
        <w:rPr>
          <w:rFonts w:eastAsia="georgia" w:cs="georgia" w:ascii="georgia" w:hAnsi="georgia"/>
          <w:color w:val="000000"/>
          <w:sz w:val="21"/>
        </w:rPr>
        <w:t xml:space="preserve">Hazard models for enforcement actions or ESG‑related controversies.</w:t>
      </w:r>
    </w:p>
    <w:p>
      <w:pPr>
        <w:numPr>
          <w:ilvl w:val="0"/>
          <w:numId w:val="3"/>
        </w:numPr>
        <w:spacing w:line="360" w:after="210" w:lineRule="auto"/>
      </w:pPr>
      <w:r>
        <w:rPr>
          <w:rFonts w:eastAsia="georgia" w:cs="georgia" w:ascii="georgia" w:hAnsi="georgia"/>
          <w:b/>
          <w:color w:val="000000"/>
          <w:sz w:val="21"/>
        </w:rPr>
        <w:t xml:space="preserve">Dependent variables</w:t>
      </w:r>
    </w:p>
    <w:p>
      <w:pPr>
        <w:numPr>
          <w:ilvl w:val="1"/>
          <w:numId w:val="3"/>
        </w:numPr>
        <w:spacing w:line="360" w:before="105" w:after="105" w:lineRule="auto"/>
      </w:pPr>
      <w:r>
        <w:rPr>
          <w:rFonts w:eastAsia="georgia" w:cs="georgia" w:ascii="georgia" w:hAnsi="georgia"/>
          <w:color w:val="000000"/>
          <w:sz w:val="21"/>
        </w:rPr>
        <w:t xml:space="preserve">Mutual fund / institutional flows into the firm (or into ESG funds holding the firm).</w:t>
      </w:r>
    </w:p>
    <w:p>
      <w:pPr>
        <w:numPr>
          <w:ilvl w:val="1"/>
          <w:numId w:val="3"/>
        </w:numPr>
        <w:spacing w:line="360" w:before="105" w:after="105" w:lineRule="auto"/>
      </w:pPr>
      <w:r>
        <w:rPr>
          <w:rFonts w:eastAsia="georgia" w:cs="georgia" w:ascii="georgia" w:hAnsi="georgia"/>
          <w:color w:val="000000"/>
          <w:sz w:val="21"/>
        </w:rPr>
        <w:t xml:space="preserve">Valuation ratios (e.g., Tobin’s Q), cost of equity, cost of debt.</w:t>
      </w:r>
    </w:p>
    <w:p>
      <w:pPr>
        <w:numPr>
          <w:ilvl w:val="1"/>
          <w:numId w:val="3"/>
        </w:numPr>
        <w:spacing w:line="360" w:before="105" w:after="105" w:lineRule="auto"/>
      </w:pPr>
      <w:r>
        <w:rPr>
          <w:rFonts w:eastAsia="georgia" w:cs="georgia" w:ascii="georgia" w:hAnsi="georgia"/>
          <w:color w:val="000000"/>
          <w:sz w:val="21"/>
        </w:rPr>
        <w:t xml:space="preserve">Probability and timing of regulatory enforcement / ESG‑related scandals.</w:t>
      </w:r>
    </w:p>
    <w:p>
      <w:pPr>
        <w:numPr>
          <w:ilvl w:val="0"/>
          <w:numId w:val="3"/>
        </w:numPr>
        <w:spacing w:line="360" w:after="210" w:lineRule="auto"/>
      </w:pPr>
      <w:r>
        <w:rPr>
          <w:rFonts w:eastAsia="georgia" w:cs="georgia" w:ascii="georgia" w:hAnsi="georgia"/>
          <w:b/>
          <w:color w:val="000000"/>
          <w:sz w:val="21"/>
        </w:rPr>
        <w:t xml:space="preserve">Key independent variables (text/ML)</w:t>
      </w:r>
    </w:p>
    <w:p>
      <w:pPr>
        <w:numPr>
          <w:ilvl w:val="1"/>
          <w:numId w:val="3"/>
        </w:numPr>
        <w:spacing w:line="360" w:before="105" w:after="105" w:lineRule="auto"/>
      </w:pPr>
      <w:r>
        <w:rPr>
          <w:rFonts w:eastAsia="georgia" w:cs="georgia" w:ascii="georgia" w:hAnsi="georgia"/>
          <w:color w:val="000000"/>
          <w:sz w:val="21"/>
        </w:rPr>
        <w:t xml:space="preserve">ML‑based “greenwashing index”:</w:t>
      </w:r>
    </w:p>
    <w:p>
      <w:pPr>
        <w:numPr>
          <w:ilvl w:val="2"/>
          <w:numId w:val="3"/>
        </w:numPr>
        <w:spacing w:line="360" w:before="105" w:after="105" w:lineRule="auto"/>
      </w:pPr>
      <w:r>
        <w:rPr>
          <w:rFonts w:eastAsia="georgia" w:cs="georgia" w:ascii="georgia" w:hAnsi="georgia"/>
          <w:color w:val="000000"/>
          <w:sz w:val="21"/>
        </w:rPr>
        <w:t xml:space="preserve">LLM classification of ESG text as specific, outcome‑oriented vs vague, boilerplate ESG claims.</w:t>
      </w:r>
    </w:p>
    <w:p>
      <w:pPr>
        <w:numPr>
          <w:ilvl w:val="2"/>
          <w:numId w:val="3"/>
        </w:numPr>
        <w:spacing w:line="360" w:before="105" w:after="105" w:lineRule="auto"/>
      </w:pPr>
      <w:r>
        <w:rPr>
          <w:rFonts w:eastAsia="georgia" w:cs="georgia" w:ascii="georgia" w:hAnsi="georgia"/>
          <w:color w:val="000000"/>
          <w:sz w:val="21"/>
        </w:rPr>
        <w:t xml:space="preserve">Discrepancy between ESG narrative claims and quantitative indicators (emissions, environmental fines, third‑party ESG scores).</w:t>
      </w:r>
    </w:p>
    <w:p>
      <w:pPr>
        <w:numPr>
          <w:ilvl w:val="0"/>
          <w:numId w:val="3"/>
        </w:numPr>
        <w:spacing w:line="360" w:after="210" w:lineRule="auto"/>
      </w:pPr>
      <w:r>
        <w:rPr>
          <w:rFonts w:eastAsia="georgia" w:cs="georgia" w:ascii="georgia" w:hAnsi="georgia"/>
          <w:b/>
          <w:color w:val="000000"/>
          <w:sz w:val="21"/>
        </w:rPr>
        <w:t xml:space="preserve">Control variables</w:t>
      </w:r>
    </w:p>
    <w:p>
      <w:pPr>
        <w:numPr>
          <w:ilvl w:val="1"/>
          <w:numId w:val="3"/>
        </w:numPr>
        <w:spacing w:line="360" w:before="105" w:after="105" w:lineRule="auto"/>
      </w:pPr>
      <w:r>
        <w:rPr>
          <w:rFonts w:eastAsia="georgia" w:cs="georgia" w:ascii="georgia" w:hAnsi="georgia"/>
          <w:color w:val="000000"/>
          <w:sz w:val="21"/>
        </w:rPr>
        <w:t xml:space="preserve">ESG level scores, firm characteristics (size, leverage, ROA, industry, ownership), country‑year and industry‑year fixed effects.</w:t>
      </w:r>
    </w:p>
    <w:p>
      <w:pPr>
        <w:numPr>
          <w:ilvl w:val="0"/>
          <w:numId w:val="3"/>
        </w:numPr>
        <w:spacing w:line="360" w:after="210" w:lineRule="auto"/>
      </w:pPr>
      <w:r>
        <w:rPr>
          <w:rFonts w:eastAsia="georgia" w:cs="georgia" w:ascii="georgia" w:hAnsi="georgia"/>
          <w:b/>
          <w:color w:val="000000"/>
          <w:sz w:val="21"/>
        </w:rPr>
        <w:t xml:space="preserve">Recommended estimators</w:t>
      </w:r>
    </w:p>
    <w:p>
      <w:pPr>
        <w:numPr>
          <w:ilvl w:val="1"/>
          <w:numId w:val="3"/>
        </w:numPr>
        <w:spacing w:line="360" w:before="105" w:after="105" w:lineRule="auto"/>
      </w:pPr>
      <w:r>
        <w:rPr>
          <w:rFonts w:eastAsia="georgia" w:cs="georgia" w:ascii="georgia" w:hAnsi="georgia"/>
          <w:color w:val="000000"/>
          <w:sz w:val="21"/>
        </w:rPr>
        <w:t xml:space="preserve">Main: Firm and year FE OLS for flows and valuation.</w:t>
      </w:r>
    </w:p>
    <w:p>
      <w:pPr>
        <w:numPr>
          <w:ilvl w:val="1"/>
          <w:numId w:val="3"/>
        </w:numPr>
        <w:spacing w:line="360" w:before="105" w:after="105" w:lineRule="auto"/>
      </w:pPr>
      <w:r>
        <w:rPr>
          <w:rFonts w:eastAsia="georgia" w:cs="georgia" w:ascii="georgia" w:hAnsi="georgia"/>
          <w:color w:val="000000"/>
          <w:sz w:val="21"/>
        </w:rPr>
        <w:t xml:space="preserve">Survival analysis (Cox proportional hazards) for enforcement/controversy events.</w:t>
      </w:r>
    </w:p>
    <w:p>
      <w:pPr>
        <w:numPr>
          <w:ilvl w:val="1"/>
          <w:numId w:val="3"/>
        </w:numPr>
        <w:spacing w:line="360" w:before="105" w:after="105" w:lineRule="auto"/>
      </w:pPr>
      <w:r>
        <w:rPr>
          <w:rFonts w:eastAsia="georgia" w:cs="georgia" w:ascii="georgia" w:hAnsi="georgia"/>
          <w:color w:val="000000"/>
          <w:sz w:val="21"/>
        </w:rPr>
        <w:t xml:space="preserve">Instrumental‑variables FE if you can find exogenous shocks to ESG disclosure pressure (e.g., staggered adoption of ESG disclosure regulation).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topic_4_multimodal_text_voice_ana_2edfd1"/>
      <w:r>
        <w:rPr>
          <w:rFonts w:eastAsia="georgia" w:cs="georgia" w:ascii="georgia" w:hAnsi="georgia"/>
          <w:b/>
          <w:color w:val="000000"/>
          <w:sz w:val="24"/>
        </w:rPr>
        <w:t xml:space="preserve">Topic 4: Multimodal (Text + Voice) Analysis of Earnings Calls and Tail Risk</w:t>
      </w:r>
      <w:bookmarkEnd w:id="22"/>
    </w:p>
    <w:p>
      <w:pPr>
        <w:spacing w:line="360" w:after="210" w:lineRule="auto"/>
      </w:pPr>
      <w:r>
        <w:rPr>
          <w:rFonts w:eastAsia="georgia" w:cs="georgia" w:ascii="georgia" w:hAnsi="georgia"/>
          <w:b/>
          <w:color w:val="000000"/>
        </w:rPr>
        <w:t xml:space="preserve">Research idea</w:t>
      </w:r>
      <w:r>
        <w:rPr>
          <w:rFonts w:eastAsia="georgia" w:cs="georgia" w:ascii="georgia" w:hAnsi="georgia"/>
          <w:color w:val="000000"/>
        </w:rPr>
        <w:br w:type="textWrapping"/>
      </w:r>
      <w:r>
        <w:rPr>
          <w:rFonts w:eastAsia="georgia" w:cs="georgia" w:ascii="georgia" w:hAnsi="georgia"/>
          <w:color w:val="000000"/>
        </w:rPr>
        <w:t xml:space="preserve">Extend recent deep‑learning work on earnings call text and speech to jointly model what managers say and how they say it, and examine how multimodal sentiment/uncertainty predicts crash risk, volatility, and credit events.</w:t>
      </w:r>
      <w:bookmarkStart w:id="23" w:name="fnref12"/>
      <w:bookmarkEnd w:id="23"/>
      <w:hyperlink w:anchor="fn12">
        <w:r>
          <w:rPr>
            <w:rFonts w:eastAsia="helvetica neue" w:cs="helvetica neue" w:ascii="helvetica neue" w:hAnsi="helvetica neue"/>
            <w:color w:val="#000"/>
            <w:u w:val="single"/>
            <w:vertAlign w:val="superscript"/>
          </w:rPr>
          <w:t xml:space="preserve">[12]</w:t>
        </w:r>
      </w:hyperlink>
      <w:bookmarkStart w:id="24" w:name="fnref13"/>
      <w:bookmarkEnd w:id="24"/>
      <w:hyperlink w:anchor="fn13">
        <w:r>
          <w:rPr>
            <w:rFonts w:eastAsia="helvetica neue" w:cs="helvetica neue" w:ascii="helvetica neue" w:hAnsi="helvetica neue"/>
            <w:color w:val="#000"/>
            <w:u w:val="single"/>
            <w:vertAlign w:val="superscript"/>
          </w:rPr>
          <w:t xml:space="preserve">[13]</w:t>
        </w:r>
      </w:hyperlink>
    </w:p>
    <w:p>
      <w:pPr>
        <w:numPr>
          <w:ilvl w:val="0"/>
          <w:numId w:val="4"/>
        </w:numPr>
        <w:spacing w:line="360" w:after="210" w:lineRule="auto"/>
      </w:pPr>
      <w:r>
        <w:rPr>
          <w:rFonts w:eastAsia="georgia" w:cs="georgia" w:ascii="georgia" w:hAnsi="georgia"/>
          <w:b/>
          <w:color w:val="000000"/>
          <w:sz w:val="21"/>
        </w:rPr>
        <w:t xml:space="preserve">Econometric models</w:t>
      </w:r>
    </w:p>
    <w:p>
      <w:pPr>
        <w:numPr>
          <w:ilvl w:val="1"/>
          <w:numId w:val="4"/>
        </w:numPr>
        <w:spacing w:line="360" w:before="105" w:after="105" w:lineRule="auto"/>
      </w:pPr>
      <w:r>
        <w:rPr>
          <w:rFonts w:eastAsia="georgia" w:cs="georgia" w:ascii="georgia" w:hAnsi="georgia"/>
          <w:color w:val="000000"/>
          <w:sz w:val="21"/>
        </w:rPr>
        <w:t xml:space="preserve">Panel predictive regressions with firm FE.</w:t>
      </w:r>
    </w:p>
    <w:p>
      <w:pPr>
        <w:numPr>
          <w:ilvl w:val="1"/>
          <w:numId w:val="4"/>
        </w:numPr>
        <w:spacing w:line="360" w:before="105" w:after="105" w:lineRule="auto"/>
      </w:pPr>
      <w:r>
        <w:rPr>
          <w:rFonts w:eastAsia="georgia" w:cs="georgia" w:ascii="georgia" w:hAnsi="georgia"/>
          <w:color w:val="000000"/>
          <w:sz w:val="21"/>
        </w:rPr>
        <w:t xml:space="preserve">Logistic/probit models for crash events and rating downgrades.</w:t>
      </w:r>
    </w:p>
    <w:p>
      <w:pPr>
        <w:numPr>
          <w:ilvl w:val="0"/>
          <w:numId w:val="4"/>
        </w:numPr>
        <w:spacing w:line="360" w:after="210" w:lineRule="auto"/>
      </w:pPr>
      <w:r>
        <w:rPr>
          <w:rFonts w:eastAsia="georgia" w:cs="georgia" w:ascii="georgia" w:hAnsi="georgia"/>
          <w:b/>
          <w:color w:val="000000"/>
          <w:sz w:val="21"/>
        </w:rPr>
        <w:t xml:space="preserve">Dependent variables</w:t>
      </w:r>
    </w:p>
    <w:p>
      <w:pPr>
        <w:numPr>
          <w:ilvl w:val="1"/>
          <w:numId w:val="4"/>
        </w:numPr>
        <w:spacing w:line="360" w:before="105" w:after="105" w:lineRule="auto"/>
      </w:pPr>
      <w:r>
        <w:rPr>
          <w:rFonts w:eastAsia="georgia" w:cs="georgia" w:ascii="georgia" w:hAnsi="georgia"/>
          <w:color w:val="000000"/>
          <w:sz w:val="21"/>
        </w:rPr>
        <w:t xml:space="preserve">One‑year ahead stock price crash risk (e.g., negative skewness, crash indicator).</w:t>
      </w:r>
    </w:p>
    <w:p>
      <w:pPr>
        <w:numPr>
          <w:ilvl w:val="1"/>
          <w:numId w:val="4"/>
        </w:numPr>
        <w:spacing w:line="360" w:before="105" w:after="105" w:lineRule="auto"/>
      </w:pPr>
      <w:r>
        <w:rPr>
          <w:rFonts w:eastAsia="georgia" w:cs="georgia" w:ascii="georgia" w:hAnsi="georgia"/>
          <w:color w:val="000000"/>
          <w:sz w:val="21"/>
        </w:rPr>
        <w:t xml:space="preserve">Realized volatility; jumps; CDS spread changes.</w:t>
      </w:r>
    </w:p>
    <w:p>
      <w:pPr>
        <w:numPr>
          <w:ilvl w:val="1"/>
          <w:numId w:val="4"/>
        </w:numPr>
        <w:spacing w:line="360" w:before="105" w:after="105" w:lineRule="auto"/>
      </w:pPr>
      <w:r>
        <w:rPr>
          <w:rFonts w:eastAsia="georgia" w:cs="georgia" w:ascii="georgia" w:hAnsi="georgia"/>
          <w:color w:val="000000"/>
          <w:sz w:val="21"/>
        </w:rPr>
        <w:t xml:space="preserve">Probability of credit rating downgrades or covenant violations.</w:t>
      </w:r>
    </w:p>
    <w:p>
      <w:pPr>
        <w:numPr>
          <w:ilvl w:val="0"/>
          <w:numId w:val="4"/>
        </w:numPr>
        <w:spacing w:line="360" w:after="210" w:lineRule="auto"/>
      </w:pPr>
      <w:r>
        <w:rPr>
          <w:rFonts w:eastAsia="georgia" w:cs="georgia" w:ascii="georgia" w:hAnsi="georgia"/>
          <w:b/>
          <w:color w:val="000000"/>
          <w:sz w:val="21"/>
        </w:rPr>
        <w:t xml:space="preserve">Key independent variables (text/ML)</w:t>
      </w:r>
    </w:p>
    <w:p>
      <w:pPr>
        <w:numPr>
          <w:ilvl w:val="1"/>
          <w:numId w:val="4"/>
        </w:numPr>
        <w:spacing w:line="360" w:before="105" w:after="105" w:lineRule="auto"/>
      </w:pPr>
      <w:r>
        <w:rPr>
          <w:rFonts w:eastAsia="georgia" w:cs="georgia" w:ascii="georgia" w:hAnsi="georgia"/>
          <w:color w:val="000000"/>
          <w:sz w:val="21"/>
        </w:rPr>
        <w:t xml:space="preserve">Transformer‑based text sentiment, uncertainty and deception cues from Q&amp;A and prepared remarks.</w:t>
      </w:r>
    </w:p>
    <w:p>
      <w:pPr>
        <w:numPr>
          <w:ilvl w:val="1"/>
          <w:numId w:val="4"/>
        </w:numPr>
        <w:spacing w:line="360" w:before="105" w:after="105" w:lineRule="auto"/>
      </w:pPr>
      <w:r>
        <w:rPr>
          <w:rFonts w:eastAsia="georgia" w:cs="georgia" w:ascii="georgia" w:hAnsi="georgia"/>
          <w:color w:val="000000"/>
          <w:sz w:val="21"/>
        </w:rPr>
        <w:t xml:space="preserve">Deep speech embeddings (e.g., wav2vec‑style) capturing vocal stress, hesitations, and prosody.</w:t>
      </w:r>
    </w:p>
    <w:p>
      <w:pPr>
        <w:numPr>
          <w:ilvl w:val="1"/>
          <w:numId w:val="4"/>
        </w:numPr>
        <w:spacing w:line="360" w:before="105" w:after="105" w:lineRule="auto"/>
      </w:pPr>
      <w:r>
        <w:rPr>
          <w:rFonts w:eastAsia="georgia" w:cs="georgia" w:ascii="georgia" w:hAnsi="georgia"/>
          <w:color w:val="000000"/>
          <w:sz w:val="21"/>
        </w:rPr>
        <w:t xml:space="preserve">Interactions between text sentiment and vocal stress (e.g., overly optimistic words with stressed voice).</w:t>
      </w:r>
    </w:p>
    <w:p>
      <w:pPr>
        <w:numPr>
          <w:ilvl w:val="0"/>
          <w:numId w:val="4"/>
        </w:numPr>
        <w:spacing w:line="360" w:after="210" w:lineRule="auto"/>
      </w:pPr>
      <w:r>
        <w:rPr>
          <w:rFonts w:eastAsia="georgia" w:cs="georgia" w:ascii="georgia" w:hAnsi="georgia"/>
          <w:b/>
          <w:color w:val="000000"/>
          <w:sz w:val="21"/>
        </w:rPr>
        <w:t xml:space="preserve">Control variables</w:t>
      </w:r>
    </w:p>
    <w:p>
      <w:pPr>
        <w:numPr>
          <w:ilvl w:val="1"/>
          <w:numId w:val="4"/>
        </w:numPr>
        <w:spacing w:line="360" w:before="105" w:after="105" w:lineRule="auto"/>
      </w:pPr>
      <w:r>
        <w:rPr>
          <w:rFonts w:eastAsia="georgia" w:cs="georgia" w:ascii="georgia" w:hAnsi="georgia"/>
          <w:color w:val="000000"/>
          <w:sz w:val="21"/>
        </w:rPr>
        <w:t xml:space="preserve">Past returns, volatility, leverage, profitability, analyst forecast dispersion, institutional ownership, size, book‑to‑market; firm and quarter fixed effects.</w:t>
      </w:r>
    </w:p>
    <w:p>
      <w:pPr>
        <w:numPr>
          <w:ilvl w:val="0"/>
          <w:numId w:val="4"/>
        </w:numPr>
        <w:spacing w:line="360" w:after="210" w:lineRule="auto"/>
      </w:pPr>
      <w:r>
        <w:rPr>
          <w:rFonts w:eastAsia="georgia" w:cs="georgia" w:ascii="georgia" w:hAnsi="georgia"/>
          <w:b/>
          <w:color w:val="000000"/>
          <w:sz w:val="21"/>
        </w:rPr>
        <w:t xml:space="preserve">Recommended estimators</w:t>
      </w:r>
    </w:p>
    <w:p>
      <w:pPr>
        <w:numPr>
          <w:ilvl w:val="1"/>
          <w:numId w:val="4"/>
        </w:numPr>
        <w:spacing w:line="360" w:before="105" w:after="105" w:lineRule="auto"/>
      </w:pPr>
      <w:r>
        <w:rPr>
          <w:rFonts w:eastAsia="georgia" w:cs="georgia" w:ascii="georgia" w:hAnsi="georgia"/>
          <w:color w:val="000000"/>
          <w:sz w:val="21"/>
        </w:rPr>
        <w:t xml:space="preserve">Main: Firm and time FE OLS/logit with predictive structure (future outcomes on current call features).</w:t>
      </w:r>
    </w:p>
    <w:p>
      <w:pPr>
        <w:numPr>
          <w:ilvl w:val="1"/>
          <w:numId w:val="4"/>
        </w:numPr>
        <w:spacing w:line="360" w:before="105" w:after="105" w:lineRule="auto"/>
      </w:pPr>
      <w:r>
        <w:rPr>
          <w:rFonts w:eastAsia="georgia" w:cs="georgia" w:ascii="georgia" w:hAnsi="georgia"/>
          <w:color w:val="000000"/>
          <w:sz w:val="21"/>
        </w:rPr>
        <w:t xml:space="preserve">Dynamic panel GMM only if you model persistence in risk measures (e.g., volatility) and need to address Nickell bias; otherwise FE is cleaner and easier to defend.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topic_5_llm_measured_accounting_q_a40420"/>
      <w:r>
        <w:rPr>
          <w:rFonts w:eastAsia="georgia" w:cs="georgia" w:ascii="georgia" w:hAnsi="georgia"/>
          <w:b/>
          <w:color w:val="000000"/>
          <w:sz w:val="24"/>
        </w:rPr>
        <w:t xml:space="preserve">Topic 5: LLM‑Measured Accounting Quality from Full Financial Statements and Analyst Substitution</w:t>
      </w:r>
      <w:bookmarkEnd w:id="25"/>
    </w:p>
    <w:p>
      <w:pPr>
        <w:spacing w:line="360" w:after="210" w:lineRule="auto"/>
      </w:pPr>
      <w:r>
        <w:rPr>
          <w:rFonts w:eastAsia="georgia" w:cs="georgia" w:ascii="georgia" w:hAnsi="georgia"/>
          <w:b/>
          <w:color w:val="000000"/>
        </w:rPr>
        <w:t xml:space="preserve">Research idea</w:t>
      </w:r>
      <w:r>
        <w:rPr>
          <w:rFonts w:eastAsia="georgia" w:cs="georgia" w:ascii="georgia" w:hAnsi="georgia"/>
          <w:color w:val="000000"/>
        </w:rPr>
        <w:br w:type="textWrapping"/>
      </w:r>
      <w:r>
        <w:rPr>
          <w:rFonts w:eastAsia="georgia" w:cs="georgia" w:ascii="georgia" w:hAnsi="georgia"/>
          <w:color w:val="000000"/>
        </w:rPr>
        <w:t xml:space="preserve">Inspired by work showing LLMs can perform financial statement analysis similar to human analysts, construct an LLM‑based “accounting quality / red‑flag” index from full financial statements (not just ratios), and study its interaction with sell‑side analysts and price discovery.</w:t>
      </w:r>
      <w:bookmarkStart w:id="26" w:name="fnref7_1"/>
      <w:bookmarkEnd w:id="26"/>
      <w:hyperlink w:anchor="fn7">
        <w:r>
          <w:rPr>
            <w:rFonts w:eastAsia="helvetica neue" w:cs="helvetica neue" w:ascii="helvetica neue" w:hAnsi="helvetica neue"/>
            <w:color w:val="#000"/>
            <w:u w:val="single"/>
            <w:vertAlign w:val="superscript"/>
          </w:rPr>
          <w:t xml:space="preserve">[7]</w:t>
        </w:r>
      </w:hyperlink>
    </w:p>
    <w:p>
      <w:pPr>
        <w:numPr>
          <w:ilvl w:val="0"/>
          <w:numId w:val="5"/>
        </w:numPr>
        <w:spacing w:line="360" w:after="210" w:lineRule="auto"/>
      </w:pPr>
      <w:r>
        <w:rPr>
          <w:rFonts w:eastAsia="georgia" w:cs="georgia" w:ascii="georgia" w:hAnsi="georgia"/>
          <w:b/>
          <w:color w:val="000000"/>
          <w:sz w:val="21"/>
        </w:rPr>
        <w:t xml:space="preserve">Econometric models</w:t>
      </w:r>
    </w:p>
    <w:p>
      <w:pPr>
        <w:numPr>
          <w:ilvl w:val="1"/>
          <w:numId w:val="5"/>
        </w:numPr>
        <w:spacing w:line="360" w:before="105" w:after="105" w:lineRule="auto"/>
      </w:pPr>
      <w:r>
        <w:rPr>
          <w:rFonts w:eastAsia="georgia" w:cs="georgia" w:ascii="georgia" w:hAnsi="georgia"/>
          <w:color w:val="000000"/>
          <w:sz w:val="21"/>
        </w:rPr>
        <w:t xml:space="preserve">Panel regressions with firm and time fixed effects.</w:t>
      </w:r>
    </w:p>
    <w:p>
      <w:pPr>
        <w:numPr>
          <w:ilvl w:val="1"/>
          <w:numId w:val="5"/>
        </w:numPr>
        <w:spacing w:line="360" w:before="105" w:after="105" w:lineRule="auto"/>
      </w:pPr>
      <w:r>
        <w:rPr>
          <w:rFonts w:eastAsia="georgia" w:cs="georgia" w:ascii="georgia" w:hAnsi="georgia"/>
          <w:color w:val="000000"/>
          <w:sz w:val="21"/>
        </w:rPr>
        <w:t xml:space="preserve">Event‑study style tests around restatements/fraud revelations using pre‑event LLM measures.</w:t>
      </w:r>
    </w:p>
    <w:p>
      <w:pPr>
        <w:numPr>
          <w:ilvl w:val="0"/>
          <w:numId w:val="5"/>
        </w:numPr>
        <w:spacing w:line="360" w:after="210" w:lineRule="auto"/>
      </w:pPr>
      <w:r>
        <w:rPr>
          <w:rFonts w:eastAsia="georgia" w:cs="georgia" w:ascii="georgia" w:hAnsi="georgia"/>
          <w:b/>
          <w:color w:val="000000"/>
          <w:sz w:val="21"/>
        </w:rPr>
        <w:t xml:space="preserve">Dependent variables</w:t>
      </w:r>
    </w:p>
    <w:p>
      <w:pPr>
        <w:numPr>
          <w:ilvl w:val="1"/>
          <w:numId w:val="5"/>
        </w:numPr>
        <w:spacing w:line="360" w:before="105" w:after="105" w:lineRule="auto"/>
      </w:pPr>
      <w:r>
        <w:rPr>
          <w:rFonts w:eastAsia="georgia" w:cs="georgia" w:ascii="georgia" w:hAnsi="georgia"/>
          <w:color w:val="000000"/>
          <w:sz w:val="21"/>
        </w:rPr>
        <w:t xml:space="preserve">Analyst coverage, forecast errors and revisions.</w:t>
      </w:r>
    </w:p>
    <w:p>
      <w:pPr>
        <w:numPr>
          <w:ilvl w:val="1"/>
          <w:numId w:val="5"/>
        </w:numPr>
        <w:spacing w:line="360" w:before="105" w:after="105" w:lineRule="auto"/>
      </w:pPr>
      <w:r>
        <w:rPr>
          <w:rFonts w:eastAsia="georgia" w:cs="georgia" w:ascii="georgia" w:hAnsi="georgia"/>
          <w:color w:val="000000"/>
          <w:sz w:val="21"/>
        </w:rPr>
        <w:t xml:space="preserve">Speed and magnitude of market reaction to earnings news.</w:t>
      </w:r>
    </w:p>
    <w:p>
      <w:pPr>
        <w:numPr>
          <w:ilvl w:val="1"/>
          <w:numId w:val="5"/>
        </w:numPr>
        <w:spacing w:line="360" w:before="105" w:after="105" w:lineRule="auto"/>
      </w:pPr>
      <w:r>
        <w:rPr>
          <w:rFonts w:eastAsia="georgia" w:cs="georgia" w:ascii="georgia" w:hAnsi="georgia"/>
          <w:color w:val="000000"/>
          <w:sz w:val="21"/>
        </w:rPr>
        <w:t xml:space="preserve">Incidence and timing of restatements, fraud cases, or going‑concern opinions.</w:t>
      </w:r>
    </w:p>
    <w:p>
      <w:pPr>
        <w:numPr>
          <w:ilvl w:val="0"/>
          <w:numId w:val="5"/>
        </w:numPr>
        <w:spacing w:line="360" w:after="210" w:lineRule="auto"/>
      </w:pPr>
      <w:r>
        <w:rPr>
          <w:rFonts w:eastAsia="georgia" w:cs="georgia" w:ascii="georgia" w:hAnsi="georgia"/>
          <w:b/>
          <w:color w:val="000000"/>
          <w:sz w:val="21"/>
        </w:rPr>
        <w:t xml:space="preserve">Key independent variables (text/ML)</w:t>
      </w:r>
    </w:p>
    <w:p>
      <w:pPr>
        <w:numPr>
          <w:ilvl w:val="1"/>
          <w:numId w:val="5"/>
        </w:numPr>
        <w:spacing w:line="360" w:before="105" w:after="105" w:lineRule="auto"/>
      </w:pPr>
      <w:r>
        <w:rPr>
          <w:rFonts w:eastAsia="georgia" w:cs="georgia" w:ascii="georgia" w:hAnsi="georgia"/>
          <w:color w:val="000000"/>
          <w:sz w:val="21"/>
        </w:rPr>
        <w:t xml:space="preserve">LLM‑generated risk/quality scores from full financial statements, notes and MD&amp;A (e.g., probability of aggressive revenue recognition, off‑balance‑sheet risk).</w:t>
      </w:r>
    </w:p>
    <w:p>
      <w:pPr>
        <w:numPr>
          <w:ilvl w:val="1"/>
          <w:numId w:val="5"/>
        </w:numPr>
        <w:spacing w:line="360" w:before="105" w:after="105" w:lineRule="auto"/>
      </w:pPr>
      <w:r>
        <w:rPr>
          <w:rFonts w:eastAsia="georgia" w:cs="georgia" w:ascii="georgia" w:hAnsi="georgia"/>
          <w:color w:val="000000"/>
          <w:sz w:val="21"/>
        </w:rPr>
        <w:t xml:space="preserve">LLM‑based explanation features (which line items / notes drive the risk score).</w:t>
      </w:r>
    </w:p>
    <w:p>
      <w:pPr>
        <w:numPr>
          <w:ilvl w:val="0"/>
          <w:numId w:val="5"/>
        </w:numPr>
        <w:spacing w:line="360" w:after="210" w:lineRule="auto"/>
      </w:pPr>
      <w:r>
        <w:rPr>
          <w:rFonts w:eastAsia="georgia" w:cs="georgia" w:ascii="georgia" w:hAnsi="georgia"/>
          <w:b/>
          <w:color w:val="000000"/>
          <w:sz w:val="21"/>
        </w:rPr>
        <w:t xml:space="preserve">Control variables</w:t>
      </w:r>
    </w:p>
    <w:p>
      <w:pPr>
        <w:numPr>
          <w:ilvl w:val="1"/>
          <w:numId w:val="5"/>
        </w:numPr>
        <w:spacing w:line="360" w:before="105" w:after="105" w:lineRule="auto"/>
      </w:pPr>
      <w:r>
        <w:rPr>
          <w:rFonts w:eastAsia="georgia" w:cs="georgia" w:ascii="georgia" w:hAnsi="georgia"/>
          <w:color w:val="000000"/>
          <w:sz w:val="21"/>
        </w:rPr>
        <w:t xml:space="preserve">Standard fundamentals (size, ROA, accruals quality, leverage, growth), governance variables, audit quality, industry and year FE.</w:t>
      </w:r>
    </w:p>
    <w:p>
      <w:pPr>
        <w:numPr>
          <w:ilvl w:val="0"/>
          <w:numId w:val="5"/>
        </w:numPr>
        <w:spacing w:line="360" w:after="210" w:lineRule="auto"/>
      </w:pPr>
      <w:r>
        <w:rPr>
          <w:rFonts w:eastAsia="georgia" w:cs="georgia" w:ascii="georgia" w:hAnsi="georgia"/>
          <w:b/>
          <w:color w:val="000000"/>
          <w:sz w:val="21"/>
        </w:rPr>
        <w:t xml:space="preserve">Recommended estimators</w:t>
      </w:r>
    </w:p>
    <w:p>
      <w:pPr>
        <w:numPr>
          <w:ilvl w:val="1"/>
          <w:numId w:val="5"/>
        </w:numPr>
        <w:spacing w:line="360" w:before="105" w:after="105" w:lineRule="auto"/>
      </w:pPr>
      <w:r>
        <w:rPr>
          <w:rFonts w:eastAsia="georgia" w:cs="georgia" w:ascii="georgia" w:hAnsi="georgia"/>
          <w:color w:val="000000"/>
          <w:sz w:val="21"/>
        </w:rPr>
        <w:t xml:space="preserve">Main: FE OLS/logit, with careful use of lags to ensure predictive (not contemporaneous) tests.</w:t>
      </w:r>
    </w:p>
    <w:p>
      <w:pPr>
        <w:numPr>
          <w:ilvl w:val="1"/>
          <w:numId w:val="5"/>
        </w:numPr>
        <w:spacing w:line="360" w:before="105" w:after="105" w:lineRule="auto"/>
      </w:pPr>
      <w:r>
        <w:rPr>
          <w:rFonts w:eastAsia="georgia" w:cs="georgia" w:ascii="georgia" w:hAnsi="georgia"/>
          <w:color w:val="000000"/>
          <w:sz w:val="21"/>
        </w:rPr>
        <w:t xml:space="preserve">For analyst substitution vs complementarity, interact LLM score with analyst coverage and use 2SLS if you have instruments for coverage (e.g., broker closures).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topic_6_ai_generated_vs_human_wri_854d4f"/>
      <w:r>
        <w:rPr>
          <w:rFonts w:eastAsia="georgia" w:cs="georgia" w:ascii="georgia" w:hAnsi="georgia"/>
          <w:b/>
          <w:color w:val="000000"/>
          <w:sz w:val="24"/>
        </w:rPr>
        <w:t xml:space="preserve">Topic 6: AI‑Generated vs Human‑Written Disclosures and Market Efficiency</w:t>
      </w:r>
      <w:bookmarkEnd w:id="27"/>
    </w:p>
    <w:p>
      <w:pPr>
        <w:spacing w:line="360" w:after="210" w:lineRule="auto"/>
      </w:pPr>
      <w:r>
        <w:rPr>
          <w:rFonts w:eastAsia="georgia" w:cs="georgia" w:ascii="georgia" w:hAnsi="georgia"/>
          <w:b/>
          <w:color w:val="000000"/>
        </w:rPr>
        <w:t xml:space="preserve">Research idea</w:t>
      </w:r>
      <w:r>
        <w:rPr>
          <w:rFonts w:eastAsia="georgia" w:cs="georgia" w:ascii="georgia" w:hAnsi="georgia"/>
          <w:color w:val="000000"/>
        </w:rPr>
        <w:br w:type="textWrapping"/>
      </w:r>
      <w:r>
        <w:rPr>
          <w:rFonts w:eastAsia="georgia" w:cs="georgia" w:ascii="georgia" w:hAnsi="georgia"/>
          <w:color w:val="000000"/>
        </w:rPr>
        <w:t xml:space="preserve">Use stylometric and LLM‑based AI‑detector tools to infer which portions of firm disclosures are likely AI‑generated or heavily AI‑assisted, then test how this affects price discovery, information asymmetry, and regulatory outcomes. This builds on the broader LLM‑in‑finance literature highlighting automated text generation.</w:t>
      </w:r>
      <w:bookmarkStart w:id="28" w:name="fnref3_2"/>
      <w:bookmarkEnd w:id="28"/>
      <w:hyperlink w:anchor="fn3">
        <w:r>
          <w:rPr>
            <w:rFonts w:eastAsia="helvetica neue" w:cs="helvetica neue" w:ascii="helvetica neue" w:hAnsi="helvetica neue"/>
            <w:color w:val="#000"/>
            <w:u w:val="single"/>
            <w:vertAlign w:val="superscript"/>
          </w:rPr>
          <w:t xml:space="preserve">[3]</w:t>
        </w:r>
      </w:hyperlink>
      <w:bookmarkStart w:id="29" w:name="fnref14"/>
      <w:bookmarkEnd w:id="29"/>
      <w:hyperlink w:anchor="fn14">
        <w:r>
          <w:rPr>
            <w:rFonts w:eastAsia="helvetica neue" w:cs="helvetica neue" w:ascii="helvetica neue" w:hAnsi="helvetica neue"/>
            <w:color w:val="#000"/>
            <w:u w:val="single"/>
            <w:vertAlign w:val="superscript"/>
          </w:rPr>
          <w:t xml:space="preserve">[14]</w:t>
        </w:r>
      </w:hyperlink>
      <w:bookmarkStart w:id="30" w:name="fnref5_1"/>
      <w:bookmarkEnd w:id="30"/>
      <w:hyperlink w:anchor="fn5">
        <w:r>
          <w:rPr>
            <w:rFonts w:eastAsia="helvetica neue" w:cs="helvetica neue" w:ascii="helvetica neue" w:hAnsi="helvetica neue"/>
            <w:color w:val="#000"/>
            <w:u w:val="single"/>
            <w:vertAlign w:val="superscript"/>
          </w:rPr>
          <w:t xml:space="preserve">[5]</w:t>
        </w:r>
      </w:hyperlink>
    </w:p>
    <w:p>
      <w:pPr>
        <w:numPr>
          <w:ilvl w:val="0"/>
          <w:numId w:val="6"/>
        </w:numPr>
        <w:spacing w:line="360" w:after="210" w:lineRule="auto"/>
      </w:pPr>
      <w:r>
        <w:rPr>
          <w:rFonts w:eastAsia="georgia" w:cs="georgia" w:ascii="georgia" w:hAnsi="georgia"/>
          <w:b/>
          <w:color w:val="000000"/>
          <w:sz w:val="21"/>
        </w:rPr>
        <w:t xml:space="preserve">Econometric models</w:t>
      </w:r>
    </w:p>
    <w:p>
      <w:pPr>
        <w:numPr>
          <w:ilvl w:val="1"/>
          <w:numId w:val="6"/>
        </w:numPr>
        <w:spacing w:line="360" w:before="105" w:after="105" w:lineRule="auto"/>
      </w:pPr>
      <w:r>
        <w:rPr>
          <w:rFonts w:eastAsia="georgia" w:cs="georgia" w:ascii="georgia" w:hAnsi="georgia"/>
          <w:color w:val="000000"/>
          <w:sz w:val="21"/>
        </w:rPr>
        <w:t xml:space="preserve">Panel regressions of market microstructure and price‑efficiency measures on AI‑generated text share.</w:t>
      </w:r>
    </w:p>
    <w:p>
      <w:pPr>
        <w:numPr>
          <w:ilvl w:val="1"/>
          <w:numId w:val="6"/>
        </w:numPr>
        <w:spacing w:line="360" w:before="105" w:after="105" w:lineRule="auto"/>
      </w:pPr>
      <w:r>
        <w:rPr>
          <w:rFonts w:eastAsia="georgia" w:cs="georgia" w:ascii="georgia" w:hAnsi="georgia"/>
          <w:color w:val="000000"/>
          <w:sz w:val="21"/>
        </w:rPr>
        <w:t xml:space="preserve">Event studies around the introduction of firm‑level AI disclosure tools (identified from calls and job postings).</w:t>
      </w:r>
    </w:p>
    <w:p>
      <w:pPr>
        <w:numPr>
          <w:ilvl w:val="0"/>
          <w:numId w:val="6"/>
        </w:numPr>
        <w:spacing w:line="360" w:after="210" w:lineRule="auto"/>
      </w:pPr>
      <w:r>
        <w:rPr>
          <w:rFonts w:eastAsia="georgia" w:cs="georgia" w:ascii="georgia" w:hAnsi="georgia"/>
          <w:b/>
          <w:color w:val="000000"/>
          <w:sz w:val="21"/>
        </w:rPr>
        <w:t xml:space="preserve">Dependent variables</w:t>
      </w:r>
    </w:p>
    <w:p>
      <w:pPr>
        <w:numPr>
          <w:ilvl w:val="1"/>
          <w:numId w:val="6"/>
        </w:numPr>
        <w:spacing w:line="360" w:before="105" w:after="105" w:lineRule="auto"/>
      </w:pPr>
      <w:r>
        <w:rPr>
          <w:rFonts w:eastAsia="georgia" w:cs="georgia" w:ascii="georgia" w:hAnsi="georgia"/>
          <w:color w:val="000000"/>
          <w:sz w:val="21"/>
        </w:rPr>
        <w:t xml:space="preserve">Bid–ask spreads, depth, price delay, PIN/VPIN‑type information asymmetry proxies.</w:t>
      </w:r>
    </w:p>
    <w:p>
      <w:pPr>
        <w:numPr>
          <w:ilvl w:val="1"/>
          <w:numId w:val="6"/>
        </w:numPr>
        <w:spacing w:line="360" w:before="105" w:after="105" w:lineRule="auto"/>
      </w:pPr>
      <w:r>
        <w:rPr>
          <w:rFonts w:eastAsia="georgia" w:cs="georgia" w:ascii="georgia" w:hAnsi="georgia"/>
          <w:color w:val="000000"/>
          <w:sz w:val="21"/>
        </w:rPr>
        <w:t xml:space="preserve">Magnitude and speed of reaction to earnings/MD&amp;A disclosures.</w:t>
      </w:r>
    </w:p>
    <w:p>
      <w:pPr>
        <w:numPr>
          <w:ilvl w:val="1"/>
          <w:numId w:val="6"/>
        </w:numPr>
        <w:spacing w:line="360" w:before="105" w:after="105" w:lineRule="auto"/>
      </w:pPr>
      <w:r>
        <w:rPr>
          <w:rFonts w:eastAsia="georgia" w:cs="georgia" w:ascii="georgia" w:hAnsi="georgia"/>
          <w:color w:val="000000"/>
          <w:sz w:val="21"/>
        </w:rPr>
        <w:t xml:space="preserve">Frequency of comment letters or disclosure‑related enforcement actions.</w:t>
      </w:r>
    </w:p>
    <w:p>
      <w:pPr>
        <w:numPr>
          <w:ilvl w:val="0"/>
          <w:numId w:val="6"/>
        </w:numPr>
        <w:spacing w:line="360" w:after="210" w:lineRule="auto"/>
      </w:pPr>
      <w:r>
        <w:rPr>
          <w:rFonts w:eastAsia="georgia" w:cs="georgia" w:ascii="georgia" w:hAnsi="georgia"/>
          <w:b/>
          <w:color w:val="000000"/>
          <w:sz w:val="21"/>
        </w:rPr>
        <w:t xml:space="preserve">Key independent variables (text/ML)</w:t>
      </w:r>
    </w:p>
    <w:p>
      <w:pPr>
        <w:numPr>
          <w:ilvl w:val="1"/>
          <w:numId w:val="6"/>
        </w:numPr>
        <w:spacing w:line="360" w:before="105" w:after="105" w:lineRule="auto"/>
      </w:pPr>
      <w:r>
        <w:rPr>
          <w:rFonts w:eastAsia="georgia" w:cs="georgia" w:ascii="georgia" w:hAnsi="georgia"/>
          <w:color w:val="000000"/>
          <w:sz w:val="21"/>
        </w:rPr>
        <w:t xml:space="preserve">Estimated proportion of AI‑generated text in filings, MD&amp;A, sustainability reports using modern AI‑detection and stylometric models.</w:t>
      </w:r>
    </w:p>
    <w:p>
      <w:pPr>
        <w:numPr>
          <w:ilvl w:val="1"/>
          <w:numId w:val="6"/>
        </w:numPr>
        <w:spacing w:line="360" w:before="105" w:after="105" w:lineRule="auto"/>
      </w:pPr>
      <w:r>
        <w:rPr>
          <w:rFonts w:eastAsia="georgia" w:cs="georgia" w:ascii="georgia" w:hAnsi="georgia"/>
          <w:color w:val="000000"/>
          <w:sz w:val="21"/>
        </w:rPr>
        <w:t xml:space="preserve">LLM‑based quality measures (coherence, factual consistency, redundancy).</w:t>
      </w:r>
    </w:p>
    <w:p>
      <w:pPr>
        <w:numPr>
          <w:ilvl w:val="0"/>
          <w:numId w:val="6"/>
        </w:numPr>
        <w:spacing w:line="360" w:after="210" w:lineRule="auto"/>
      </w:pPr>
      <w:r>
        <w:rPr>
          <w:rFonts w:eastAsia="georgia" w:cs="georgia" w:ascii="georgia" w:hAnsi="georgia"/>
          <w:b/>
          <w:color w:val="000000"/>
          <w:sz w:val="21"/>
        </w:rPr>
        <w:t xml:space="preserve">Control variables</w:t>
      </w:r>
    </w:p>
    <w:p>
      <w:pPr>
        <w:numPr>
          <w:ilvl w:val="1"/>
          <w:numId w:val="6"/>
        </w:numPr>
        <w:spacing w:line="360" w:before="105" w:after="105" w:lineRule="auto"/>
      </w:pPr>
      <w:r>
        <w:rPr>
          <w:rFonts w:eastAsia="georgia" w:cs="georgia" w:ascii="georgia" w:hAnsi="georgia"/>
          <w:color w:val="000000"/>
          <w:sz w:val="21"/>
        </w:rPr>
        <w:t xml:space="preserve">Firm size, analyst coverage, disclosure length, volatility, institutional ownership, governance; industry‑year FE.</w:t>
      </w:r>
    </w:p>
    <w:p>
      <w:pPr>
        <w:numPr>
          <w:ilvl w:val="0"/>
          <w:numId w:val="6"/>
        </w:numPr>
        <w:spacing w:line="360" w:after="210" w:lineRule="auto"/>
      </w:pPr>
      <w:r>
        <w:rPr>
          <w:rFonts w:eastAsia="georgia" w:cs="georgia" w:ascii="georgia" w:hAnsi="georgia"/>
          <w:b/>
          <w:color w:val="000000"/>
          <w:sz w:val="21"/>
        </w:rPr>
        <w:t xml:space="preserve">Recommended estimators</w:t>
      </w:r>
    </w:p>
    <w:p>
      <w:pPr>
        <w:numPr>
          <w:ilvl w:val="1"/>
          <w:numId w:val="6"/>
        </w:numPr>
        <w:spacing w:line="360" w:before="105" w:after="105" w:lineRule="auto"/>
      </w:pPr>
      <w:r>
        <w:rPr>
          <w:rFonts w:eastAsia="georgia" w:cs="georgia" w:ascii="georgia" w:hAnsi="georgia"/>
          <w:color w:val="000000"/>
          <w:sz w:val="21"/>
        </w:rPr>
        <w:t xml:space="preserve">Main: Firm and time FE OLS; difference‑in‑differences design if you can identify staggered adoption of internal AI writing tools across firms.</w:t>
      </w:r>
    </w:p>
    <w:p>
      <w:pPr>
        <w:numPr>
          <w:ilvl w:val="1"/>
          <w:numId w:val="6"/>
        </w:numPr>
        <w:spacing w:line="360" w:before="105" w:after="105" w:lineRule="auto"/>
      </w:pPr>
      <w:r>
        <w:rPr>
          <w:rFonts w:eastAsia="georgia" w:cs="georgia" w:ascii="georgia" w:hAnsi="georgia"/>
          <w:color w:val="000000"/>
          <w:sz w:val="21"/>
        </w:rPr>
        <w:t xml:space="preserve">IV‑FE (2SLS) if you can instrument AI‑usage with exogenous supply‑side factors (e.g., local AI‑talent supply, vendor partnerships).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topic_7_bank_risk_management_supe_6f5ca4"/>
      <w:r>
        <w:rPr>
          <w:rFonts w:eastAsia="georgia" w:cs="georgia" w:ascii="georgia" w:hAnsi="georgia"/>
          <w:b/>
          <w:color w:val="000000"/>
          <w:sz w:val="24"/>
        </w:rPr>
        <w:t xml:space="preserve">Topic 7: Bank Risk Management, Supervisory Text, and Early‑Warning Models</w:t>
      </w:r>
      <w:bookmarkEnd w:id="31"/>
    </w:p>
    <w:p>
      <w:pPr>
        <w:spacing w:line="360" w:after="210" w:lineRule="auto"/>
      </w:pPr>
      <w:r>
        <w:rPr>
          <w:rFonts w:eastAsia="georgia" w:cs="georgia" w:ascii="georgia" w:hAnsi="georgia"/>
          <w:b/>
          <w:color w:val="000000"/>
        </w:rPr>
        <w:t xml:space="preserve">Research idea</w:t>
      </w:r>
      <w:r>
        <w:rPr>
          <w:rFonts w:eastAsia="georgia" w:cs="georgia" w:ascii="georgia" w:hAnsi="georgia"/>
          <w:color w:val="000000"/>
        </w:rPr>
        <w:br w:type="textWrapping"/>
      </w:r>
      <w:r>
        <w:rPr>
          <w:rFonts w:eastAsia="georgia" w:cs="georgia" w:ascii="georgia" w:hAnsi="georgia"/>
          <w:color w:val="000000"/>
        </w:rPr>
        <w:t xml:space="preserve">Apply LLMs to supervisory reports, bank risk disclosures, and possibly resolution plans to construct granular narratives about risk management quality and regulatory concerns, and assess whether these text‑based measures predict bank distress, funding costs, and systemic risk contributions. This aligns with surveys arguing that text analytics in finance is powerful for fraud, risk and regulatory applications.</w:t>
      </w:r>
      <w:bookmarkStart w:id="32" w:name="fnref15"/>
      <w:bookmarkEnd w:id="32"/>
      <w:hyperlink w:anchor="fn15">
        <w:r>
          <w:rPr>
            <w:rFonts w:eastAsia="helvetica neue" w:cs="helvetica neue" w:ascii="helvetica neue" w:hAnsi="helvetica neue"/>
            <w:color w:val="#000"/>
            <w:u w:val="single"/>
            <w:vertAlign w:val="superscript"/>
          </w:rPr>
          <w:t xml:space="preserve">[15]</w:t>
        </w:r>
      </w:hyperlink>
      <w:bookmarkStart w:id="33" w:name="fnref16"/>
      <w:bookmarkEnd w:id="33"/>
      <w:hyperlink w:anchor="fn16">
        <w:r>
          <w:rPr>
            <w:rFonts w:eastAsia="helvetica neue" w:cs="helvetica neue" w:ascii="helvetica neue" w:hAnsi="helvetica neue"/>
            <w:color w:val="#000"/>
            <w:u w:val="single"/>
            <w:vertAlign w:val="superscript"/>
          </w:rPr>
          <w:t xml:space="preserve">[16]</w:t>
        </w:r>
      </w:hyperlink>
      <w:bookmarkStart w:id="34" w:name="fnref3_3"/>
      <w:bookmarkEnd w:id="34"/>
      <w:hyperlink w:anchor="fn3">
        <w:r>
          <w:rPr>
            <w:rFonts w:eastAsia="helvetica neue" w:cs="helvetica neue" w:ascii="helvetica neue" w:hAnsi="helvetica neue"/>
            <w:color w:val="#000"/>
            <w:u w:val="single"/>
            <w:vertAlign w:val="superscript"/>
          </w:rPr>
          <w:t xml:space="preserve">[3]</w:t>
        </w:r>
      </w:hyperlink>
    </w:p>
    <w:p>
      <w:pPr>
        <w:numPr>
          <w:ilvl w:val="0"/>
          <w:numId w:val="7"/>
        </w:numPr>
        <w:spacing w:line="360" w:after="210" w:lineRule="auto"/>
      </w:pPr>
      <w:r>
        <w:rPr>
          <w:rFonts w:eastAsia="georgia" w:cs="georgia" w:ascii="georgia" w:hAnsi="georgia"/>
          <w:b/>
          <w:color w:val="000000"/>
          <w:sz w:val="21"/>
        </w:rPr>
        <w:t xml:space="preserve">Econometric models</w:t>
      </w:r>
    </w:p>
    <w:p>
      <w:pPr>
        <w:numPr>
          <w:ilvl w:val="1"/>
          <w:numId w:val="7"/>
        </w:numPr>
        <w:spacing w:line="360" w:before="105" w:after="105" w:lineRule="auto"/>
      </w:pPr>
      <w:r>
        <w:rPr>
          <w:rFonts w:eastAsia="georgia" w:cs="georgia" w:ascii="georgia" w:hAnsi="georgia"/>
          <w:color w:val="000000"/>
          <w:sz w:val="21"/>
        </w:rPr>
        <w:t xml:space="preserve">Panel logit/probit for distress events (failures, near‑failures, capital shortfalls).</w:t>
      </w:r>
    </w:p>
    <w:p>
      <w:pPr>
        <w:numPr>
          <w:ilvl w:val="1"/>
          <w:numId w:val="7"/>
        </w:numPr>
        <w:spacing w:line="360" w:before="105" w:after="105" w:lineRule="auto"/>
      </w:pPr>
      <w:r>
        <w:rPr>
          <w:rFonts w:eastAsia="georgia" w:cs="georgia" w:ascii="georgia" w:hAnsi="georgia"/>
          <w:color w:val="000000"/>
          <w:sz w:val="21"/>
        </w:rPr>
        <w:t xml:space="preserve">Linear panel FE for spreads, CDS, deposit funding costs.</w:t>
      </w:r>
    </w:p>
    <w:p>
      <w:pPr>
        <w:numPr>
          <w:ilvl w:val="1"/>
          <w:numId w:val="7"/>
        </w:numPr>
        <w:spacing w:line="360" w:before="105" w:after="105" w:lineRule="auto"/>
      </w:pPr>
      <w:r>
        <w:rPr>
          <w:rFonts w:eastAsia="georgia" w:cs="georgia" w:ascii="georgia" w:hAnsi="georgia"/>
          <w:color w:val="000000"/>
          <w:sz w:val="21"/>
        </w:rPr>
        <w:t xml:space="preserve">Systemic risk regressions (e.g., ∆CoVaR, SRISK) on text‑based measures.</w:t>
      </w:r>
    </w:p>
    <w:p>
      <w:pPr>
        <w:numPr>
          <w:ilvl w:val="0"/>
          <w:numId w:val="7"/>
        </w:numPr>
        <w:spacing w:line="360" w:after="210" w:lineRule="auto"/>
      </w:pPr>
      <w:r>
        <w:rPr>
          <w:rFonts w:eastAsia="georgia" w:cs="georgia" w:ascii="georgia" w:hAnsi="georgia"/>
          <w:b/>
          <w:color w:val="000000"/>
          <w:sz w:val="21"/>
        </w:rPr>
        <w:t xml:space="preserve">Dependent variables</w:t>
      </w:r>
    </w:p>
    <w:p>
      <w:pPr>
        <w:numPr>
          <w:ilvl w:val="1"/>
          <w:numId w:val="7"/>
        </w:numPr>
        <w:spacing w:line="360" w:before="105" w:after="105" w:lineRule="auto"/>
      </w:pPr>
      <w:r>
        <w:rPr>
          <w:rFonts w:eastAsia="georgia" w:cs="georgia" w:ascii="georgia" w:hAnsi="georgia"/>
          <w:color w:val="000000"/>
          <w:sz w:val="21"/>
        </w:rPr>
        <w:t xml:space="preserve">Bank failure/recapitalization indicators; regulatory intervention events.</w:t>
      </w:r>
    </w:p>
    <w:p>
      <w:pPr>
        <w:numPr>
          <w:ilvl w:val="1"/>
          <w:numId w:val="7"/>
        </w:numPr>
        <w:spacing w:line="360" w:before="105" w:after="105" w:lineRule="auto"/>
      </w:pPr>
      <w:r>
        <w:rPr>
          <w:rFonts w:eastAsia="georgia" w:cs="georgia" w:ascii="georgia" w:hAnsi="georgia"/>
          <w:color w:val="000000"/>
          <w:sz w:val="21"/>
        </w:rPr>
        <w:t xml:space="preserve">Funding costs: deposit rates, wholesale funding spreads, CDS spreads.</w:t>
      </w:r>
    </w:p>
    <w:p>
      <w:pPr>
        <w:numPr>
          <w:ilvl w:val="1"/>
          <w:numId w:val="7"/>
        </w:numPr>
        <w:spacing w:line="360" w:before="105" w:after="105" w:lineRule="auto"/>
      </w:pPr>
      <w:r>
        <w:rPr>
          <w:rFonts w:eastAsia="georgia" w:cs="georgia" w:ascii="georgia" w:hAnsi="georgia"/>
          <w:color w:val="000000"/>
          <w:sz w:val="21"/>
        </w:rPr>
        <w:t xml:space="preserve">Systemic risk metrics (∆CoVaR, SRISK).</w:t>
      </w:r>
    </w:p>
    <w:p>
      <w:pPr>
        <w:numPr>
          <w:ilvl w:val="0"/>
          <w:numId w:val="7"/>
        </w:numPr>
        <w:spacing w:line="360" w:after="210" w:lineRule="auto"/>
      </w:pPr>
      <w:r>
        <w:rPr>
          <w:rFonts w:eastAsia="georgia" w:cs="georgia" w:ascii="georgia" w:hAnsi="georgia"/>
          <w:b/>
          <w:color w:val="000000"/>
          <w:sz w:val="21"/>
        </w:rPr>
        <w:t xml:space="preserve">Key independent variables (text/ML)</w:t>
      </w:r>
    </w:p>
    <w:p>
      <w:pPr>
        <w:numPr>
          <w:ilvl w:val="1"/>
          <w:numId w:val="7"/>
        </w:numPr>
        <w:spacing w:line="360" w:before="105" w:after="105" w:lineRule="auto"/>
      </w:pPr>
      <w:r>
        <w:rPr>
          <w:rFonts w:eastAsia="georgia" w:cs="georgia" w:ascii="georgia" w:hAnsi="georgia"/>
          <w:color w:val="000000"/>
          <w:sz w:val="21"/>
        </w:rPr>
        <w:t xml:space="preserve">LLM‑based risk and governance scores from supervisory text and bank disclosures (risk culture, model risk, governance concerns).</w:t>
      </w:r>
    </w:p>
    <w:p>
      <w:pPr>
        <w:numPr>
          <w:ilvl w:val="1"/>
          <w:numId w:val="7"/>
        </w:numPr>
        <w:spacing w:line="360" w:before="105" w:after="105" w:lineRule="auto"/>
      </w:pPr>
      <w:r>
        <w:rPr>
          <w:rFonts w:eastAsia="georgia" w:cs="georgia" w:ascii="georgia" w:hAnsi="georgia"/>
          <w:color w:val="000000"/>
          <w:sz w:val="21"/>
        </w:rPr>
        <w:t xml:space="preserve">Sentiment/uncertainty/complexity in Pillar 3, risk reports, and supervisory letters.</w:t>
      </w:r>
    </w:p>
    <w:p>
      <w:pPr>
        <w:numPr>
          <w:ilvl w:val="0"/>
          <w:numId w:val="7"/>
        </w:numPr>
        <w:spacing w:line="360" w:after="210" w:lineRule="auto"/>
      </w:pPr>
      <w:r>
        <w:rPr>
          <w:rFonts w:eastAsia="georgia" w:cs="georgia" w:ascii="georgia" w:hAnsi="georgia"/>
          <w:b/>
          <w:color w:val="000000"/>
          <w:sz w:val="21"/>
        </w:rPr>
        <w:t xml:space="preserve">Control variables</w:t>
      </w:r>
    </w:p>
    <w:p>
      <w:pPr>
        <w:numPr>
          <w:ilvl w:val="1"/>
          <w:numId w:val="7"/>
        </w:numPr>
        <w:spacing w:line="360" w:before="105" w:after="105" w:lineRule="auto"/>
      </w:pPr>
      <w:r>
        <w:rPr>
          <w:rFonts w:eastAsia="georgia" w:cs="georgia" w:ascii="georgia" w:hAnsi="georgia"/>
          <w:color w:val="000000"/>
          <w:sz w:val="21"/>
        </w:rPr>
        <w:t xml:space="preserve">Capital ratios, liquidity ratios, asset quality, size, business model (loan portfolio composition), macro controls (GDP growth, policy rates), country‑year and bank‑type FE.</w:t>
      </w:r>
    </w:p>
    <w:p>
      <w:pPr>
        <w:numPr>
          <w:ilvl w:val="0"/>
          <w:numId w:val="7"/>
        </w:numPr>
        <w:spacing w:line="360" w:after="210" w:lineRule="auto"/>
      </w:pPr>
      <w:r>
        <w:rPr>
          <w:rFonts w:eastAsia="georgia" w:cs="georgia" w:ascii="georgia" w:hAnsi="georgia"/>
          <w:b/>
          <w:color w:val="000000"/>
          <w:sz w:val="21"/>
        </w:rPr>
        <w:t xml:space="preserve">Recommended estimators</w:t>
      </w:r>
    </w:p>
    <w:p>
      <w:pPr>
        <w:numPr>
          <w:ilvl w:val="1"/>
          <w:numId w:val="7"/>
        </w:numPr>
        <w:spacing w:line="360" w:before="105" w:after="105" w:lineRule="auto"/>
      </w:pPr>
      <w:r>
        <w:rPr>
          <w:rFonts w:eastAsia="georgia" w:cs="georgia" w:ascii="georgia" w:hAnsi="georgia"/>
          <w:color w:val="000000"/>
          <w:sz w:val="21"/>
        </w:rPr>
        <w:t xml:space="preserve">Main: FE logit/probit and FE OLS.</w:t>
      </w:r>
    </w:p>
    <w:p>
      <w:pPr>
        <w:numPr>
          <w:ilvl w:val="1"/>
          <w:numId w:val="7"/>
        </w:numPr>
        <w:spacing w:line="360" w:before="105" w:after="105" w:lineRule="auto"/>
      </w:pPr>
      <w:r>
        <w:rPr>
          <w:rFonts w:eastAsia="georgia" w:cs="georgia" w:ascii="georgia" w:hAnsi="georgia"/>
          <w:color w:val="000000"/>
          <w:sz w:val="21"/>
        </w:rPr>
        <w:t xml:space="preserve">Dynamic panel GMM for systemic risk measures if persistence and endogeneity are severe and you have long panels.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topic_8_global_news_and_social_me_26f29b"/>
      <w:r>
        <w:rPr>
          <w:rFonts w:eastAsia="georgia" w:cs="georgia" w:ascii="georgia" w:hAnsi="georgia"/>
          <w:b/>
          <w:color w:val="000000"/>
          <w:sz w:val="24"/>
        </w:rPr>
        <w:t xml:space="preserve">Topic 8: Global News‑ and Social‑Media‑Based Uncertainty Indices and Macro–Finance Links</w:t>
      </w:r>
      <w:bookmarkEnd w:id="35"/>
    </w:p>
    <w:p>
      <w:pPr>
        <w:spacing w:line="360" w:after="210" w:lineRule="auto"/>
      </w:pPr>
      <w:r>
        <w:rPr>
          <w:rFonts w:eastAsia="georgia" w:cs="georgia" w:ascii="georgia" w:hAnsi="georgia"/>
          <w:b/>
          <w:color w:val="000000"/>
        </w:rPr>
        <w:t xml:space="preserve">Research idea</w:t>
      </w:r>
      <w:r>
        <w:rPr>
          <w:rFonts w:eastAsia="georgia" w:cs="georgia" w:ascii="georgia" w:hAnsi="georgia"/>
          <w:color w:val="000000"/>
        </w:rPr>
        <w:br w:type="textWrapping"/>
      </w:r>
      <w:r>
        <w:rPr>
          <w:rFonts w:eastAsia="georgia" w:cs="georgia" w:ascii="georgia" w:hAnsi="georgia"/>
          <w:color w:val="000000"/>
        </w:rPr>
        <w:t xml:space="preserve">Build high‑frequency global financial uncertainty indices using LLM‑based sentiment and topic models on news, policy speeches, and social media, extending existing textual uncertainty measures but with more robust ML/LLM methods. Then examine their impact on global asset returns, capital flows, and corporate investment.</w:t>
      </w:r>
      <w:bookmarkStart w:id="36" w:name="fnref4_1"/>
      <w:bookmarkEnd w:id="36"/>
      <w:hyperlink w:anchor="fn4">
        <w:r>
          <w:rPr>
            <w:rFonts w:eastAsia="helvetica neue" w:cs="helvetica neue" w:ascii="helvetica neue" w:hAnsi="helvetica neue"/>
            <w:color w:val="#000"/>
            <w:u w:val="single"/>
            <w:vertAlign w:val="superscript"/>
          </w:rPr>
          <w:t xml:space="preserve">[4]</w:t>
        </w:r>
      </w:hyperlink>
      <w:bookmarkStart w:id="37" w:name="fnref16_1"/>
      <w:bookmarkEnd w:id="37"/>
      <w:hyperlink w:anchor="fn16">
        <w:r>
          <w:rPr>
            <w:rFonts w:eastAsia="helvetica neue" w:cs="helvetica neue" w:ascii="helvetica neue" w:hAnsi="helvetica neue"/>
            <w:color w:val="#000"/>
            <w:u w:val="single"/>
            <w:vertAlign w:val="superscript"/>
          </w:rPr>
          <w:t xml:space="preserve">[16]</w:t>
        </w:r>
      </w:hyperlink>
      <w:bookmarkStart w:id="38" w:name="fnref3_4"/>
      <w:bookmarkEnd w:id="38"/>
      <w:hyperlink w:anchor="fn3">
        <w:r>
          <w:rPr>
            <w:rFonts w:eastAsia="helvetica neue" w:cs="helvetica neue" w:ascii="helvetica neue" w:hAnsi="helvetica neue"/>
            <w:color w:val="#000"/>
            <w:u w:val="single"/>
            <w:vertAlign w:val="superscript"/>
          </w:rPr>
          <w:t xml:space="preserve">[3]</w:t>
        </w:r>
      </w:hyperlink>
    </w:p>
    <w:p>
      <w:pPr>
        <w:numPr>
          <w:ilvl w:val="0"/>
          <w:numId w:val="8"/>
        </w:numPr>
        <w:spacing w:line="360" w:after="210" w:lineRule="auto"/>
      </w:pPr>
      <w:r>
        <w:rPr>
          <w:rFonts w:eastAsia="georgia" w:cs="georgia" w:ascii="georgia" w:hAnsi="georgia"/>
          <w:b/>
          <w:color w:val="000000"/>
          <w:sz w:val="21"/>
        </w:rPr>
        <w:t xml:space="preserve">Econometric models</w:t>
      </w:r>
    </w:p>
    <w:p>
      <w:pPr>
        <w:numPr>
          <w:ilvl w:val="1"/>
          <w:numId w:val="8"/>
        </w:numPr>
        <w:spacing w:line="360" w:before="105" w:after="105" w:lineRule="auto"/>
      </w:pPr>
      <w:r>
        <w:rPr>
          <w:rFonts w:eastAsia="georgia" w:cs="georgia" w:ascii="georgia" w:hAnsi="georgia"/>
          <w:color w:val="000000"/>
          <w:sz w:val="21"/>
        </w:rPr>
        <w:t xml:space="preserve">VAR / SVAR or local‑projection models for macro‑financial dynamics.</w:t>
      </w:r>
    </w:p>
    <w:p>
      <w:pPr>
        <w:numPr>
          <w:ilvl w:val="1"/>
          <w:numId w:val="8"/>
        </w:numPr>
        <w:spacing w:line="360" w:before="105" w:after="105" w:lineRule="auto"/>
      </w:pPr>
      <w:r>
        <w:rPr>
          <w:rFonts w:eastAsia="georgia" w:cs="georgia" w:ascii="georgia" w:hAnsi="georgia"/>
          <w:color w:val="000000"/>
          <w:sz w:val="21"/>
        </w:rPr>
        <w:t xml:space="preserve">Panel regressions for firm‑level investment and financing responses.</w:t>
      </w:r>
    </w:p>
    <w:p>
      <w:pPr>
        <w:numPr>
          <w:ilvl w:val="0"/>
          <w:numId w:val="8"/>
        </w:numPr>
        <w:spacing w:line="360" w:after="210" w:lineRule="auto"/>
      </w:pPr>
      <w:r>
        <w:rPr>
          <w:rFonts w:eastAsia="georgia" w:cs="georgia" w:ascii="georgia" w:hAnsi="georgia"/>
          <w:b/>
          <w:color w:val="000000"/>
          <w:sz w:val="21"/>
        </w:rPr>
        <w:t xml:space="preserve">Dependent variables</w:t>
      </w:r>
    </w:p>
    <w:p>
      <w:pPr>
        <w:numPr>
          <w:ilvl w:val="1"/>
          <w:numId w:val="8"/>
        </w:numPr>
        <w:spacing w:line="360" w:before="105" w:after="105" w:lineRule="auto"/>
      </w:pPr>
      <w:r>
        <w:rPr>
          <w:rFonts w:eastAsia="georgia" w:cs="georgia" w:ascii="georgia" w:hAnsi="georgia"/>
          <w:color w:val="000000"/>
          <w:sz w:val="21"/>
        </w:rPr>
        <w:t xml:space="preserve">Country‑level variables: equity and bond index returns, exchange rates, capital flows, investment and output.</w:t>
      </w:r>
    </w:p>
    <w:p>
      <w:pPr>
        <w:numPr>
          <w:ilvl w:val="1"/>
          <w:numId w:val="8"/>
        </w:numPr>
        <w:spacing w:line="360" w:before="105" w:after="105" w:lineRule="auto"/>
      </w:pPr>
      <w:r>
        <w:rPr>
          <w:rFonts w:eastAsia="georgia" w:cs="georgia" w:ascii="georgia" w:hAnsi="georgia"/>
          <w:color w:val="000000"/>
          <w:sz w:val="21"/>
        </w:rPr>
        <w:t xml:space="preserve">Firm‑level: investment rate, cash holdings, leverage, payout policies.</w:t>
      </w:r>
    </w:p>
    <w:p>
      <w:pPr>
        <w:numPr>
          <w:ilvl w:val="0"/>
          <w:numId w:val="8"/>
        </w:numPr>
        <w:spacing w:line="360" w:after="210" w:lineRule="auto"/>
      </w:pPr>
      <w:r>
        <w:rPr>
          <w:rFonts w:eastAsia="georgia" w:cs="georgia" w:ascii="georgia" w:hAnsi="georgia"/>
          <w:b/>
          <w:color w:val="000000"/>
          <w:sz w:val="21"/>
        </w:rPr>
        <w:t xml:space="preserve">Key independent variables (text/ML)</w:t>
      </w:r>
    </w:p>
    <w:p>
      <w:pPr>
        <w:numPr>
          <w:ilvl w:val="1"/>
          <w:numId w:val="8"/>
        </w:numPr>
        <w:spacing w:line="360" w:before="105" w:after="105" w:lineRule="auto"/>
      </w:pPr>
      <w:r>
        <w:rPr>
          <w:rFonts w:eastAsia="georgia" w:cs="georgia" w:ascii="georgia" w:hAnsi="georgia"/>
          <w:color w:val="000000"/>
          <w:sz w:val="21"/>
        </w:rPr>
        <w:t xml:space="preserve">LLM‑derived uncertainty and risk‑aversion indices from global financial news and policy communications (beyond dictionary‑based EPU measures).</w:t>
      </w:r>
    </w:p>
    <w:p>
      <w:pPr>
        <w:numPr>
          <w:ilvl w:val="1"/>
          <w:numId w:val="8"/>
        </w:numPr>
        <w:spacing w:line="360" w:before="105" w:after="105" w:lineRule="auto"/>
      </w:pPr>
      <w:r>
        <w:rPr>
          <w:rFonts w:eastAsia="georgia" w:cs="georgia" w:ascii="georgia" w:hAnsi="georgia"/>
          <w:color w:val="000000"/>
          <w:sz w:val="21"/>
        </w:rPr>
        <w:t xml:space="preserve">Decomposition into policy, financial, geopolitical and climate‑related uncertainty components.</w:t>
      </w:r>
    </w:p>
    <w:p>
      <w:pPr>
        <w:numPr>
          <w:ilvl w:val="0"/>
          <w:numId w:val="8"/>
        </w:numPr>
        <w:spacing w:line="360" w:after="210" w:lineRule="auto"/>
      </w:pPr>
      <w:r>
        <w:rPr>
          <w:rFonts w:eastAsia="georgia" w:cs="georgia" w:ascii="georgia" w:hAnsi="georgia"/>
          <w:b/>
          <w:color w:val="000000"/>
          <w:sz w:val="21"/>
        </w:rPr>
        <w:t xml:space="preserve">Control variables</w:t>
      </w:r>
    </w:p>
    <w:p>
      <w:pPr>
        <w:numPr>
          <w:ilvl w:val="1"/>
          <w:numId w:val="8"/>
        </w:numPr>
        <w:spacing w:line="360" w:before="105" w:after="105" w:lineRule="auto"/>
      </w:pPr>
      <w:r>
        <w:rPr>
          <w:rFonts w:eastAsia="georgia" w:cs="georgia" w:ascii="georgia" w:hAnsi="georgia"/>
          <w:color w:val="000000"/>
          <w:sz w:val="21"/>
        </w:rPr>
        <w:t xml:space="preserve">Standard macro controls (GDP growth, inflation, policy rates, VIX) and firm‑level controls (size, cash flow, Tobin’s Q, leverage); country‑year and industry‑year FE.</w:t>
      </w:r>
    </w:p>
    <w:p>
      <w:pPr>
        <w:numPr>
          <w:ilvl w:val="0"/>
          <w:numId w:val="8"/>
        </w:numPr>
        <w:spacing w:line="360" w:after="210" w:lineRule="auto"/>
      </w:pPr>
      <w:r>
        <w:rPr>
          <w:rFonts w:eastAsia="georgia" w:cs="georgia" w:ascii="georgia" w:hAnsi="georgia"/>
          <w:b/>
          <w:color w:val="000000"/>
          <w:sz w:val="21"/>
        </w:rPr>
        <w:t xml:space="preserve">Recommended estimators</w:t>
      </w:r>
    </w:p>
    <w:p>
      <w:pPr>
        <w:numPr>
          <w:ilvl w:val="1"/>
          <w:numId w:val="8"/>
        </w:numPr>
        <w:spacing w:line="360" w:before="105" w:after="105" w:lineRule="auto"/>
      </w:pPr>
      <w:r>
        <w:rPr>
          <w:rFonts w:eastAsia="georgia" w:cs="georgia" w:ascii="georgia" w:hAnsi="georgia"/>
          <w:color w:val="000000"/>
          <w:sz w:val="21"/>
        </w:rPr>
        <w:t xml:space="preserve">Main: VAR/SVAR and Jordà‑style local projections for impulse‑response analysis.</w:t>
      </w:r>
    </w:p>
    <w:p>
      <w:pPr>
        <w:numPr>
          <w:ilvl w:val="1"/>
          <w:numId w:val="8"/>
        </w:numPr>
        <w:spacing w:line="360" w:before="105" w:after="105" w:lineRule="auto"/>
      </w:pPr>
      <w:r>
        <w:rPr>
          <w:rFonts w:eastAsia="georgia" w:cs="georgia" w:ascii="georgia" w:hAnsi="georgia"/>
          <w:color w:val="000000"/>
          <w:sz w:val="21"/>
        </w:rPr>
        <w:t xml:space="preserve">Panel FE OLS for firm‑level investment equations; possible dynamic panel GMM if including lagged investment.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These topics are intentionally framed at the “economic question first, method second” level that JoF/FT50 referees typically expect, while leveraging exactly the frontier directions identified by recent surveys in textual analysis, deep learning, and LLMs in finance and accounting. If you tell me which 2–3 domains (ESG, banking, corporate finance, asset pricing, Indian context, etc.) you want to prioritize, I can refine one topic into a near‑publishable design with specific hypotheses, sample construction, and identification tests.</w:t>
      </w:r>
      <w:bookmarkStart w:id="39" w:name="fnref8_2"/>
      <w:bookmarkEnd w:id="39"/>
      <w:hyperlink w:anchor="fn8">
        <w:r>
          <w:rPr>
            <w:rFonts w:eastAsia="helvetica neue" w:cs="helvetica neue" w:ascii="helvetica neue" w:hAnsi="helvetica neue"/>
            <w:color w:val="#000"/>
            <w:u w:val="single"/>
            <w:vertAlign w:val="superscript"/>
          </w:rPr>
          <w:t xml:space="preserve">[8]</w:t>
        </w:r>
      </w:hyperlink>
      <w:bookmarkStart w:id="40" w:name="fnref1_2"/>
      <w:bookmarkEnd w:id="40"/>
      <w:hyperlink w:anchor="fn1">
        <w:r>
          <w:rPr>
            <w:rFonts w:eastAsia="helvetica neue" w:cs="helvetica neue" w:ascii="helvetica neue" w:hAnsi="helvetica neue"/>
            <w:color w:val="#000"/>
            <w:u w:val="single"/>
            <w:vertAlign w:val="superscript"/>
          </w:rPr>
          <w:t xml:space="preserve">[1]</w:t>
        </w:r>
      </w:hyperlink>
      <w:bookmarkStart w:id="41" w:name="fnref2_3"/>
      <w:bookmarkEnd w:id="41"/>
      <w:hyperlink w:anchor="fn2">
        <w:r>
          <w:rPr>
            <w:rFonts w:eastAsia="helvetica neue" w:cs="helvetica neue" w:ascii="helvetica neue" w:hAnsi="helvetica neue"/>
            <w:color w:val="#000"/>
            <w:u w:val="single"/>
            <w:vertAlign w:val="superscript"/>
          </w:rPr>
          <w:t xml:space="preserve">[2]</w:t>
        </w:r>
      </w:hyperlink>
      <w:bookmarkStart w:id="42" w:name="fnref4_2"/>
      <w:bookmarkEnd w:id="42"/>
      <w:hyperlink w:anchor="fn4">
        <w:r>
          <w:rPr>
            <w:rFonts w:eastAsia="helvetica neue" w:cs="helvetica neue" w:ascii="helvetica neue" w:hAnsi="helvetica neue"/>
            <w:color w:val="#000"/>
            <w:u w:val="single"/>
            <w:vertAlign w:val="superscript"/>
          </w:rPr>
          <w:t xml:space="preserve">[4]</w:t>
        </w:r>
      </w:hyperlink>
      <w:bookmarkStart w:id="43" w:name="fnref5_2"/>
      <w:bookmarkEnd w:id="43"/>
      <w:hyperlink w:anchor="fn5">
        <w:r>
          <w:rPr>
            <w:rFonts w:eastAsia="helvetica neue" w:cs="helvetica neue" w:ascii="helvetica neue" w:hAnsi="helvetica neue"/>
            <w:color w:val="#000"/>
            <w:u w:val="single"/>
            <w:vertAlign w:val="superscript"/>
          </w:rPr>
          <w:t xml:space="preserve">[5]</w:t>
        </w:r>
      </w:hyperlink>
      <w:bookmarkStart w:id="44" w:name="fnref3_5"/>
      <w:bookmarkEnd w:id="44"/>
      <w:hyperlink w:anchor="fn3">
        <w:r>
          <w:rPr>
            <w:rFonts w:eastAsia="helvetica neue" w:cs="helvetica neue" w:ascii="helvetica neue" w:hAnsi="helvetica neue"/>
            <w:color w:val="#000"/>
            <w:u w:val="single"/>
            <w:vertAlign w:val="superscript"/>
          </w:rPr>
          <w:t xml:space="preserve">[3]</w:t>
        </w:r>
      </w:hyperlink>
      <w:bookmarkStart w:id="45" w:name="fnref6_2"/>
      <w:bookmarkEnd w:id="45"/>
      <w:hyperlink w:anchor="fn6">
        <w:r>
          <w:rPr>
            <w:rFonts w:eastAsia="helvetica neue" w:cs="helvetica neue" w:ascii="helvetica neue" w:hAnsi="helvetica neue"/>
            <w:color w:val="#000"/>
            <w:u w:val="single"/>
            <w:vertAlign w:val="superscript"/>
          </w:rPr>
          <w:t xml:space="preserve">[6]</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6" w:name="fn1"/>
    <w:bookmarkEnd w:id="46"/>
    <w:p>
      <w:pPr>
        <w:numPr>
          <w:ilvl w:val="0"/>
          <w:numId w:val="10"/>
        </w:numPr>
        <w:spacing w:line="360" w:after="210" w:lineRule="auto"/>
      </w:pPr>
      <w:hyperlink r:id="rId6">
        <w:r>
          <w:rPr>
            <w:rFonts w:eastAsia="helvetica neue" w:cs="helvetica neue" w:ascii="helvetica neue" w:hAnsi="helvetica neue"/>
            <w:color w:val="#000"/>
            <w:sz w:val="18"/>
            <w:u w:val="single"/>
          </w:rPr>
          <w:t xml:space="preserve">https://onlinelibrary.wiley.com/doi/10.1111/1911-3846.12825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 w:name="fn2"/>
    <w:bookmarkEnd w:id="47"/>
    <w:p>
      <w:pPr>
        <w:numPr>
          <w:ilvl w:val="0"/>
          <w:numId w:val="10"/>
        </w:numPr>
        <w:spacing w:line="360" w:after="210" w:lineRule="auto"/>
      </w:pPr>
      <w:hyperlink r:id="rId7">
        <w:r>
          <w:rPr>
            <w:rFonts w:eastAsia="helvetica neue" w:cs="helvetica neue" w:ascii="helvetica neue" w:hAnsi="helvetica neue"/>
            <w:color w:val="#000"/>
            <w:sz w:val="18"/>
            <w:u w:val="single"/>
          </w:rPr>
          <w:t xml:space="preserve">https://onlinelibrary.wiley.com/doi/abs/10.1111/1475-679X.12123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8" w:name="fn3"/>
    <w:bookmarkEnd w:id="48"/>
    <w:p>
      <w:pPr>
        <w:numPr>
          <w:ilvl w:val="0"/>
          <w:numId w:val="10"/>
        </w:numPr>
        <w:spacing w:line="360" w:after="210" w:lineRule="auto"/>
      </w:pPr>
      <w:hyperlink r:id="rId8">
        <w:r>
          <w:rPr>
            <w:rFonts w:eastAsia="helvetica neue" w:cs="helvetica neue" w:ascii="helvetica neue" w:hAnsi="helvetica neue"/>
            <w:color w:val="#000"/>
            <w:sz w:val="18"/>
            <w:u w:val="single"/>
          </w:rPr>
          <w:t xml:space="preserve">https://arxiv.org/abs/2406.11903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9" w:name="fn4"/>
    <w:bookmarkEnd w:id="49"/>
    <w:p>
      <w:pPr>
        <w:numPr>
          <w:ilvl w:val="0"/>
          <w:numId w:val="10"/>
        </w:numPr>
        <w:spacing w:line="360" w:after="210" w:lineRule="auto"/>
      </w:pPr>
      <w:hyperlink r:id="rId9">
        <w:r>
          <w:rPr>
            <w:rFonts w:eastAsia="helvetica neue" w:cs="helvetica neue" w:ascii="helvetica neue" w:hAnsi="helvetica neue"/>
            <w:color w:val="#000"/>
            <w:sz w:val="18"/>
            <w:u w:val="single"/>
          </w:rPr>
          <w:t xml:space="preserve">https://www.annualreviews.org/content/journals/10.1146/annurev-financial-012820-032249;jsessionid=w7EGCY3FYYXkA3mzDBE_e_C2i3e-OvJQayKwhg0y.annurevlive-10-241-10-107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0" w:name="fn5"/>
    <w:bookmarkEnd w:id="50"/>
    <w:p>
      <w:pPr>
        <w:numPr>
          <w:ilvl w:val="0"/>
          <w:numId w:val="10"/>
        </w:numPr>
        <w:spacing w:line="360" w:after="210" w:lineRule="auto"/>
      </w:pPr>
      <w:hyperlink r:id="rId10">
        <w:r>
          <w:rPr>
            <w:rFonts w:eastAsia="helvetica neue" w:cs="helvetica neue" w:ascii="helvetica neue" w:hAnsi="helvetica neue"/>
            <w:color w:val="#000"/>
            <w:sz w:val="18"/>
            <w:u w:val="single"/>
          </w:rPr>
          <w:t xml:space="preserve">https://arxiv.org/abs/2311.10723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1" w:name="fn6"/>
    <w:bookmarkEnd w:id="51"/>
    <w:p>
      <w:pPr>
        <w:numPr>
          <w:ilvl w:val="0"/>
          <w:numId w:val="10"/>
        </w:numPr>
        <w:spacing w:line="360" w:after="210" w:lineRule="auto"/>
      </w:pPr>
      <w:hyperlink r:id="rId11">
        <w:r>
          <w:rPr>
            <w:rFonts w:eastAsia="helvetica neue" w:cs="helvetica neue" w:ascii="helvetica neue" w:hAnsi="helvetica neue"/>
            <w:color w:val="#000"/>
            <w:sz w:val="18"/>
            <w:u w:val="single"/>
          </w:rPr>
          <w:t xml:space="preserve">https://www.emerald.com/cafr/article/27/2/181/1246248/Firm-level-climate-risk-exposure-ESG-disclosure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2" w:name="fn7"/>
    <w:bookmarkEnd w:id="52"/>
    <w:p>
      <w:pPr>
        <w:numPr>
          <w:ilvl w:val="0"/>
          <w:numId w:val="10"/>
        </w:numPr>
        <w:spacing w:line="360" w:after="210" w:lineRule="auto"/>
      </w:pPr>
      <w:hyperlink r:id="rId12">
        <w:r>
          <w:rPr>
            <w:rFonts w:eastAsia="helvetica neue" w:cs="helvetica neue" w:ascii="helvetica neue" w:hAnsi="helvetica neue"/>
            <w:color w:val="#000"/>
            <w:sz w:val="18"/>
            <w:u w:val="single"/>
          </w:rPr>
          <w:t xml:space="preserve">https://arxiv.org/html/2407.17866v2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 w:name="fn8"/>
    <w:bookmarkEnd w:id="53"/>
    <w:p>
      <w:pPr>
        <w:numPr>
          <w:ilvl w:val="0"/>
          <w:numId w:val="10"/>
        </w:numPr>
        <w:spacing w:line="360" w:after="210" w:lineRule="auto"/>
      </w:pPr>
      <w:hyperlink r:id="rId13">
        <w:r>
          <w:rPr>
            <w:rFonts w:eastAsia="helvetica neue" w:cs="helvetica neue" w:ascii="helvetica neue" w:hAnsi="helvetica neue"/>
            <w:color w:val="#000"/>
            <w:sz w:val="18"/>
            <w:u w:val="single"/>
          </w:rPr>
          <w:t xml:space="preserve">https://www.sciencedirect.com/science/article/abs/pii/S0890838925001866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4" w:name="fn9"/>
    <w:bookmarkEnd w:id="54"/>
    <w:p>
      <w:pPr>
        <w:numPr>
          <w:ilvl w:val="0"/>
          <w:numId w:val="10"/>
        </w:numPr>
        <w:spacing w:line="360" w:after="210" w:lineRule="auto"/>
      </w:pPr>
      <w:hyperlink r:id="rId14">
        <w:r>
          <w:rPr>
            <w:rFonts w:eastAsia="helvetica neue" w:cs="helvetica neue" w:ascii="helvetica neue" w:hAnsi="helvetica neue"/>
            <w:color w:val="#000"/>
            <w:sz w:val="18"/>
            <w:u w:val="single"/>
          </w:rPr>
          <w:t xml:space="preserve">https://www.annualreviews.org/docserver/fulltext/financial/12/1/annurev-financial-012820-032249.pdf?expires=1743345802&amp;id=id&amp;accname=guest&amp;checksum=92165896ADAFBFBCE3571F169AD0190F</w:t>
        </w:r>
      </w:hyperlink>
      <w:r>
        <w:rPr>
          <w:rFonts w:eastAsia="georgia" w:cs="georgia" w:ascii="georgia" w:hAnsi="georgia"/>
          <w:color w:val="000000"/>
          <w:sz w:val="18"/>
        </w:rPr>
        <w:t xml:space="preserve"> </w:t>
      </w:r>
    </w:p>
    <w:bookmarkStart w:id="55" w:name="fn10"/>
    <w:bookmarkEnd w:id="55"/>
    <w:p>
      <w:pPr>
        <w:numPr>
          <w:ilvl w:val="0"/>
          <w:numId w:val="10"/>
        </w:numPr>
        <w:spacing w:line="360" w:after="210" w:lineRule="auto"/>
      </w:pPr>
      <w:hyperlink r:id="rId15">
        <w:r>
          <w:rPr>
            <w:rFonts w:eastAsia="helvetica neue" w:cs="helvetica neue" w:ascii="helvetica neue" w:hAnsi="helvetica neue"/>
            <w:color w:val="#000"/>
            <w:sz w:val="18"/>
            <w:u w:val="single"/>
          </w:rPr>
          <w:t xml:space="preserve">https://sustainablefinancealliance.org/paper/esg-disclosure-a-text-analysis-of-mutual-fund-shareholder-letters/</w:t>
        </w:r>
      </w:hyperlink>
      <w:r>
        <w:rPr>
          <w:rFonts w:eastAsia="georgia" w:cs="georgia" w:ascii="georgia" w:hAnsi="georgia"/>
          <w:color w:val="000000"/>
          <w:sz w:val="18"/>
        </w:rPr>
        <w:t xml:space="preserve"> </w:t>
      </w:r>
    </w:p>
    <w:bookmarkStart w:id="56" w:name="fn11"/>
    <w:bookmarkEnd w:id="56"/>
    <w:p>
      <w:pPr>
        <w:numPr>
          <w:ilvl w:val="0"/>
          <w:numId w:val="10"/>
        </w:numPr>
        <w:spacing w:line="360" w:after="210" w:lineRule="auto"/>
      </w:pPr>
      <w:hyperlink r:id="rId16">
        <w:r>
          <w:rPr>
            <w:rFonts w:eastAsia="helvetica neue" w:cs="helvetica neue" w:ascii="helvetica neue" w:hAnsi="helvetica neue"/>
            <w:color w:val="#000"/>
            <w:sz w:val="18"/>
            <w:u w:val="single"/>
          </w:rPr>
          <w:t xml:space="preserve">https://www.jesd-online.com/articles/environmental-and-sustainability-disclosures-as-signals-of-firm-value-a-comparative-empirical-analysis-across-institutio.pdf</w:t>
        </w:r>
      </w:hyperlink>
      <w:r>
        <w:rPr>
          <w:rFonts w:eastAsia="georgia" w:cs="georgia" w:ascii="georgia" w:hAnsi="georgia"/>
          <w:color w:val="000000"/>
          <w:sz w:val="18"/>
        </w:rPr>
        <w:t xml:space="preserve"> </w:t>
      </w:r>
    </w:p>
    <w:bookmarkStart w:id="57" w:name="fn12"/>
    <w:bookmarkEnd w:id="57"/>
    <w:p>
      <w:pPr>
        <w:numPr>
          <w:ilvl w:val="0"/>
          <w:numId w:val="10"/>
        </w:numPr>
        <w:spacing w:line="360" w:after="210" w:lineRule="auto"/>
      </w:pPr>
      <w:hyperlink r:id="rId17">
        <w:r>
          <w:rPr>
            <w:rFonts w:eastAsia="helvetica neue" w:cs="helvetica neue" w:ascii="helvetica neue" w:hAnsi="helvetica neue"/>
            <w:color w:val="#000"/>
            <w:sz w:val="18"/>
            <w:u w:val="single"/>
          </w:rPr>
          <w:t xml:space="preserve">https://arxiv.org/abs/2503.01886</w:t>
        </w:r>
      </w:hyperlink>
      <w:r>
        <w:rPr>
          <w:rFonts w:eastAsia="georgia" w:cs="georgia" w:ascii="georgia" w:hAnsi="georgia"/>
          <w:color w:val="000000"/>
          <w:sz w:val="18"/>
        </w:rPr>
        <w:t xml:space="preserve"> </w:t>
      </w:r>
    </w:p>
    <w:bookmarkStart w:id="58" w:name="fn13"/>
    <w:bookmarkEnd w:id="58"/>
    <w:p>
      <w:pPr>
        <w:numPr>
          <w:ilvl w:val="0"/>
          <w:numId w:val="10"/>
        </w:numPr>
        <w:spacing w:line="360" w:after="210" w:lineRule="auto"/>
      </w:pPr>
      <w:hyperlink r:id="rId18">
        <w:r>
          <w:rPr>
            <w:rFonts w:eastAsia="helvetica neue" w:cs="helvetica neue" w:ascii="helvetica neue" w:hAnsi="helvetica neue"/>
            <w:color w:val="#000"/>
            <w:sz w:val="18"/>
            <w:u w:val="single"/>
          </w:rPr>
          <w:t xml:space="preserve">https://www.netspar.nl/wp-content/uploads/Netspar-Industry-Paper-2025-15-WEB.pdf</w:t>
        </w:r>
      </w:hyperlink>
      <w:r>
        <w:rPr>
          <w:rFonts w:eastAsia="georgia" w:cs="georgia" w:ascii="georgia" w:hAnsi="georgia"/>
          <w:color w:val="000000"/>
          <w:sz w:val="18"/>
        </w:rPr>
        <w:t xml:space="preserve"> </w:t>
      </w:r>
    </w:p>
    <w:bookmarkStart w:id="59" w:name="fn14"/>
    <w:bookmarkEnd w:id="59"/>
    <w:p>
      <w:pPr>
        <w:numPr>
          <w:ilvl w:val="0"/>
          <w:numId w:val="10"/>
        </w:numPr>
        <w:spacing w:line="360" w:after="210" w:lineRule="auto"/>
      </w:pPr>
      <w:hyperlink r:id="rId19">
        <w:r>
          <w:rPr>
            <w:rFonts w:eastAsia="helvetica neue" w:cs="helvetica neue" w:ascii="helvetica neue" w:hAnsi="helvetica neue"/>
            <w:color w:val="#000"/>
            <w:sz w:val="18"/>
            <w:u w:val="single"/>
          </w:rPr>
          <w:t xml:space="preserve">https://dl.acm.org/doi/10.1145/3604237.3626869</w:t>
        </w:r>
      </w:hyperlink>
      <w:r>
        <w:rPr>
          <w:rFonts w:eastAsia="georgia" w:cs="georgia" w:ascii="georgia" w:hAnsi="georgia"/>
          <w:color w:val="000000"/>
          <w:sz w:val="18"/>
        </w:rPr>
        <w:t xml:space="preserve"> </w:t>
      </w:r>
    </w:p>
    <w:bookmarkStart w:id="60" w:name="fn15"/>
    <w:bookmarkEnd w:id="60"/>
    <w:p>
      <w:pPr>
        <w:numPr>
          <w:ilvl w:val="0"/>
          <w:numId w:val="10"/>
        </w:numPr>
        <w:spacing w:line="360" w:after="210" w:lineRule="auto"/>
      </w:pPr>
      <w:hyperlink r:id="rId20">
        <w:r>
          <w:rPr>
            <w:rFonts w:eastAsia="helvetica neue" w:cs="helvetica neue" w:ascii="helvetica neue" w:hAnsi="helvetica neue"/>
            <w:color w:val="#000"/>
            <w:sz w:val="18"/>
            <w:u w:val="single"/>
          </w:rPr>
          <w:t xml:space="preserve">https://papers.ssrn.com/sol3/papers.cfm?abstract_id=3470272</w:t>
        </w:r>
      </w:hyperlink>
      <w:r>
        <w:rPr>
          <w:rFonts w:eastAsia="georgia" w:cs="georgia" w:ascii="georgia" w:hAnsi="georgia"/>
          <w:color w:val="000000"/>
          <w:sz w:val="18"/>
        </w:rPr>
        <w:t xml:space="preserve"> </w:t>
      </w:r>
    </w:p>
    <w:bookmarkStart w:id="61" w:name="fn16"/>
    <w:bookmarkEnd w:id="61"/>
    <w:p>
      <w:pPr>
        <w:numPr>
          <w:ilvl w:val="0"/>
          <w:numId w:val="10"/>
        </w:numPr>
        <w:spacing w:line="360" w:after="210" w:lineRule="auto"/>
      </w:pPr>
      <w:hyperlink r:id="rId21">
        <w:r>
          <w:rPr>
            <w:rFonts w:eastAsia="helvetica neue" w:cs="helvetica neue" w:ascii="helvetica neue" w:hAnsi="helvetica neue"/>
            <w:color w:val="#000"/>
            <w:sz w:val="18"/>
            <w:u w:val="single"/>
          </w:rPr>
          <w:t xml:space="preserve">https://econpapers.repec.org/article/anrrefeco/v_3a12_3ay_3a2020_3ap_3a357-375.htm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2" w:name="fn17"/>
    <w:bookmarkEnd w:id="62"/>
    <w:p>
      <w:pPr>
        <w:numPr>
          <w:ilvl w:val="0"/>
          <w:numId w:val="10"/>
        </w:numPr>
        <w:spacing w:line="360" w:after="210" w:lineRule="auto"/>
      </w:pPr>
      <w:hyperlink r:id="rId22">
        <w:r>
          <w:rPr>
            <w:rFonts w:eastAsia="helvetica neue" w:cs="helvetica neue" w:ascii="helvetica neue" w:hAnsi="helvetica neue"/>
            <w:color w:val="#000"/>
            <w:sz w:val="18"/>
            <w:u w:val="single"/>
          </w:rPr>
          <w:t xml:space="preserve">https://papers.ssrn.com/sol3/papers.cfm?abstract_id=4029950</w:t>
        </w:r>
      </w:hyperlink>
      <w:r>
        <w:rPr>
          <w:rFonts w:eastAsia="georgia" w:cs="georgia" w:ascii="georgia" w:hAnsi="georgia"/>
          <w:color w:val="000000"/>
          <w:sz w:val="18"/>
        </w:rPr>
        <w:t xml:space="preserve"> </w:t>
      </w:r>
    </w:p>
    <w:bookmarkStart w:id="63" w:name="fn18"/>
    <w:bookmarkEnd w:id="63"/>
    <w:p>
      <w:pPr>
        <w:numPr>
          <w:ilvl w:val="0"/>
          <w:numId w:val="10"/>
        </w:numPr>
        <w:spacing w:line="360" w:after="210" w:lineRule="auto"/>
      </w:pPr>
      <w:hyperlink r:id="rId23">
        <w:r>
          <w:rPr>
            <w:rFonts w:eastAsia="helvetica neue" w:cs="helvetica neue" w:ascii="helvetica neue" w:hAnsi="helvetica neue"/>
            <w:color w:val="#000"/>
            <w:sz w:val="18"/>
            <w:u w:val="single"/>
          </w:rPr>
          <w:t xml:space="preserve">https://www.sciencedirect.com/science/journal/08908389/vsi/103LNLBRZW5</w:t>
        </w:r>
      </w:hyperlink>
      <w:r>
        <w:rPr>
          <w:rFonts w:eastAsia="georgia" w:cs="georgia" w:ascii="georgia" w:hAnsi="georgia"/>
          <w:color w:val="000000"/>
          <w:sz w:val="18"/>
        </w:rPr>
        <w:t xml:space="preserve"> </w:t>
      </w:r>
    </w:p>
    <w:bookmarkStart w:id="64" w:name="fn19"/>
    <w:bookmarkEnd w:id="64"/>
    <w:p>
      <w:pPr>
        <w:numPr>
          <w:ilvl w:val="0"/>
          <w:numId w:val="10"/>
        </w:numPr>
        <w:spacing w:line="360" w:after="210" w:lineRule="auto"/>
      </w:pPr>
      <w:hyperlink r:id="rId24">
        <w:r>
          <w:rPr>
            <w:rFonts w:eastAsia="helvetica neue" w:cs="helvetica neue" w:ascii="helvetica neue" w:hAnsi="helvetica neue"/>
            <w:color w:val="#000"/>
            <w:sz w:val="18"/>
            <w:u w:val="single"/>
          </w:rPr>
          <w:t xml:space="preserve">https://www.kellogg.northwestern.edu/academics-research/research/detail/2023/textual-analysis-in-accounting-whats-next/</w:t>
        </w:r>
      </w:hyperlink>
      <w:r>
        <w:rPr>
          <w:rFonts w:eastAsia="georgia" w:cs="georgia" w:ascii="georgia" w:hAnsi="georgia"/>
          <w:color w:val="000000"/>
          <w:sz w:val="18"/>
        </w:rPr>
        <w:t xml:space="preserve"> </w:t>
      </w:r>
    </w:p>
    <w:bookmarkStart w:id="65" w:name="fn20"/>
    <w:bookmarkEnd w:id="65"/>
    <w:p>
      <w:pPr>
        <w:numPr>
          <w:ilvl w:val="0"/>
          <w:numId w:val="10"/>
        </w:numPr>
        <w:spacing w:line="360" w:after="210" w:lineRule="auto"/>
      </w:pPr>
      <w:hyperlink r:id="rId25">
        <w:r>
          <w:rPr>
            <w:rFonts w:eastAsia="helvetica neue" w:cs="helvetica neue" w:ascii="helvetica neue" w:hAnsi="helvetica neue"/>
            <w:color w:val="#000"/>
            <w:sz w:val="18"/>
            <w:u w:val="single"/>
          </w:rPr>
          <w:t xml:space="preserve">https://journal.esrgroups.org/jes/article/download/4346/3190/7866</w:t>
        </w:r>
      </w:hyperlink>
      <w:r>
        <w:rPr>
          <w:rFonts w:eastAsia="georgia" w:cs="georgia" w:ascii="georgia" w:hAnsi="georgia"/>
          <w:color w:val="000000"/>
          <w:sz w:val="18"/>
        </w:rPr>
        <w:t xml:space="preserve"> </w:t>
      </w:r>
    </w:p>
    <w:bookmarkStart w:id="66" w:name="fn21"/>
    <w:bookmarkEnd w:id="66"/>
    <w:p>
      <w:pPr>
        <w:numPr>
          <w:ilvl w:val="0"/>
          <w:numId w:val="10"/>
        </w:numPr>
        <w:spacing w:line="360" w:after="210" w:lineRule="auto"/>
      </w:pPr>
      <w:hyperlink r:id="rId26">
        <w:r>
          <w:rPr>
            <w:rFonts w:eastAsia="helvetica neue" w:cs="helvetica neue" w:ascii="helvetica neue" w:hAnsi="helvetica neue"/>
            <w:color w:val="#000"/>
            <w:sz w:val="18"/>
            <w:u w:val="single"/>
          </w:rPr>
          <w:t xml:space="preserve">https://www.sciencedirect.com/science/article/abs/pii/S1057521914000295</w:t>
        </w:r>
      </w:hyperlink>
      <w:r>
        <w:rPr>
          <w:rFonts w:eastAsia="georgia" w:cs="georgia" w:ascii="georgia" w:hAnsi="georgia"/>
          <w:color w:val="000000"/>
          <w:sz w:val="18"/>
        </w:rPr>
        <w:t xml:space="preserve"> </w:t>
      </w:r>
    </w:p>
    <w:bookmarkStart w:id="67" w:name="fn22"/>
    <w:bookmarkEnd w:id="67"/>
    <w:p>
      <w:pPr>
        <w:numPr>
          <w:ilvl w:val="0"/>
          <w:numId w:val="10"/>
        </w:numPr>
        <w:spacing w:line="360" w:after="210" w:lineRule="auto"/>
      </w:pPr>
      <w:hyperlink r:id="rId27">
        <w:r>
          <w:rPr>
            <w:rFonts w:eastAsia="helvetica neue" w:cs="helvetica neue" w:ascii="helvetica neue" w:hAnsi="helvetica neue"/>
            <w:color w:val="#000"/>
            <w:sz w:val="18"/>
            <w:u w:val="single"/>
          </w:rPr>
          <w:t xml:space="preserve">https://rmc.link/Slides/ML_Text_2024/Slides/Slides.pdf</w:t>
        </w:r>
      </w:hyperlink>
      <w:r>
        <w:rPr>
          <w:rFonts w:eastAsia="georgia" w:cs="georgia" w:ascii="georgia" w:hAnsi="georgia"/>
          <w:color w:val="000000"/>
          <w:sz w:val="18"/>
        </w:rPr>
        <w:t xml:space="preserve"> </w:t>
      </w:r>
    </w:p>
    <w:bookmarkStart w:id="68" w:name="fn23"/>
    <w:bookmarkEnd w:id="68"/>
    <w:p>
      <w:pPr>
        <w:numPr>
          <w:ilvl w:val="0"/>
          <w:numId w:val="10"/>
        </w:numPr>
        <w:spacing w:line="360" w:after="210" w:lineRule="auto"/>
      </w:pPr>
      <w:hyperlink r:id="rId28">
        <w:r>
          <w:rPr>
            <w:rFonts w:eastAsia="helvetica neue" w:cs="helvetica neue" w:ascii="helvetica neue" w:hAnsi="helvetica neue"/>
            <w:color w:val="#000"/>
            <w:sz w:val="18"/>
            <w:u w:val="single"/>
          </w:rPr>
          <w:t xml:space="preserve">https://business.camden.rutgers.edu/wp-content/uploads/2025/05/53-390-583-01-98-Textual-Analysis-in-Finance-Zhang-F2024.pdf</w:t>
        </w:r>
      </w:hyperlink>
      <w:r>
        <w:rPr>
          <w:rFonts w:eastAsia="georgia" w:cs="georgia" w:ascii="georgia" w:hAnsi="georgia"/>
          <w:color w:val="000000"/>
          <w:sz w:val="18"/>
        </w:rPr>
        <w:t xml:space="preserve"> </w:t>
      </w:r>
    </w:p>
    <w:bookmarkStart w:id="69" w:name="fn24"/>
    <w:bookmarkEnd w:id="69"/>
    <w:p>
      <w:pPr>
        <w:numPr>
          <w:ilvl w:val="0"/>
          <w:numId w:val="10"/>
        </w:numPr>
        <w:spacing w:line="360" w:after="210" w:lineRule="auto"/>
      </w:pPr>
      <w:hyperlink r:id="rId29">
        <w:r>
          <w:rPr>
            <w:rFonts w:eastAsia="helvetica neue" w:cs="helvetica neue" w:ascii="helvetica neue" w:hAnsi="helvetica neue"/>
            <w:color w:val="#000"/>
            <w:sz w:val="18"/>
            <w:u w:val="single"/>
          </w:rPr>
          <w:t xml:space="preserve">https://www.sciencedirect.com/science/article/pii/S2405918816300496</w:t>
        </w:r>
      </w:hyperlink>
      <w:r>
        <w:rPr>
          <w:rFonts w:eastAsia="georgia" w:cs="georgia" w:ascii="georgia" w:hAnsi="georgia"/>
          <w:color w:val="000000"/>
          <w:sz w:val="18"/>
        </w:rPr>
        <w:t xml:space="preserve"> </w:t>
      </w:r>
    </w:p>
    <w:bookmarkStart w:id="70" w:name="fn25"/>
    <w:bookmarkEnd w:id="70"/>
    <w:p>
      <w:pPr>
        <w:numPr>
          <w:ilvl w:val="0"/>
          <w:numId w:val="10"/>
        </w:numPr>
        <w:spacing w:line="360" w:after="210" w:lineRule="auto"/>
      </w:pPr>
      <w:hyperlink r:id="rId30">
        <w:r>
          <w:rPr>
            <w:rFonts w:eastAsia="helvetica neue" w:cs="helvetica neue" w:ascii="helvetica neue" w:hAnsi="helvetica neue"/>
            <w:color w:val="#000"/>
            <w:sz w:val="18"/>
            <w:u w:val="single"/>
          </w:rPr>
          <w:t xml:space="preserve">https://econpapers.repec.org/article/nowfntfin/0500000045.htm</w:t>
        </w:r>
      </w:hyperlink>
      <w:r>
        <w:rPr>
          <w:rFonts w:eastAsia="georgia" w:cs="georgia" w:ascii="georgia" w:hAnsi="georgia"/>
          <w:color w:val="000000"/>
          <w:sz w:val="18"/>
        </w:rPr>
        <w:t xml:space="preserve"> </w:t>
      </w:r>
    </w:p>
    <w:bookmarkStart w:id="71" w:name="fn26"/>
    <w:bookmarkEnd w:id="71"/>
    <w:p>
      <w:pPr>
        <w:numPr>
          <w:ilvl w:val="0"/>
          <w:numId w:val="10"/>
        </w:numPr>
        <w:spacing w:line="360" w:after="210" w:lineRule="auto"/>
      </w:pPr>
      <w:hyperlink r:id="rId31">
        <w:r>
          <w:rPr>
            <w:rFonts w:eastAsia="helvetica neue" w:cs="helvetica neue" w:ascii="helvetica neue" w:hAnsi="helvetica neue"/>
            <w:color w:val="#000"/>
            <w:sz w:val="18"/>
            <w:u w:val="single"/>
          </w:rPr>
          <w:t xml:space="preserve">https://papers.ssrn.com/sol3/papers.cfm?abstract_id=5196742</w:t>
        </w:r>
      </w:hyperlink>
      <w:r>
        <w:rPr>
          <w:rFonts w:eastAsia="georgia" w:cs="georgia" w:ascii="georgia" w:hAnsi="georgia"/>
          <w:color w:val="000000"/>
          <w:sz w:val="18"/>
        </w:rPr>
        <w:t xml:space="preserve"> </w:t>
      </w:r>
    </w:p>
    <w:bookmarkStart w:id="72" w:name="fn27"/>
    <w:bookmarkEnd w:id="72"/>
    <w:p>
      <w:pPr>
        <w:numPr>
          <w:ilvl w:val="0"/>
          <w:numId w:val="10"/>
        </w:numPr>
        <w:spacing w:line="360" w:after="210" w:lineRule="auto"/>
      </w:pPr>
      <w:hyperlink r:id="rId32">
        <w:r>
          <w:rPr>
            <w:rFonts w:eastAsia="helvetica neue" w:cs="helvetica neue" w:ascii="helvetica neue" w:hAnsi="helvetica neue"/>
            <w:color w:val="#000"/>
            <w:sz w:val="18"/>
            <w:u w:val="single"/>
          </w:rPr>
          <w:t xml:space="preserve">https://aclanthology.org/2025.clicit-1.74.pdf</w:t>
        </w:r>
      </w:hyperlink>
      <w:r>
        <w:rPr>
          <w:rFonts w:eastAsia="georgia" w:cs="georgia" w:ascii="georgia" w:hAnsi="georgia"/>
          <w:color w:val="000000"/>
          <w:sz w:val="18"/>
        </w:rPr>
        <w:t xml:space="preserve"> </w:t>
      </w:r>
    </w:p>
    <w:bookmarkStart w:id="73" w:name="fn28"/>
    <w:bookmarkEnd w:id="73"/>
    <w:p>
      <w:pPr>
        <w:numPr>
          <w:ilvl w:val="0"/>
          <w:numId w:val="10"/>
        </w:numPr>
        <w:spacing w:line="360" w:after="210" w:lineRule="auto"/>
      </w:pPr>
      <w:hyperlink r:id="rId33">
        <w:r>
          <w:rPr>
            <w:rFonts w:eastAsia="helvetica neue" w:cs="helvetica neue" w:ascii="helvetica neue" w:hAnsi="helvetica neue"/>
            <w:color w:val="#000"/>
            <w:sz w:val="18"/>
            <w:u w:val="single"/>
          </w:rPr>
          <w:t xml:space="preserve">https://www.youtube.com/watch?v=ZZjP2Q84JqE</w:t>
        </w:r>
      </w:hyperlink>
      <w:r>
        <w:rPr>
          <w:rFonts w:eastAsia="georgia" w:cs="georgia" w:ascii="georgia" w:hAnsi="georgia"/>
          <w:color w:val="000000"/>
          <w:sz w:val="18"/>
        </w:rPr>
        <w:t xml:space="preserve"> </w:t>
      </w:r>
    </w:p>
    <w:bookmarkStart w:id="74" w:name="fn29"/>
    <w:bookmarkEnd w:id="74"/>
    <w:p>
      <w:pPr>
        <w:numPr>
          <w:ilvl w:val="0"/>
          <w:numId w:val="10"/>
        </w:numPr>
        <w:spacing w:line="360" w:after="210" w:lineRule="auto"/>
      </w:pPr>
      <w:hyperlink r:id="rId34">
        <w:r>
          <w:rPr>
            <w:rFonts w:eastAsia="helvetica neue" w:cs="helvetica neue" w:ascii="helvetica neue" w:hAnsi="helvetica neue"/>
            <w:color w:val="#000"/>
            <w:sz w:val="18"/>
            <w:u w:val="single"/>
          </w:rPr>
          <w:t xml:space="preserve">https://arxiv.org/html/2503.01886v1</w:t>
        </w:r>
      </w:hyperlink>
      <w:r>
        <w:rPr>
          <w:rFonts w:eastAsia="georgia" w:cs="georgia" w:ascii="georgia" w:hAnsi="georgia"/>
          <w:color w:val="000000"/>
          <w:sz w:val="18"/>
        </w:rPr>
        <w:t xml:space="preserve"> </w:t>
      </w:r>
    </w:p>
    <w:bookmarkStart w:id="75" w:name="fn30"/>
    <w:bookmarkEnd w:id="75"/>
    <w:p>
      <w:pPr>
        <w:numPr>
          <w:ilvl w:val="0"/>
          <w:numId w:val="10"/>
        </w:numPr>
        <w:spacing w:line="360" w:after="210" w:lineRule="auto"/>
      </w:pPr>
      <w:hyperlink r:id="rId35">
        <w:r>
          <w:rPr>
            <w:rFonts w:eastAsia="helvetica neue" w:cs="helvetica neue" w:ascii="helvetica neue" w:hAnsi="helvetica neue"/>
            <w:color w:val="#000"/>
            <w:sz w:val="18"/>
            <w:u w:val="single"/>
          </w:rPr>
          <w:t xml:space="preserve">https://patents.google.com/patent/US20220092697A1/en</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abstractNum>
  <w:abstractNum w:abstractNumId="1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9cb96947295c39510b9efc3aed32fd9c0a576b9.png" TargetMode="Internal"/><Relationship Id="rId6" Type="http://schemas.openxmlformats.org/officeDocument/2006/relationships/hyperlink" Target="https://onlinelibrary.wiley.com/doi/10.1111/1911-3846.12825" TargetMode="External"/><Relationship Id="rId7" Type="http://schemas.openxmlformats.org/officeDocument/2006/relationships/hyperlink" Target="https://onlinelibrary.wiley.com/doi/abs/10.1111/1475-679X.12123" TargetMode="External"/><Relationship Id="rId8" Type="http://schemas.openxmlformats.org/officeDocument/2006/relationships/hyperlink" Target="https://arxiv.org/abs/2406.11903" TargetMode="External"/><Relationship Id="rId9" Type="http://schemas.openxmlformats.org/officeDocument/2006/relationships/hyperlink" Target="https://www.annualreviews.org/content/journals/10.1146/annurev-financial-012820-032249;jsessionid=w7EGCY3FYYXkA3mzDBE_e_C2i3e-OvJQayKwhg0y.annurevlive-10-241-10-107" TargetMode="External"/><Relationship Id="rId10" Type="http://schemas.openxmlformats.org/officeDocument/2006/relationships/hyperlink" Target="https://arxiv.org/abs/2311.10723" TargetMode="External"/><Relationship Id="rId11" Type="http://schemas.openxmlformats.org/officeDocument/2006/relationships/hyperlink" Target="https://www.emerald.com/cafr/article/27/2/181/1246248/Firm-level-climate-risk-exposure-ESG-disclosure" TargetMode="External"/><Relationship Id="rId12" Type="http://schemas.openxmlformats.org/officeDocument/2006/relationships/hyperlink" Target="https://arxiv.org/html/2407.17866v2" TargetMode="External"/><Relationship Id="rId13" Type="http://schemas.openxmlformats.org/officeDocument/2006/relationships/hyperlink" Target="https://www.sciencedirect.com/science/article/abs/pii/S0890838925001866" TargetMode="External"/><Relationship Id="rId14" Type="http://schemas.openxmlformats.org/officeDocument/2006/relationships/hyperlink" Target="https://www.annualreviews.org/docserver/fulltext/financial/12/1/annurev-financial-012820-032249.pdf?expires=1743345802&amp;id=id&amp;accname=guest&amp;checksum=92165896ADAFBFBCE3571F169AD0190F" TargetMode="External"/><Relationship Id="rId15" Type="http://schemas.openxmlformats.org/officeDocument/2006/relationships/hyperlink" Target="https://sustainablefinancealliance.org/paper/esg-disclosure-a-text-analysis-of-mutual-fund-shareholder-letters/" TargetMode="External"/><Relationship Id="rId16" Type="http://schemas.openxmlformats.org/officeDocument/2006/relationships/hyperlink" Target="https://www.jesd-online.com/articles/environmental-and-sustainability-disclosures-as-signals-of-firm-value-a-comparative-empirical-analysis-across-institutio.pdf" TargetMode="External"/><Relationship Id="rId17" Type="http://schemas.openxmlformats.org/officeDocument/2006/relationships/hyperlink" Target="https://arxiv.org/abs/2503.01886" TargetMode="External"/><Relationship Id="rId18" Type="http://schemas.openxmlformats.org/officeDocument/2006/relationships/hyperlink" Target="https://www.netspar.nl/wp-content/uploads/Netspar-Industry-Paper-2025-15-WEB.pdf" TargetMode="External"/><Relationship Id="rId19" Type="http://schemas.openxmlformats.org/officeDocument/2006/relationships/hyperlink" Target="https://dl.acm.org/doi/10.1145/3604237.3626869" TargetMode="External"/><Relationship Id="rId20" Type="http://schemas.openxmlformats.org/officeDocument/2006/relationships/hyperlink" Target="https://papers.ssrn.com/sol3/papers.cfm?abstract_id=3470272" TargetMode="External"/><Relationship Id="rId21" Type="http://schemas.openxmlformats.org/officeDocument/2006/relationships/hyperlink" Target="https://econpapers.repec.org/article/anrrefeco/v_3a12_3ay_3a2020_3ap_3a357-375.htm" TargetMode="External"/><Relationship Id="rId22" Type="http://schemas.openxmlformats.org/officeDocument/2006/relationships/hyperlink" Target="https://papers.ssrn.com/sol3/papers.cfm?abstract_id=4029950" TargetMode="External"/><Relationship Id="rId23" Type="http://schemas.openxmlformats.org/officeDocument/2006/relationships/hyperlink" Target="https://www.sciencedirect.com/science/journal/08908389/vsi/103LNLBRZW5" TargetMode="External"/><Relationship Id="rId24" Type="http://schemas.openxmlformats.org/officeDocument/2006/relationships/hyperlink" Target="https://www.kellogg.northwestern.edu/academics-research/research/detail/2023/textual-analysis-in-accounting-whats-next/" TargetMode="External"/><Relationship Id="rId25" Type="http://schemas.openxmlformats.org/officeDocument/2006/relationships/hyperlink" Target="https://journal.esrgroups.org/jes/article/download/4346/3190/7866" TargetMode="External"/><Relationship Id="rId26" Type="http://schemas.openxmlformats.org/officeDocument/2006/relationships/hyperlink" Target="https://www.sciencedirect.com/science/article/abs/pii/S1057521914000295" TargetMode="External"/><Relationship Id="rId27" Type="http://schemas.openxmlformats.org/officeDocument/2006/relationships/hyperlink" Target="https://rmc.link/Slides/ML_Text_2024/Slides/Slides.pdf" TargetMode="External"/><Relationship Id="rId28" Type="http://schemas.openxmlformats.org/officeDocument/2006/relationships/hyperlink" Target="https://business.camden.rutgers.edu/wp-content/uploads/2025/05/53-390-583-01-98-Textual-Analysis-in-Finance-Zhang-F2024.pdf" TargetMode="External"/><Relationship Id="rId29" Type="http://schemas.openxmlformats.org/officeDocument/2006/relationships/hyperlink" Target="https://www.sciencedirect.com/science/article/pii/S2405918816300496" TargetMode="External"/><Relationship Id="rId30" Type="http://schemas.openxmlformats.org/officeDocument/2006/relationships/hyperlink" Target="https://econpapers.repec.org/article/nowfntfin/0500000045.htm" TargetMode="External"/><Relationship Id="rId31" Type="http://schemas.openxmlformats.org/officeDocument/2006/relationships/hyperlink" Target="https://papers.ssrn.com/sol3/papers.cfm?abstract_id=5196742" TargetMode="External"/><Relationship Id="rId32" Type="http://schemas.openxmlformats.org/officeDocument/2006/relationships/hyperlink" Target="https://aclanthology.org/2025.clicit-1.74.pdf" TargetMode="External"/><Relationship Id="rId33" Type="http://schemas.openxmlformats.org/officeDocument/2006/relationships/hyperlink" Target="https://www.youtube.com/watch?v=ZZjP2Q84JqE" TargetMode="External"/><Relationship Id="rId34" Type="http://schemas.openxmlformats.org/officeDocument/2006/relationships/hyperlink" Target="https://arxiv.org/html/2503.01886v1" TargetMode="External"/><Relationship Id="rId35" Type="http://schemas.openxmlformats.org/officeDocument/2006/relationships/hyperlink" Target="https://patents.google.com/patent/US20220092697A1/e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2026-04-26T11:02:00.006Z</dcterms:created>
  <dcterms:modified xsi:type="dcterms:W3CDTF">2026-04-26T11:02:00.006Z</dcterms:modified>
</cp:coreProperties>
</file>