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before="0"/>
      </w:pPr>
      <w:r>
        <w:t xml:space="preserve"/>
      </w:r>
    </w:p>
    <w:p>
      <w:pPr>
        <w:spacing w:after="120" w:before="120"/>
        <w:jc w:val="center"/>
      </w:pPr>
      <w:r>
        <w:rPr>
          <w:rFonts w:ascii="Arial" w:cs="Arial" w:eastAsia="Arial" w:hAnsi="Arial"/>
          <w:b/>
          <w:bCs/>
          <w:color w:val="C0392B"/>
          <w:sz w:val="22"/>
          <w:szCs w:val="22"/>
        </w:rPr>
        <w:t xml:space="preserve">HBS-2024-BCA-007</w:t>
      </w:r>
    </w:p>
    <w:p>
      <w:pPr>
        <w:spacing w:after="160" w:before="0"/>
      </w:pPr>
      <w:r>
        <w:t xml:space="preserve"/>
      </w:r>
    </w:p>
    <w:p>
      <w:pPr>
        <w:spacing w:after="120" w:before="120"/>
        <w:jc w:val="center"/>
      </w:pPr>
      <w:r>
        <w:rPr>
          <w:rFonts w:ascii="Arial" w:cs="Arial" w:eastAsia="Arial" w:hAnsi="Arial"/>
          <w:b/>
          <w:bCs/>
          <w:color w:val="1A1A2E"/>
          <w:sz w:val="72"/>
          <w:szCs w:val="72"/>
        </w:rPr>
        <w:t xml:space="preserve">THE UNFINISHED FLIGHT</w:t>
      </w:r>
    </w:p>
    <w:p>
      <w:pPr>
        <w:spacing w:after="120" w:before="120"/>
        <w:jc w:val="center"/>
      </w:pPr>
      <w:r>
        <w:rPr>
          <w:rFonts w:ascii="Arial" w:cs="Arial" w:eastAsia="Arial" w:hAnsi="Arial"/>
          <w:b/>
          <w:bCs/>
          <w:color w:val="2C3E50"/>
          <w:sz w:val="36"/>
          <w:szCs w:val="36"/>
        </w:rPr>
        <w:t xml:space="preserve">Kelly Ortberg and the Leadership Dilemma at Boeing</w:t>
      </w:r>
    </w:p>
    <w:p>
      <w:pPr>
        <w:spacing w:after="320" w:before="0"/>
      </w:pPr>
      <w:r>
        <w:t xml:space="preserve"/>
      </w:r>
    </w:p>
    <w:p>
      <w:pPr>
        <w:spacing w:after="80" w:before="80"/>
        <w:jc w:val="center"/>
      </w:pPr>
      <w:r>
        <w:rPr>
          <w:rFonts w:ascii="Arial" w:cs="Arial" w:eastAsia="Arial" w:hAnsi="Arial"/>
          <w:color w:val="1A1A2E"/>
          <w:sz w:val="24"/>
          <w:szCs w:val="24"/>
        </w:rPr>
        <w:t xml:space="preserve">Professor Ananya Krishnaswamy</w:t>
      </w:r>
    </w:p>
    <w:p>
      <w:pPr>
        <w:spacing w:after="80" w:before="80"/>
        <w:jc w:val="center"/>
      </w:pPr>
      <w:r>
        <w:rPr>
          <w:rFonts w:ascii="Arial" w:cs="Arial" w:eastAsia="Arial" w:hAnsi="Arial"/>
          <w:color w:val="888888"/>
          <w:sz w:val="22"/>
          <w:szCs w:val="22"/>
        </w:rPr>
        <w:t xml:space="preserve">Harvard Business School</w:t>
      </w:r>
    </w:p>
    <w:p>
      <w:pPr>
        <w:spacing w:after="80" w:before="80"/>
        <w:jc w:val="center"/>
      </w:pPr>
      <w:r>
        <w:rPr>
          <w:rFonts w:ascii="Arial" w:cs="Arial" w:eastAsia="Arial" w:hAnsi="Arial"/>
          <w:color w:val="888888"/>
          <w:sz w:val="22"/>
          <w:szCs w:val="22"/>
        </w:rPr>
        <w:t xml:space="preserve">December 2024</w:t>
      </w:r>
    </w:p>
    <w:p>
      <w:pPr>
        <w:spacing w:after="480" w:before="0"/>
      </w:pPr>
      <w:r>
        <w:t xml:space="preserve"/>
      </w:r>
    </w:p>
    <w:p>
      <w:pPr>
        <w:pBdr>
          <w:top w:val="single" w:color="CCCCCC" w:sz="2" w:space="4"/>
          <w:bottom w:val="single" w:color="CCCCCC" w:sz="2" w:space="4"/>
        </w:pBdr>
        <w:spacing w:after="80" w:before="80"/>
        <w:jc w:val="center"/>
      </w:pPr>
      <w:r>
        <w:rPr>
          <w:rFonts w:ascii="Arial" w:cs="Arial" w:eastAsia="Arial" w:hAnsi="Arial"/>
          <w:i/>
          <w:iCs/>
          <w:color w:val="888888"/>
          <w:sz w:val="18"/>
          <w:szCs w:val="18"/>
        </w:rPr>
        <w:t xml:space="preserve">This case was prepared as a basis for class discussion rather than to illustrate effective or ineffective handling of an administrative situation. Data are drawn from public sources.</w:t>
      </w:r>
    </w:p>
    <w:p>
      <w:pPr>
        <w:sectPr>
          <w:pgSz w:w="12240" w:h="15840" w:orient="portrait"/>
          <w:pgMar w:top="1440" w:right="1440" w:bottom="1440" w:left="1440" w:header="708" w:footer="708" w:gutter="0"/>
          <w:pgNumType/>
          <w:docGrid w:linePitch="360"/>
        </w:sectPr>
      </w:pPr>
    </w:p>
    <w:p>
      <w:pPr>
        <w:pStyle w:val="Heading1"/>
        <w:pBdr>
          <w:bottom w:val="single" w:color="C0392B" w:sz="4" w:space="4"/>
        </w:pBdr>
        <w:spacing w:after="120" w:before="400"/>
      </w:pPr>
      <w:r>
        <w:rPr>
          <w:rFonts w:ascii="Arial" w:cs="Arial" w:eastAsia="Arial" w:hAnsi="Arial"/>
          <w:b/>
          <w:bCs/>
          <w:color w:val="1A1A2E"/>
          <w:sz w:val="28"/>
          <w:szCs w:val="28"/>
        </w:rPr>
        <w:t xml:space="preserve">The Weight of 170,000 Jobs</w:t>
      </w:r>
    </w:p>
    <w:p>
      <w:pPr>
        <w:spacing w:after="160"/>
        <w:ind w:firstLine="0"/>
        <w:jc w:val="both"/>
      </w:pPr>
      <w:r>
        <w:rPr>
          <w:rFonts w:ascii="Times New Roman" w:cs="Times New Roman" w:eastAsia="Times New Roman" w:hAnsi="Times New Roman"/>
          <w:sz w:val="24"/>
          <w:szCs w:val="24"/>
        </w:rPr>
        <w:t xml:space="preserve">Kelly Ortberg, the newly installed President and Chief Executive Officer of The Boeing Company, sat in a conference room on the forty-third floor of Boeing's Renton, Washington facility on the morning of October 8, 2024. Outside, the tarmac of the assembly complex stretched below him — silent in a way that should have been impossible for the world's largest commercial aircraft manufacturer. The factory floor, which had once hummed with the production of thirty-eight 737 MAX jets per month, had been idle for twenty-five days. On the table in front of him lay a single printed sheet: the union's latest counteroffer from the International Association of Machinists and Aerospace Workers, District 751.</w:t>
      </w:r>
    </w:p>
    <w:p>
      <w:pPr>
        <w:spacing w:after="160"/>
        <w:ind w:firstLine="360"/>
        <w:jc w:val="both"/>
      </w:pPr>
      <w:r>
        <w:rPr>
          <w:rFonts w:ascii="Times New Roman" w:cs="Times New Roman" w:eastAsia="Times New Roman" w:hAnsi="Times New Roman"/>
          <w:sz w:val="24"/>
          <w:szCs w:val="24"/>
        </w:rPr>
        <w:t xml:space="preserve">Ortberg had taken the job barely nine weeks earlier, on August 8, 2024 — sixty-four years old, pulled from what he had described as a comfortable retirement. The Boeing board had searched for someone with the credibility to rebuild what had taken decades to break: the engineering culture, the safety record, the trust of regulators, airlines, and the seventy-one thousand passengers who flew on Boeing aircraft every single day. They settled on Ortberg, former CEO of Rockwell Collins, an aerospace supplier with a reputation for disciplined quality management. The board's calculus was simple. Boeing needed an engineer, not a financial engineer.</w:t>
      </w:r>
    </w:p>
    <w:p>
      <w:pPr>
        <w:spacing w:after="160"/>
        <w:ind w:firstLine="360"/>
        <w:jc w:val="both"/>
      </w:pPr>
      <w:r>
        <w:rPr>
          <w:rFonts w:ascii="Times New Roman" w:cs="Times New Roman" w:eastAsia="Times New Roman" w:hAnsi="Times New Roman"/>
          <w:sz w:val="24"/>
          <w:szCs w:val="24"/>
        </w:rPr>
        <w:t xml:space="preserve">The task, it turned out, was harder than the job description suggested. Before Ortberg had unpacked his office, the machinists — thirty-three thousand workers who built the 737 in Renton and the 777 in Everett — had rejected a tentative contract agreement that their own union negotiators had recommended. They voted it down by ninety-five percent. The message was not about money alone. It was about sixteen years of accumulated grievance: a decade and a half of benefit reductions, pension terminations, outsourcing threats, and what workers described as management contempt. The strike that began on September 13, 2024, was the most significant labor action Boeing had faced since 2008.</w:t>
      </w:r>
    </w:p>
    <w:p>
      <w:pPr>
        <w:spacing w:after="160"/>
        <w:ind w:firstLine="360"/>
        <w:jc w:val="both"/>
      </w:pPr>
      <w:r>
        <w:rPr>
          <w:rFonts w:ascii="Times New Roman" w:cs="Times New Roman" w:eastAsia="Times New Roman" w:hAnsi="Times New Roman"/>
          <w:sz w:val="24"/>
          <w:szCs w:val="24"/>
        </w:rPr>
        <w:t xml:space="preserve">By the morning of October 8, the financial math had become merciless. Boeing was burning through approximately $10 million per day in idle production costs. The company had already reported a net loss of nearly $12 billion for the full year 2024 — a figure that included $3 billion in fourth-quarter charges alone. The Federal Aviation Administration had capped 737 MAX production at thirty-eight aircraft per month since January 2024, following the Alaska Airlines door-plug blowout. Every idle day was not just a cost — it was a delayed aircraft, a deferred delivery payment, a customer who might be quietly evaluating Airbus delivery slots.</w:t>
      </w:r>
    </w:p>
    <w:p>
      <w:pPr>
        <w:spacing w:after="160"/>
        <w:ind w:firstLine="360"/>
        <w:jc w:val="both"/>
      </w:pPr>
      <w:r>
        <w:rPr>
          <w:rFonts w:ascii="Times New Roman" w:cs="Times New Roman" w:eastAsia="Times New Roman" w:hAnsi="Times New Roman"/>
          <w:sz w:val="24"/>
          <w:szCs w:val="24"/>
        </w:rPr>
        <w:t xml:space="preserve">Ortberg had three choices, and each contained its own form of poison. He could offer the union a significantly improved contract — meaningful wage increases, profit-sharing restoration, even a conversation about returning the pension plan — at a cost his financial team estimated at between $1.5 billion and $3 billion in additional commitments over the contract term. He could hold firm, accept a longer strike, and risk losing skilled workers permanently, deepening the production quality crisis that had defined Boeing's last six years. Or he could pursue a third path: dramatically reshape the workforce through a parallel restructuring — including the layoff of approximately 17,000 employees globally, already announced — and reopen plants with replacement workers, a move that would likely produce a union-busting legal war and destroy whatever goodwill he had spent the previous nine weeks trying to build.</w:t>
      </w:r>
    </w:p>
    <w:p>
      <w:pPr>
        <w:spacing w:after="160"/>
        <w:ind w:firstLine="360"/>
        <w:jc w:val="both"/>
      </w:pPr>
      <w:r>
        <w:rPr>
          <w:rFonts w:ascii="Times New Roman" w:cs="Times New Roman" w:eastAsia="Times New Roman" w:hAnsi="Times New Roman"/>
          <w:sz w:val="24"/>
          <w:szCs w:val="24"/>
        </w:rPr>
        <w:t xml:space="preserve">As Ortberg reviewed the counteroffer, one phrase from an employee town hall three weeks earlier returned to him. A machinist who had worked the 737 line for nineteen years had stood up and said: 'We don't want to destroy this company. We want to build airplanes again. But we need to know management actually cares whether we do.' That line had landed differently than Ortberg expected. He had written it down.</w:t>
      </w:r>
    </w:p>
    <w:p>
      <w:pPr>
        <w:spacing w:after="160"/>
        <w:ind w:firstLine="360"/>
        <w:jc w:val="both"/>
      </w:pPr>
      <w:r>
        <w:rPr>
          <w:rFonts w:ascii="Times New Roman" w:cs="Times New Roman" w:eastAsia="Times New Roman" w:hAnsi="Times New Roman"/>
          <w:sz w:val="24"/>
          <w:szCs w:val="24"/>
        </w:rPr>
        <w:t xml:space="preserve">The board call was in forty-eight hours. A new Boeing was, or was not, going to begin on Kelly Ortberg's watch. He turned to the counteroffer and read it again from the top.</w:t>
      </w:r>
    </w:p>
    <w:p>
      <w:pPr>
        <w:pStyle w:val="Heading1"/>
        <w:pBdr>
          <w:bottom w:val="single" w:color="C0392B" w:sz="4" w:space="4"/>
        </w:pBdr>
        <w:spacing w:after="120" w:before="400"/>
      </w:pPr>
      <w:r>
        <w:rPr>
          <w:rFonts w:ascii="Arial" w:cs="Arial" w:eastAsia="Arial" w:hAnsi="Arial"/>
          <w:b/>
          <w:bCs/>
          <w:color w:val="1A1A2E"/>
          <w:sz w:val="28"/>
          <w:szCs w:val="28"/>
        </w:rPr>
        <w:t xml:space="preserve">The Boeing Company: A Century of Flight</w:t>
      </w:r>
    </w:p>
    <w:p>
      <w:pPr>
        <w:pStyle w:val="Heading2"/>
        <w:spacing w:after="80" w:before="280"/>
      </w:pPr>
      <w:r>
        <w:rPr>
          <w:rFonts w:ascii="Arial" w:cs="Arial" w:eastAsia="Arial" w:hAnsi="Arial"/>
          <w:b/>
          <w:bCs/>
          <w:color w:val="2C3E50"/>
          <w:sz w:val="24"/>
          <w:szCs w:val="24"/>
        </w:rPr>
        <w:t xml:space="preserve">Founding and History</w:t>
      </w:r>
    </w:p>
    <w:p>
      <w:pPr>
        <w:spacing w:after="160"/>
        <w:ind w:firstLine="0"/>
        <w:jc w:val="both"/>
      </w:pPr>
      <w:r>
        <w:rPr>
          <w:rFonts w:ascii="Times New Roman" w:cs="Times New Roman" w:eastAsia="Times New Roman" w:hAnsi="Times New Roman"/>
          <w:sz w:val="24"/>
          <w:szCs w:val="24"/>
        </w:rPr>
        <w:t xml:space="preserve">The Boeing Company was founded in Seattle, Washington, in 1916 by William Edward Boeing, a timber magnate who had learned to fly and concluded he could build a better airplane himself. Over the following century, the company grew into the world's dominant commercial aircraft manufacturer and one of the United States' largest defense contractors. It built the B-17 Flying Fortress that helped win World War II, the 707 that inaugurated the jet age of commercial aviation, the 747 that democratized long-haul travel, and the 777, which for two decades held the record as the world's largest twin-engine jet.</w:t>
      </w:r>
    </w:p>
    <w:p>
      <w:pPr>
        <w:spacing w:after="160"/>
        <w:ind w:firstLine="360"/>
        <w:jc w:val="both"/>
      </w:pPr>
      <w:r>
        <w:rPr>
          <w:rFonts w:ascii="Times New Roman" w:cs="Times New Roman" w:eastAsia="Times New Roman" w:hAnsi="Times New Roman"/>
          <w:sz w:val="24"/>
          <w:szCs w:val="24"/>
        </w:rPr>
        <w:t xml:space="preserve">By the 1990s, Boeing had absorbed its chief American rival, McDonnell Douglas, in a 1997 merger that consolidated the U.S. commercial aircraft industry. The deal brought Boeing financial discipline and scale. It also, some would later argue, brought a management culture that prioritized shareholder returns over engineering rigor — a tension that would remain subterranean for twenty years before erupting catastrophically.</w:t>
      </w:r>
    </w:p>
    <w:p>
      <w:pPr>
        <w:spacing w:after="160"/>
        <w:ind w:firstLine="360"/>
        <w:jc w:val="both"/>
      </w:pPr>
      <w:r>
        <w:rPr>
          <w:rFonts w:ascii="Times New Roman" w:cs="Times New Roman" w:eastAsia="Times New Roman" w:hAnsi="Times New Roman"/>
          <w:sz w:val="24"/>
          <w:szCs w:val="24"/>
        </w:rPr>
        <w:t xml:space="preserve">The first public rupture came in October 2018, when Lion Air Flight 610, a nearly new 737 MAX 8, crashed into the Java Sea twelve minutes after takeoff, killing all 189 people aboard. Five months later, Ethiopian Airlines Flight 302, also a 737 MAX 8, crashed shortly after departure from Addis Ababa, killing all 157 aboard. Investigators found a common cause: a flight control system called the Maneuvering Characteristics Augmentation System (MCAS), which had been designed to compensate for the MAX's heavier engines but which had not been adequately disclosed to pilots or regulators. A global fleet grounding followed, lasting twenty months. The financial cost — penalties, compensation, reputational damage, and lost orders — exceeded $20 billion.</w:t>
      </w:r>
    </w:p>
    <w:p>
      <w:pPr>
        <w:spacing w:after="160"/>
        <w:ind w:firstLine="360"/>
        <w:jc w:val="both"/>
      </w:pPr>
      <w:r>
        <w:rPr>
          <w:rFonts w:ascii="Times New Roman" w:cs="Times New Roman" w:eastAsia="Times New Roman" w:hAnsi="Times New Roman"/>
          <w:sz w:val="24"/>
          <w:szCs w:val="24"/>
        </w:rPr>
        <w:t xml:space="preserve">Boeing was still attempting to work through the MAX crisis when, on January 5, 2024, an Alaska Airlines 737 MAX 9 suffered a mid-air door-plug blowout at 14,800 feet above Portland, Oregon. The plug, installed during assembly at Boeing's Renton factory, was missing four bolts. The cabin depressurized violently; by extraordinary fortune, no passenger was seated beside the opening, and the pilots landed the aircraft safely. The incident attracted the full attention of Congress, the FAA, and the Department of Justice.</w:t>
      </w:r>
    </w:p>
    <w:p>
      <w:pPr>
        <w:pStyle w:val="Heading2"/>
        <w:spacing w:after="80" w:before="280"/>
      </w:pPr>
      <w:r>
        <w:rPr>
          <w:rFonts w:ascii="Arial" w:cs="Arial" w:eastAsia="Arial" w:hAnsi="Arial"/>
          <w:b/>
          <w:bCs/>
          <w:color w:val="2C3E50"/>
          <w:sz w:val="24"/>
          <w:szCs w:val="24"/>
        </w:rPr>
        <w:t xml:space="preserve">Business Model and Products</w:t>
      </w:r>
    </w:p>
    <w:p>
      <w:pPr>
        <w:spacing w:after="160"/>
        <w:ind w:firstLine="0"/>
        <w:jc w:val="both"/>
      </w:pPr>
      <w:r>
        <w:rPr>
          <w:rFonts w:ascii="Times New Roman" w:cs="Times New Roman" w:eastAsia="Times New Roman" w:hAnsi="Times New Roman"/>
          <w:sz w:val="24"/>
          <w:szCs w:val="24"/>
        </w:rPr>
        <w:t xml:space="preserve">Boeing operated through three primary segments as of 2024. Commercial Airplanes, the largest, produced the 737 MAX family of narrow-body jets and the 787 Dreamliner and 777 wide-body jets. Defense, Space &amp; Security produced military aircraft, weapons systems, and space vehicles including the KC-46 tanker and the Air Force One replacement program. Global Services provided maintenance, repair, overhaul, and data analytics services to commercial and government customers. The company's total backlog stood at $521 billion at year-end 2024, of which more than $440 billion was attributable to Commercial Airplanes — a figure representing over five thousand unfilled aircraft orders (see Exhibit 1).</w:t>
      </w:r>
    </w:p>
    <w:p>
      <w:pPr>
        <w:spacing w:after="160"/>
        <w:ind w:firstLine="360"/>
        <w:jc w:val="both"/>
      </w:pPr>
      <w:r>
        <w:rPr>
          <w:rFonts w:ascii="Times New Roman" w:cs="Times New Roman" w:eastAsia="Times New Roman" w:hAnsi="Times New Roman"/>
          <w:sz w:val="24"/>
          <w:szCs w:val="24"/>
        </w:rPr>
        <w:t xml:space="preserve">Boeing's revenue model is capital-intensive and milestone-driven. Commercial aircraft manufacturers receive a deposit at contract signing, progress payments during production, and the bulk of final payment upon delivery. This structure means that production stoppages — whether from labor actions, quality failures, or regulatory caps — create an immediate and compounding cash flow problem: work that is performed but not delivered cannot be billed. Boeing's inability to convert its record-setting backlog into delivered aircraft had become, by late 2024, its most urgent operational crisis.</w:t>
      </w:r>
    </w:p>
    <w:p>
      <w:pPr>
        <w:pStyle w:val="Heading2"/>
        <w:spacing w:after="80" w:before="280"/>
      </w:pPr>
      <w:r>
        <w:rPr>
          <w:rFonts w:ascii="Arial" w:cs="Arial" w:eastAsia="Arial" w:hAnsi="Arial"/>
          <w:b/>
          <w:bCs/>
          <w:color w:val="2C3E50"/>
          <w:sz w:val="24"/>
          <w:szCs w:val="24"/>
        </w:rPr>
        <w:t xml:space="preserve">The Organizational Rupture</w:t>
      </w:r>
    </w:p>
    <w:p>
      <w:pPr>
        <w:spacing w:after="160"/>
        <w:ind w:firstLine="0"/>
        <w:jc w:val="both"/>
      </w:pPr>
      <w:r>
        <w:rPr>
          <w:rFonts w:ascii="Times New Roman" w:cs="Times New Roman" w:eastAsia="Times New Roman" w:hAnsi="Times New Roman"/>
          <w:sz w:val="24"/>
          <w:szCs w:val="24"/>
        </w:rPr>
        <w:t xml:space="preserve">In March 2024, Boeing CEO David Calhoun announced his resignation, effective at year-end, following intense pressure from regulators, congressional investigators, and institutional shareholders. The board launched a CEO search that concluded with the appointment of Kelly Ortberg in August 2024. Ortberg, unlike his predecessors, was not a Boeing lifer. He had spent most of his career at Rockwell Collins — later Collins Aerospace — rising to CEO before the company was acquired by Raytheon Technologies in 2018. He had subsequently served on Boeing's board before being asked to lead it.</w:t>
      </w:r>
    </w:p>
    <w:p>
      <w:pPr>
        <w:spacing w:after="160"/>
        <w:ind w:firstLine="360"/>
        <w:jc w:val="both"/>
      </w:pPr>
      <w:r>
        <w:rPr>
          <w:rFonts w:ascii="Times New Roman" w:cs="Times New Roman" w:eastAsia="Times New Roman" w:hAnsi="Times New Roman"/>
          <w:sz w:val="24"/>
          <w:szCs w:val="24"/>
        </w:rPr>
        <w:t xml:space="preserve">His first visible act as CEO was to relocate to Seattle — a symbolic departure from his predecessor's practice of running Boeing from its Chicago headquarters. He began conducting unannounced visits to factory floors in Renton and Everett, speaking directly with assembly workers. Employees noted the contrast immediately. Boeing's internal employee survey, conducted in late 2024 with an 82% response rate, yielded results that Ortberg described at a company-wide town hall as likely to be 'brutal to leadership' — an acknowledgment rare in Boeing's recent history.</w:t>
      </w:r>
    </w:p>
    <w:p>
      <w:pPr>
        <w:spacing w:after="160"/>
        <w:ind w:firstLine="360"/>
        <w:jc w:val="both"/>
      </w:pPr>
      <w:r>
        <w:rPr>
          <w:rFonts w:ascii="Times New Roman" w:cs="Times New Roman" w:eastAsia="Times New Roman" w:hAnsi="Times New Roman"/>
          <w:sz w:val="24"/>
          <w:szCs w:val="24"/>
        </w:rPr>
        <w:t xml:space="preserve">'We are very insular,' Ortberg told employees at the St. Louis meeting, broadcast via webcast to Boeing's global workforce. 'We don't communicate across boundaries as well. We don't work with each other as well as we could.' He announced plans for a new leadership development program and made a public commitment to act on the survey results. Some employees received this with cautious optimism. Others remained skeptical. One machinist's comment on an internal message board captured a widely-shared sentiment: 'It's broken all the way up the chain.' (See Exhibit 3.)</w:t>
      </w:r>
    </w:p>
    <w:p>
      <w:pPr>
        <w:pStyle w:val="Heading1"/>
        <w:pBdr>
          <w:bottom w:val="single" w:color="C0392B" w:sz="4" w:space="4"/>
        </w:pBdr>
        <w:spacing w:after="120" w:before="400"/>
      </w:pPr>
      <w:r>
        <w:rPr>
          <w:rFonts w:ascii="Arial" w:cs="Arial" w:eastAsia="Arial" w:hAnsi="Arial"/>
          <w:b/>
          <w:bCs/>
          <w:color w:val="1A1A2E"/>
          <w:sz w:val="28"/>
          <w:szCs w:val="28"/>
        </w:rPr>
        <w:t xml:space="preserve">The Duopoly Under Pressure</w:t>
      </w:r>
    </w:p>
    <w:p>
      <w:pPr>
        <w:pStyle w:val="Heading2"/>
        <w:spacing w:after="80" w:before="280"/>
      </w:pPr>
      <w:r>
        <w:rPr>
          <w:rFonts w:ascii="Arial" w:cs="Arial" w:eastAsia="Arial" w:hAnsi="Arial"/>
          <w:b/>
          <w:bCs/>
          <w:color w:val="2C3E50"/>
          <w:sz w:val="24"/>
          <w:szCs w:val="24"/>
        </w:rPr>
        <w:t xml:space="preserve">Market Structure</w:t>
      </w:r>
    </w:p>
    <w:p>
      <w:pPr>
        <w:spacing w:after="160"/>
        <w:ind w:firstLine="0"/>
        <w:jc w:val="both"/>
      </w:pPr>
      <w:r>
        <w:rPr>
          <w:rFonts w:ascii="Times New Roman" w:cs="Times New Roman" w:eastAsia="Times New Roman" w:hAnsi="Times New Roman"/>
          <w:sz w:val="24"/>
          <w:szCs w:val="24"/>
        </w:rPr>
        <w:t xml:space="preserve">The global commercial aircraft manufacturing industry was, by 2024, effectively a duopoly. Boeing and Airbus together accounted for approximately 99% of all large commercial aircraft deliveries worldwide. The market for commercial jets above 100 seats had no credible third competitor — Embraer and Bombardier served the regional jet segment; China's COMAC C919, certified for domestic service in 2022, had not achieved significant international sales or regulatory approvals outside China. This structural duopoly meant that Boeing's quality and delivery failures did not simply hurt Boeing — they threatened the global aviation supply chain, because airlines had nowhere else to go for many aircraft categories.</w:t>
      </w:r>
    </w:p>
    <w:p>
      <w:pPr>
        <w:spacing w:after="160"/>
        <w:ind w:firstLine="360"/>
        <w:jc w:val="both"/>
      </w:pPr>
      <w:r>
        <w:rPr>
          <w:rFonts w:ascii="Times New Roman" w:cs="Times New Roman" w:eastAsia="Times New Roman" w:hAnsi="Times New Roman"/>
          <w:sz w:val="24"/>
          <w:szCs w:val="24"/>
        </w:rPr>
        <w:t xml:space="preserve">The total addressable market for new commercial aircraft was estimated by Boeing's own Commercial Market Outlook at approximately $9 trillion over the next twenty years — with the 737 MAX and Airbus A320neo family competing for the largest single segment, single-aisle jets. Boeing estimated a need for more than 32,000 new aircraft over this period, of which roughly 75% would be single-aisle. The 737 MAX backlog of more than 4,600 aircraft as of late 2024 represented a revenue opportunity exceeding $500 billion at list prices — before negotiated discounts that typically ran 40–60% (see Exhibit 4).</w:t>
      </w:r>
    </w:p>
    <w:p>
      <w:pPr>
        <w:pStyle w:val="Heading2"/>
        <w:spacing w:after="80" w:before="280"/>
      </w:pPr>
      <w:r>
        <w:rPr>
          <w:rFonts w:ascii="Arial" w:cs="Arial" w:eastAsia="Arial" w:hAnsi="Arial"/>
          <w:b/>
          <w:bCs/>
          <w:color w:val="2C3E50"/>
          <w:sz w:val="24"/>
          <w:szCs w:val="24"/>
        </w:rPr>
        <w:t xml:space="preserve">The Airbus Advantage</w:t>
      </w:r>
    </w:p>
    <w:p>
      <w:pPr>
        <w:spacing w:after="160"/>
        <w:ind w:firstLine="0"/>
        <w:jc w:val="both"/>
      </w:pPr>
      <w:r>
        <w:rPr>
          <w:rFonts w:ascii="Times New Roman" w:cs="Times New Roman" w:eastAsia="Times New Roman" w:hAnsi="Times New Roman"/>
          <w:sz w:val="24"/>
          <w:szCs w:val="24"/>
        </w:rPr>
        <w:t xml:space="preserve">Boeing's difficulties between 2019 and 2024 translated directly into competitive gains for Airbus. While Boeing was grounded, restructuring, and then strike-bound, Airbus was delivering aircraft. In 2023, Airbus delivered 735 commercial aircraft; Boeing delivered 528. In 2024, the gap widened further — Boeing's total deliveries for the year fell below 350, while Airbus delivered approximately 766. Airlines that had historically maintained mixed Boeing-Airbus fleets or operated all-Boeing fleets began converting orders. United Airlines CEO Scott Kirby publicly cast doubt over the Boeing 737 MAX 10 variant in early 2024. Southwest Airlines, which operated an exclusively Boeing fleet, disclosed in late 2024 that approximately fifty aircraft it had expected to receive had not arrived on schedule.</w:t>
      </w:r>
    </w:p>
    <w:p>
      <w:pPr>
        <w:spacing w:after="160"/>
        <w:ind w:firstLine="360"/>
        <w:jc w:val="both"/>
      </w:pPr>
      <w:r>
        <w:rPr>
          <w:rFonts w:ascii="Times New Roman" w:cs="Times New Roman" w:eastAsia="Times New Roman" w:hAnsi="Times New Roman"/>
          <w:sz w:val="24"/>
          <w:szCs w:val="24"/>
        </w:rPr>
        <w:t xml:space="preserve">More troubling for Boeing's long-term competitive position was the order intake data. Airlines booking new aircraft through 2024 were systematically selecting Airbus when delivery certainty was a priority — and it almost always was. Air India's order for 250 aircraft, announced in early 2023, went to Airbus. IndiGo placed an order for 500 A320-family jets. These orders, placed with lead times of five to eight years, would shape fleet structures through the 2030s — making the window for Boeing to recover its market position genuinely time-bounded (see Exhibit 2).</w:t>
      </w:r>
    </w:p>
    <w:p>
      <w:pPr>
        <w:pStyle w:val="Heading2"/>
        <w:spacing w:after="80" w:before="280"/>
      </w:pPr>
      <w:r>
        <w:rPr>
          <w:rFonts w:ascii="Arial" w:cs="Arial" w:eastAsia="Arial" w:hAnsi="Arial"/>
          <w:b/>
          <w:bCs/>
          <w:color w:val="2C3E50"/>
          <w:sz w:val="24"/>
          <w:szCs w:val="24"/>
        </w:rPr>
        <w:t xml:space="preserve">Regulatory Environment</w:t>
      </w:r>
    </w:p>
    <w:p>
      <w:pPr>
        <w:spacing w:after="160"/>
        <w:ind w:firstLine="0"/>
        <w:jc w:val="both"/>
      </w:pPr>
      <w:r>
        <w:rPr>
          <w:rFonts w:ascii="Times New Roman" w:cs="Times New Roman" w:eastAsia="Times New Roman" w:hAnsi="Times New Roman"/>
          <w:sz w:val="24"/>
          <w:szCs w:val="24"/>
        </w:rPr>
        <w:t xml:space="preserve">The Federal Aviation Administration's relationship with Boeing had undergone a fundamental reorientation following the MAX crashes. Regulatory oversight that had previously relied substantially on Boeing's own Authorized Representatives — Boeing employees deputized to perform FAA inspection functions — was rolled back significantly after 2020. By 2024, the FAA had deployed dozens of inspectors directly to Boeing facilities and had established new consent-order requirements mandating rolling disclosure of manufacturing defects and non-conformances.</w:t>
      </w:r>
    </w:p>
    <w:p>
      <w:pPr>
        <w:spacing w:after="160"/>
        <w:ind w:firstLine="360"/>
        <w:jc w:val="both"/>
      </w:pPr>
      <w:r>
        <w:rPr>
          <w:rFonts w:ascii="Times New Roman" w:cs="Times New Roman" w:eastAsia="Times New Roman" w:hAnsi="Times New Roman"/>
          <w:sz w:val="24"/>
          <w:szCs w:val="24"/>
        </w:rPr>
        <w:t xml:space="preserve">The January 2024 production cap — freezing 737 MAX output at thirty-eight per month — was enforced with a rigor that signaled the FAA's changed posture. Any increase would require explicit agency approval following documented compliance across a monitored period. For Boeing's financial recovery model, which assumed a return to pre-crisis production rates of fifty to fifty-seven aircraft per month, this regulatory constraint represented a multi-year gating factor.</w:t>
      </w:r>
    </w:p>
    <w:p>
      <w:pPr>
        <w:pStyle w:val="Heading1"/>
        <w:pBdr>
          <w:bottom w:val="single" w:color="C0392B" w:sz="4" w:space="4"/>
        </w:pBdr>
        <w:spacing w:after="120" w:before="400"/>
      </w:pPr>
      <w:r>
        <w:rPr>
          <w:rFonts w:ascii="Arial" w:cs="Arial" w:eastAsia="Arial" w:hAnsi="Arial"/>
          <w:b/>
          <w:bCs/>
          <w:color w:val="1A1A2E"/>
          <w:sz w:val="28"/>
          <w:szCs w:val="28"/>
        </w:rPr>
        <w:t xml:space="preserve">Three Fires, One Fire Chief</w:t>
      </w:r>
    </w:p>
    <w:p>
      <w:pPr>
        <w:pStyle w:val="Heading2"/>
        <w:spacing w:after="80" w:before="280"/>
      </w:pPr>
      <w:r>
        <w:rPr>
          <w:rFonts w:ascii="Arial" w:cs="Arial" w:eastAsia="Arial" w:hAnsi="Arial"/>
          <w:b/>
          <w:bCs/>
          <w:color w:val="2C3E50"/>
          <w:sz w:val="24"/>
          <w:szCs w:val="24"/>
        </w:rPr>
        <w:t xml:space="preserve">The Strike</w:t>
      </w:r>
    </w:p>
    <w:p>
      <w:pPr>
        <w:spacing w:after="160"/>
        <w:ind w:firstLine="0"/>
        <w:jc w:val="both"/>
      </w:pPr>
      <w:r>
        <w:rPr>
          <w:rFonts w:ascii="Times New Roman" w:cs="Times New Roman" w:eastAsia="Times New Roman" w:hAnsi="Times New Roman"/>
          <w:sz w:val="24"/>
          <w:szCs w:val="24"/>
        </w:rPr>
        <w:t xml:space="preserve">The International Association of Machinists and Aerospace Workers (IAM) District 751 contract had expired on September 12, 2024. The machinists had operated under the previous contract — ratified in 2014 after Boeing threatened to move 777X production to a nonunion facility — for a decade. That contract had traded away the workers' traditional defined-benefit pension plan. The resentment was not abstract; it was financial. Many workers nearing retirement age had watched their expected retirement income fall dramatically.</w:t>
      </w:r>
    </w:p>
    <w:p>
      <w:pPr>
        <w:spacing w:after="160"/>
        <w:ind w:firstLine="360"/>
        <w:jc w:val="both"/>
      </w:pPr>
      <w:r>
        <w:rPr>
          <w:rFonts w:ascii="Times New Roman" w:cs="Times New Roman" w:eastAsia="Times New Roman" w:hAnsi="Times New Roman"/>
          <w:sz w:val="24"/>
          <w:szCs w:val="24"/>
        </w:rPr>
        <w:t xml:space="preserve">IAM District 751 entered the 2024 negotiations with clear demands: a 40% wage increase over four years, restoration of the pension plan, and improvements to healthcare and profit-sharing. Boeing's initial offer — approved by the union negotiating team — was a 25% wage increase over four years plus a $3,000 ratification bonus. Workers rejected it by 95%. The strike began at midnight on September 13, 2024.</w:t>
      </w:r>
    </w:p>
    <w:p>
      <w:pPr>
        <w:spacing w:after="160"/>
        <w:ind w:firstLine="360"/>
        <w:jc w:val="both"/>
      </w:pPr>
      <w:r>
        <w:rPr>
          <w:rFonts w:ascii="Times New Roman" w:cs="Times New Roman" w:eastAsia="Times New Roman" w:hAnsi="Times New Roman"/>
          <w:sz w:val="24"/>
          <w:szCs w:val="24"/>
        </w:rPr>
        <w:t xml:space="preserve">Ortberg had been CEO for exactly thirty-six days when the strike began. He had not designed Boeing's negotiating position; that framework had been set under CEO Calhoun. Whether to revise it — and how dramatically — was his first major decision as CEO. His initial instinct, expressed in internal communications reviewed by the company's communications team, was to allow the existing negotiation process to play out before intervening personally. By early October, with the factory silent and cash burning, that instinct was under revision.</w:t>
      </w:r>
    </w:p>
    <w:p>
      <w:pPr>
        <w:spacing w:after="160"/>
        <w:ind w:firstLine="360"/>
        <w:jc w:val="both"/>
      </w:pPr>
      <w:r>
        <w:rPr>
          <w:rFonts w:ascii="Times New Roman" w:cs="Times New Roman" w:eastAsia="Times New Roman" w:hAnsi="Times New Roman"/>
          <w:sz w:val="24"/>
          <w:szCs w:val="24"/>
        </w:rPr>
        <w:t xml:space="preserve">A revised offer, carrying a 30% wage increase over four years and modest improvements to profit-sharing, had been put to workers in late September. They rejected it by 64% — a lower margin than the first vote, but still a decisive no. The third round of negotiations, underway in the first week of October, included a federal mediator. Ortberg received a briefing on October 7: the union was prepared to accept an agreement in the range of 35% over four years if Boeing made meaningful movement on retirement benefits, even if full pension restoration was off the table. The estimated cost to Boeing: $1.7 billion in incremental commitments over the contract term.</w:t>
      </w:r>
    </w:p>
    <w:p>
      <w:pPr>
        <w:pStyle w:val="Heading2"/>
        <w:spacing w:after="80" w:before="280"/>
      </w:pPr>
      <w:r>
        <w:rPr>
          <w:rFonts w:ascii="Arial" w:cs="Arial" w:eastAsia="Arial" w:hAnsi="Arial"/>
          <w:b/>
          <w:bCs/>
          <w:color w:val="2C3E50"/>
          <w:sz w:val="24"/>
          <w:szCs w:val="24"/>
        </w:rPr>
        <w:t xml:space="preserve">The Financial Bleeding</w:t>
      </w:r>
    </w:p>
    <w:p>
      <w:pPr>
        <w:spacing w:after="160"/>
        <w:ind w:firstLine="0"/>
        <w:jc w:val="both"/>
      </w:pPr>
      <w:r>
        <w:rPr>
          <w:rFonts w:ascii="Times New Roman" w:cs="Times New Roman" w:eastAsia="Times New Roman" w:hAnsi="Times New Roman"/>
          <w:sz w:val="24"/>
          <w:szCs w:val="24"/>
        </w:rPr>
        <w:t xml:space="preserve">Boeing's 2024 financial position was severe. The company had entered the year with $57.7 billion in total debt — a figure reflecting years of share buybacks executed between 2013 and 2019, when Boeing returned more than $43 billion to shareholders. The January 2024 door-plug incident had tightened FAA oversight, slowing production further. The machinists' strike removed all 737 and 777 production from October through at least November.</w:t>
      </w:r>
    </w:p>
    <w:p>
      <w:pPr>
        <w:spacing w:after="160"/>
        <w:ind w:firstLine="360"/>
        <w:jc w:val="both"/>
      </w:pPr>
      <w:r>
        <w:rPr>
          <w:rFonts w:ascii="Times New Roman" w:cs="Times New Roman" w:eastAsia="Times New Roman" w:hAnsi="Times New Roman"/>
          <w:sz w:val="24"/>
          <w:szCs w:val="24"/>
        </w:rPr>
        <w:t xml:space="preserve">Free cash outflow for the full year 2024 reached approximately $14 billion. Revenue for the fourth quarter fell to $15.2 billion, a figure that reflected an operating margin of negative 43.9% in the Commercial Airplanes segment. Boeing executed a $24 billion capital raise in late 2024 to stabilize its balance sheet, bringing cash and marketable securities to $26.3 billion — but also diluting existing shareholders significantly. The debt-to-equity ratio remained at levels that troubled debt rating agencies; Moody's had placed Boeing on review for a potential downgrade to junk status at multiple points during the year.</w:t>
      </w:r>
    </w:p>
    <w:p>
      <w:pPr>
        <w:spacing w:after="160"/>
        <w:ind w:firstLine="360"/>
        <w:jc w:val="both"/>
      </w:pPr>
      <w:r>
        <w:rPr>
          <w:rFonts w:ascii="Times New Roman" w:cs="Times New Roman" w:eastAsia="Times New Roman" w:hAnsi="Times New Roman"/>
          <w:sz w:val="24"/>
          <w:szCs w:val="24"/>
        </w:rPr>
        <w:t xml:space="preserve">Each month of strike cost Boeing an estimated $300 million in lost revenue and approximately $100 million in fixed overhead on idle facilities. The financial model prepared by Boeing's treasury team for Ortberg's review estimated that every additional month of work stoppage pushed Boeing's expected return to positive free cash flow — then forecast for 2026 — approximately two quarters further into the future.</w:t>
      </w:r>
    </w:p>
    <w:p>
      <w:pPr>
        <w:pStyle w:val="Heading2"/>
        <w:spacing w:after="80" w:before="280"/>
      </w:pPr>
      <w:r>
        <w:rPr>
          <w:rFonts w:ascii="Arial" w:cs="Arial" w:eastAsia="Arial" w:hAnsi="Arial"/>
          <w:b/>
          <w:bCs/>
          <w:color w:val="2C3E50"/>
          <w:sz w:val="24"/>
          <w:szCs w:val="24"/>
        </w:rPr>
        <w:t xml:space="preserve">The Culture Crisis</w:t>
      </w:r>
    </w:p>
    <w:p>
      <w:pPr>
        <w:spacing w:after="160"/>
        <w:ind w:firstLine="0"/>
        <w:jc w:val="both"/>
      </w:pPr>
      <w:r>
        <w:rPr>
          <w:rFonts w:ascii="Times New Roman" w:cs="Times New Roman" w:eastAsia="Times New Roman" w:hAnsi="Times New Roman"/>
          <w:sz w:val="24"/>
          <w:szCs w:val="24"/>
        </w:rPr>
        <w:t xml:space="preserve">Underlying the financial and labor challenges was a problem that resisted quantification: Boeing's organizational culture had fractured. The company that had built the 747 in just twenty-nine months — with over 50,000 workers and no computer-aided design tools — now struggled to close an improperly installed door plug before delivery. The NTSB investigation into the Alaska Airlines incident found not merely a quality-control failure but a systematic breakdown in oversight, documentation, and accountability.</w:t>
      </w:r>
    </w:p>
    <w:p>
      <w:pPr>
        <w:spacing w:after="160"/>
        <w:ind w:firstLine="360"/>
        <w:jc w:val="both"/>
      </w:pPr>
      <w:r>
        <w:rPr>
          <w:rFonts w:ascii="Times New Roman" w:cs="Times New Roman" w:eastAsia="Times New Roman" w:hAnsi="Times New Roman"/>
          <w:sz w:val="24"/>
          <w:szCs w:val="24"/>
        </w:rPr>
        <w:t xml:space="preserve">Internal Boeing safety records reviewed by congressional investigators showed patterns of workers raising concerns about manufacturing quality and being discouraged or ignored. Boeing's existing 'Speak Up' mechanism — an anonymous reporting system — had generated thousands of complaints in the two years preceding the 2024 incident. Internal analysis suggested that fewer than 40% of reported concerns resulted in documented corrective action.</w:t>
      </w:r>
    </w:p>
    <w:p>
      <w:pPr>
        <w:spacing w:after="160"/>
        <w:ind w:firstLine="360"/>
        <w:jc w:val="both"/>
      </w:pPr>
      <w:r>
        <w:rPr>
          <w:rFonts w:ascii="Times New Roman" w:cs="Times New Roman" w:eastAsia="Times New Roman" w:hAnsi="Times New Roman"/>
          <w:sz w:val="24"/>
          <w:szCs w:val="24"/>
        </w:rPr>
        <w:t xml:space="preserve">Ortberg had made culture change the centerpiece of his public messaging. His town halls, site visits, and acknowledgment that survey results would be 'brutal to leadership' were signals of a different management philosophy. But inside Boeing, experienced observers noted that changing a culture of 160,000 people — spread across commercial, defense, and services divisions in dozens of countries — required far more than a CEO's goodwill. It required structural changes in incentives, accountability, and middle management behavior that could take years to take hold. And Boeing, by any reasonable measure, did not have years to wait.</w:t>
      </w:r>
    </w:p>
    <w:p>
      <w:pPr>
        <w:pStyle w:val="Heading2"/>
        <w:spacing w:after="80" w:before="280"/>
      </w:pPr>
      <w:r>
        <w:rPr>
          <w:rFonts w:ascii="Arial" w:cs="Arial" w:eastAsia="Arial" w:hAnsi="Arial"/>
          <w:b/>
          <w:bCs/>
          <w:color w:val="2C3E50"/>
          <w:sz w:val="24"/>
          <w:szCs w:val="24"/>
        </w:rPr>
        <w:t xml:space="preserve">The Layoff Announcement and Its Fallout</w:t>
      </w:r>
    </w:p>
    <w:p>
      <w:pPr>
        <w:spacing w:after="160"/>
        <w:ind w:firstLine="0"/>
        <w:jc w:val="both"/>
      </w:pPr>
      <w:r>
        <w:rPr>
          <w:rFonts w:ascii="Times New Roman" w:cs="Times New Roman" w:eastAsia="Times New Roman" w:hAnsi="Times New Roman"/>
          <w:sz w:val="24"/>
          <w:szCs w:val="24"/>
        </w:rPr>
        <w:t xml:space="preserve">In October 2024, concurrently with the strike negotiations, Boeing announced plans to reduce its global workforce by approximately 17,000 employees — roughly 10% of its total headcount. U.S. workers received formal notices in November, with departures scheduled through early 2025. The announcement included engineers, program managers, and corporate staff — not the IAM machinists who were already on strike.</w:t>
      </w:r>
    </w:p>
    <w:p>
      <w:pPr>
        <w:spacing w:after="160"/>
        <w:ind w:firstLine="360"/>
        <w:jc w:val="both"/>
      </w:pPr>
      <w:r>
        <w:rPr>
          <w:rFonts w:ascii="Times New Roman" w:cs="Times New Roman" w:eastAsia="Times New Roman" w:hAnsi="Times New Roman"/>
          <w:sz w:val="24"/>
          <w:szCs w:val="24"/>
        </w:rPr>
        <w:t xml:space="preserve">The timing created a communications challenge of considerable complexity. Boeing was simultaneously asking striking workers to return to work and accept a revised contract, while announcing the elimination of 17,000 positions across the enterprise. Union officials pointed to the parallel actions as evidence that management's goodwill gestures were performative. 'You can't tell us you want to rebuild trust with workers while you're handing out 17,000 pink slips,' IAM District 751 President Jon Holden said at a press conference.</w:t>
      </w:r>
    </w:p>
    <w:p>
      <w:pPr>
        <w:spacing w:after="160"/>
        <w:ind w:firstLine="360"/>
        <w:jc w:val="both"/>
      </w:pPr>
      <w:r>
        <w:rPr>
          <w:rFonts w:ascii="Times New Roman" w:cs="Times New Roman" w:eastAsia="Times New Roman" w:hAnsi="Times New Roman"/>
          <w:sz w:val="24"/>
          <w:szCs w:val="24"/>
        </w:rPr>
        <w:t xml:space="preserve">Ortberg's internal communications team argued the opposite: that the layoffs were necessary to right-size the company's cost structure for the production rates actually achievable under FAA oversight, and that attempting to maintain a workforce calibrated for fifty-seven aircraft per month while operating at thirty-eight per month was financially unsustainable. Both arguments were, in a narrow sense, correct. The tension between them illustrated the core dilemma Ortberg faced: a turnaround that required simultaneous cost reduction and cultural rebuilding — goals that were in direct conflict.</w:t>
      </w:r>
    </w:p>
    <w:p>
      <w:pPr>
        <w:pStyle w:val="Heading1"/>
        <w:pBdr>
          <w:bottom w:val="single" w:color="C0392B" w:sz="4" w:space="4"/>
        </w:pBdr>
        <w:spacing w:after="120" w:before="400"/>
      </w:pPr>
      <w:r>
        <w:rPr>
          <w:rFonts w:ascii="Arial" w:cs="Arial" w:eastAsia="Arial" w:hAnsi="Arial"/>
          <w:b/>
          <w:bCs/>
          <w:color w:val="1A1A2E"/>
          <w:sz w:val="28"/>
          <w:szCs w:val="28"/>
        </w:rPr>
        <w:t xml:space="preserve">The Board Call in Forty-Eight Hours</w:t>
      </w:r>
    </w:p>
    <w:p>
      <w:pPr>
        <w:spacing w:after="160"/>
        <w:ind w:firstLine="0"/>
        <w:jc w:val="both"/>
      </w:pPr>
      <w:r>
        <w:rPr>
          <w:rFonts w:ascii="Times New Roman" w:cs="Times New Roman" w:eastAsia="Times New Roman" w:hAnsi="Times New Roman"/>
          <w:sz w:val="24"/>
          <w:szCs w:val="24"/>
        </w:rPr>
        <w:t xml:space="preserve">On October 8, 2024, Ortberg convened his senior leadership team — CFO Brian West, Chief Operating Officer Stephanie Pope, and Chief Legal Officer Dana Debel — for a final briefing before he was required to communicate Boeing's position to the federal mediator and, separately, to the board. Three strategic options had been formally prepared for his review.</w:t>
      </w:r>
    </w:p>
    <w:p>
      <w:pPr>
        <w:pStyle w:val="Heading2"/>
        <w:spacing w:after="80" w:before="280"/>
      </w:pPr>
      <w:r>
        <w:rPr>
          <w:rFonts w:ascii="Arial" w:cs="Arial" w:eastAsia="Arial" w:hAnsi="Arial"/>
          <w:b/>
          <w:bCs/>
          <w:color w:val="2C3E50"/>
          <w:sz w:val="24"/>
          <w:szCs w:val="24"/>
        </w:rPr>
        <w:t xml:space="preserve">Option A: Settle Quickly and Generously</w:t>
      </w:r>
    </w:p>
    <w:p>
      <w:pPr>
        <w:spacing w:after="160"/>
        <w:ind w:firstLine="0"/>
        <w:jc w:val="both"/>
      </w:pPr>
      <w:r>
        <w:rPr>
          <w:rFonts w:ascii="Times New Roman" w:cs="Times New Roman" w:eastAsia="Times New Roman" w:hAnsi="Times New Roman"/>
          <w:sz w:val="24"/>
          <w:szCs w:val="24"/>
        </w:rPr>
        <w:t xml:space="preserve">Boeing could accept a contract in the range of 35% over four years with enhanced profit-sharing, estimated by the finance team to cost approximately $1.7 billion in additional commitments over four years. Ending the strike immediately would restart production, begin recovering lost deliveries, and potentially generate the goodwill necessary to begin genuine culture repair. The risk: committing $1.7 billion to labor costs at a moment when Boeing was burning $10 million per day and carrying $53.9 billion in debt. The message to the bond market would be significant.</w:t>
      </w:r>
    </w:p>
    <w:p>
      <w:pPr>
        <w:pStyle w:val="Heading2"/>
        <w:spacing w:after="80" w:before="280"/>
      </w:pPr>
      <w:r>
        <w:rPr>
          <w:rFonts w:ascii="Arial" w:cs="Arial" w:eastAsia="Arial" w:hAnsi="Arial"/>
          <w:b/>
          <w:bCs/>
          <w:color w:val="2C3E50"/>
          <w:sz w:val="24"/>
          <w:szCs w:val="24"/>
        </w:rPr>
        <w:t xml:space="preserve">Option B: Hold the Line</w:t>
      </w:r>
    </w:p>
    <w:p>
      <w:pPr>
        <w:spacing w:after="160"/>
        <w:ind w:firstLine="0"/>
        <w:jc w:val="both"/>
      </w:pPr>
      <w:r>
        <w:rPr>
          <w:rFonts w:ascii="Times New Roman" w:cs="Times New Roman" w:eastAsia="Times New Roman" w:hAnsi="Times New Roman"/>
          <w:sz w:val="24"/>
          <w:szCs w:val="24"/>
        </w:rPr>
        <w:t xml:space="preserve">Boeing could maintain its current offer of 30-32% over four years and accept a longer strike — betting that workers' financial pressure would eventually force a settlement. Labor economists estimated that machinists earning approximately $75,000 per year in base wages could sustain a strike for six to eight weeks on accumulated savings and strike pay of approximately $250 per week from the IAM. By mid-October, the strike had been running for twenty-five days. Ortberg's team estimated that a further four to six weeks would bring maximum financial pressure on workers. The risk: permanent loss of experienced workers to other industries, further delivery delays, and a public narrative of a new CEO continuing the same adversarial approach that had created the crisis.</w:t>
      </w:r>
    </w:p>
    <w:p>
      <w:pPr>
        <w:pStyle w:val="Heading2"/>
        <w:spacing w:after="80" w:before="280"/>
      </w:pPr>
      <w:r>
        <w:rPr>
          <w:rFonts w:ascii="Arial" w:cs="Arial" w:eastAsia="Arial" w:hAnsi="Arial"/>
          <w:b/>
          <w:bCs/>
          <w:color w:val="2C3E50"/>
          <w:sz w:val="24"/>
          <w:szCs w:val="24"/>
        </w:rPr>
        <w:t xml:space="preserve">Option C: Restructure Through the Strike</w:t>
      </w:r>
    </w:p>
    <w:p>
      <w:pPr>
        <w:spacing w:after="160"/>
        <w:ind w:firstLine="0"/>
        <w:jc w:val="both"/>
      </w:pPr>
      <w:r>
        <w:rPr>
          <w:rFonts w:ascii="Times New Roman" w:cs="Times New Roman" w:eastAsia="Times New Roman" w:hAnsi="Times New Roman"/>
          <w:sz w:val="24"/>
          <w:szCs w:val="24"/>
        </w:rPr>
        <w:t xml:space="preserve">Boeing could announce that it intended to hire replacement workers for production positions, execute the 17,000-person restructuring aggressively, and attempt to resume a lower but fully controlled production rate with a non-union or mixed workforce. Legal counsel advised that this option was within Boeing's rights under the National Labor Relations Act, though replacement hiring for economic strikes carried significant legal risk if mishandled. The risk: a federal unfair labor practice complaint, a union-busting narrative in front of a Democratic administration's NLRB, and the near-certain departure of irreplaceable technical knowledge that had taken decades to accumulate.</w:t>
      </w:r>
    </w:p>
    <w:p>
      <w:pPr>
        <w:spacing w:after="160"/>
        <w:ind w:firstLine="360"/>
        <w:jc w:val="both"/>
      </w:pPr>
      <w:r>
        <w:rPr>
          <w:rFonts w:ascii="Times New Roman" w:cs="Times New Roman" w:eastAsia="Times New Roman" w:hAnsi="Times New Roman"/>
          <w:sz w:val="24"/>
          <w:szCs w:val="24"/>
        </w:rPr>
        <w:t xml:space="preserve">Boeing's HR analytics team had provided Ortberg a quiet data point that had not appeared in any board presentation: the average tenure of IAM District 751 machinists involved in 737 final assembly was 14.2 years. The tacit knowledge embedded in that workforce — the intuitions about tolerances, the informal quality checks that experienced workers applied without being told to — was not in any manual. It was not transferable on a six-month training schedule.</w:t>
      </w:r>
    </w:p>
    <w:p>
      <w:pPr>
        <w:spacing w:after="160"/>
        <w:ind w:firstLine="360"/>
        <w:jc w:val="both"/>
      </w:pPr>
      <w:r>
        <w:rPr>
          <w:rFonts w:ascii="Times New Roman" w:cs="Times New Roman" w:eastAsia="Times New Roman" w:hAnsi="Times New Roman"/>
          <w:sz w:val="24"/>
          <w:szCs w:val="24"/>
        </w:rPr>
        <w:t xml:space="preserve">The federal mediator had asked Boeing for a response by October 11. The board call was scheduled for October 10. Ortberg picked up the IAM counteroffer from the table and looked at it for the third time that morning. The numbers were not the hardest part. The hardest part was what the decision would say about what kind of company Boeing intended to become — and whether the people on the factory floor would believe it.</w:t>
      </w:r>
    </w:p>
    <w:p>
      <w:pPr>
        <w:spacing w:after="160"/>
        <w:ind w:firstLine="360"/>
        <w:jc w:val="both"/>
      </w:pPr>
      <w:r>
        <w:rPr>
          <w:rFonts w:ascii="Times New Roman" w:cs="Times New Roman" w:eastAsia="Times New Roman" w:hAnsi="Times New Roman"/>
          <w:sz w:val="24"/>
          <w:szCs w:val="24"/>
        </w:rPr>
        <w:t xml:space="preserve">What had seemed, from the outside, like a contract negotiation had quietly become something else entirely: the first chapter of a leadership story that would either define Boeing's recovery or confirm its decline. Kelly Ortberg had forty-eight hours to decide which one it would be.</w:t>
      </w:r>
    </w:p>
    <w:p>
      <w:pPr>
        <w:spacing w:after="0" w:before="0"/>
      </w:pPr>
      <w:r>
        <w:br w:type="page"/>
      </w:r>
    </w:p>
    <w:p>
      <w:pPr>
        <w:pStyle w:val="Heading1"/>
        <w:pBdr>
          <w:bottom w:val="single" w:color="C0392B" w:sz="4" w:space="4"/>
        </w:pBdr>
        <w:spacing w:after="120" w:before="400"/>
      </w:pPr>
      <w:r>
        <w:rPr>
          <w:rFonts w:ascii="Arial" w:cs="Arial" w:eastAsia="Arial" w:hAnsi="Arial"/>
          <w:b/>
          <w:bCs/>
          <w:color w:val="1A1A2E"/>
          <w:sz w:val="28"/>
          <w:szCs w:val="28"/>
        </w:rPr>
        <w:t xml:space="preserve">EXHIBIT APPENDIX</w:t>
      </w:r>
    </w:p>
    <w:p>
      <w:pPr>
        <w:spacing w:after="120" w:before="480"/>
      </w:pPr>
      <w:r>
        <w:rPr>
          <w:rFonts w:ascii="Arial" w:cs="Arial" w:eastAsia="Arial" w:hAnsi="Arial"/>
          <w:b/>
          <w:bCs/>
          <w:color w:val="2C3E50"/>
          <w:sz w:val="22"/>
          <w:szCs w:val="22"/>
        </w:rPr>
        <w:t xml:space="preserve">Exhibit 1: </w:t>
      </w:r>
      <w:r>
        <w:rPr>
          <w:rFonts w:ascii="Arial" w:cs="Arial" w:eastAsia="Arial" w:hAnsi="Arial"/>
          <w:b/>
          <w:bCs/>
          <w:color w:val="2C3E50"/>
          <w:sz w:val="22"/>
          <w:szCs w:val="22"/>
        </w:rPr>
        <w:t xml:space="preserve">The Boeing Company — 5-Year Financial Summary (FY2020–FY2024)</w:t>
      </w:r>
    </w:p>
    <w:p>
      <w:pPr>
        <w:spacing w:after="80" w:before="80"/>
        <w:jc w:val="center"/>
      </w:pPr>
      <w:r>
        <w:rPr>
          <w:rFonts w:ascii="Arial" w:cs="Arial" w:eastAsia="Arial" w:hAnsi="Arial"/>
          <w:color w:val="888888"/>
          <w:sz w:val="20"/>
          <w:szCs w:val="20"/>
        </w:rPr>
        <w:t xml:space="preserve">All figures in USD Billion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43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FY2020</w:t>
            </w:r>
          </w:p>
        </w:tc>
        <w:tc>
          <w:tcPr>
            <w:tcW w:type="dxa" w:w="143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FY2021</w:t>
            </w:r>
          </w:p>
        </w:tc>
        <w:tc>
          <w:tcPr>
            <w:tcW w:type="dxa" w:w="143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FY2022</w:t>
            </w:r>
          </w:p>
        </w:tc>
        <w:tc>
          <w:tcPr>
            <w:tcW w:type="dxa" w:w="143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FY2023</w:t>
            </w:r>
          </w:p>
        </w:tc>
        <w:tc>
          <w:tcPr>
            <w:tcW w:type="dxa" w:w="14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FY2024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Revenue ($B)</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$58.2</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$62.3</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$66.6</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$77.8</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$66.5</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YoY Growth %</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+7.0%</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+6.9%</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+16.9%</w:t>
            </w:r>
          </w:p>
        </w:tc>
        <w:tc>
          <w:tcPr>
            <w:tcW w:type="dxa" w:w="14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-14.5%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Gross Profit ($B)</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-$6.5</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$3.2</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$5.5</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$9.1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Gross Margin %</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-11.2%</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+5.1%</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+8.3%</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+11.7%</w:t>
            </w:r>
          </w:p>
        </w:tc>
        <w:tc>
          <w:tcPr>
            <w:tcW w:type="dxa" w:w="14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EBITDA ($B)</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-$14.1</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-$3.3</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$0.9</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$3.7</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-$8.3</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EBITDA Margin %</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-24.2%</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-5.3%</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+1.4%</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+4.8%</w:t>
            </w:r>
          </w:p>
        </w:tc>
        <w:tc>
          <w:tcPr>
            <w:tcW w:type="dxa" w:w="14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-12.5%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Net Loss ($B)</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-$11.9</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-$4.3</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-$5.1</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-$11.8</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Net Margin %</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-20.4%</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-6.9%</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-7.7%</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-2.8%</w:t>
            </w:r>
          </w:p>
        </w:tc>
        <w:tc>
          <w:tcPr>
            <w:tcW w:type="dxa" w:w="14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-17.7%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Total Debt ($B)</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$57.0</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$56.8</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$57.2</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$52.3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$53.9</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Cash &amp; Equiv ($B)</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$7.8</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$16.2</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$14.6</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$13.1</w:t>
            </w:r>
          </w:p>
        </w:tc>
        <w:tc>
          <w:tcPr>
            <w:tcW w:type="dxa" w:w="14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$26.3*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737 MAX Deliveries</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43</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263</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374</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396</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~340**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Total Commercial Deliveries</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157</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340</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480</w:t>
            </w:r>
          </w:p>
        </w:tc>
        <w:tc>
          <w:tcPr>
            <w:tcW w:type="dxa" w:w="1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528</w:t>
            </w:r>
          </w:p>
        </w:tc>
        <w:tc>
          <w:tcPr>
            <w:tcW w:type="dxa" w:w="14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~348**</w:t>
            </w:r>
          </w:p>
        </w:tc>
      </w:tr>
    </w:tbl>
    <w:p>
      <w:pPr>
        <w:spacing w:after="360" w:before="80"/>
      </w:pPr>
      <w:r>
        <w:rPr>
          <w:rFonts w:ascii="Arial" w:cs="Arial" w:eastAsia="Arial" w:hAnsi="Arial"/>
          <w:b/>
          <w:bCs/>
          <w:i/>
          <w:iCs/>
          <w:color w:val="888888"/>
          <w:sz w:val="18"/>
          <w:szCs w:val="18"/>
        </w:rPr>
        <w:t xml:space="preserve">Source: </w:t>
      </w:r>
      <w:r>
        <w:rPr>
          <w:rFonts w:ascii="Arial" w:cs="Arial" w:eastAsia="Arial" w:hAnsi="Arial"/>
          <w:i/>
          <w:iCs/>
          <w:color w:val="888888"/>
          <w:sz w:val="18"/>
          <w:szCs w:val="18"/>
        </w:rPr>
        <w:t xml:space="preserve">Boeing Company annual reports and earnings releases. *Includes $24B capital raise completed Q4 2024. **FY2024 deliveries impacted by 53-day IAM strike and FAA production cap. Author estimates for preliminary figures.</w:t>
      </w:r>
    </w:p>
    <w:p>
      <w:pPr>
        <w:spacing w:after="160" w:before="0"/>
      </w:pPr>
      <w:r>
        <w:t xml:space="preserve"/>
      </w:r>
    </w:p>
    <w:p>
      <w:pPr>
        <w:spacing w:after="120" w:before="480"/>
      </w:pPr>
      <w:r>
        <w:rPr>
          <w:rFonts w:ascii="Arial" w:cs="Arial" w:eastAsia="Arial" w:hAnsi="Arial"/>
          <w:b/>
          <w:bCs/>
          <w:color w:val="2C3E50"/>
          <w:sz w:val="22"/>
          <w:szCs w:val="22"/>
        </w:rPr>
        <w:t xml:space="preserve">Exhibit 2: </w:t>
      </w:r>
      <w:r>
        <w:rPr>
          <w:rFonts w:ascii="Arial" w:cs="Arial" w:eastAsia="Arial" w:hAnsi="Arial"/>
          <w:b/>
          <w:bCs/>
          <w:color w:val="2C3E50"/>
          <w:sz w:val="22"/>
          <w:szCs w:val="22"/>
        </w:rPr>
        <w:t xml:space="preserve">Commercial Aircraft Competitive Landscape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2024 Deliveries</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Market Share</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Backlog (Aircraft)</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Net Orders 2024</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Key Strength</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Boeing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~348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5,600+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~400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Installed base; 787 widebody</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Airbus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~766</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~68%</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8,700+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~800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A320neo delivery reliability</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COMAC (China)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&lt;30 domestic</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&lt;1%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~1,200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China captive market</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Embraer</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Not applicable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Regional only</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~800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~250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Sub-150 seat jets</w:t>
            </w:r>
          </w:p>
        </w:tc>
      </w:tr>
    </w:tbl>
    <w:p>
      <w:pPr>
        <w:spacing w:after="360" w:before="80"/>
      </w:pPr>
      <w:r>
        <w:rPr>
          <w:rFonts w:ascii="Arial" w:cs="Arial" w:eastAsia="Arial" w:hAnsi="Arial"/>
          <w:b/>
          <w:bCs/>
          <w:i/>
          <w:iCs/>
          <w:color w:val="888888"/>
          <w:sz w:val="18"/>
          <w:szCs w:val="18"/>
        </w:rPr>
        <w:t xml:space="preserve">Source: </w:t>
      </w:r>
      <w:r>
        <w:rPr>
          <w:rFonts w:ascii="Arial" w:cs="Arial" w:eastAsia="Arial" w:hAnsi="Arial"/>
          <w:i/>
          <w:iCs/>
          <w:color w:val="888888"/>
          <w:sz w:val="18"/>
          <w:szCs w:val="18"/>
        </w:rPr>
        <w:t xml:space="preserve">Industry estimates; Boeing Orders &amp; Deliveries database; Airbus investor relations. Market share by delivery volume, commercial jets 100+ seats.</w:t>
      </w:r>
    </w:p>
    <w:p>
      <w:pPr>
        <w:spacing w:after="160" w:before="0"/>
      </w:pPr>
      <w:r>
        <w:t xml:space="preserve"/>
      </w:r>
    </w:p>
    <w:p>
      <w:pPr>
        <w:spacing w:after="120" w:before="480"/>
      </w:pPr>
      <w:r>
        <w:rPr>
          <w:rFonts w:ascii="Arial" w:cs="Arial" w:eastAsia="Arial" w:hAnsi="Arial"/>
          <w:b/>
          <w:bCs/>
          <w:color w:val="2C3E50"/>
          <w:sz w:val="22"/>
          <w:szCs w:val="22"/>
        </w:rPr>
        <w:t xml:space="preserve">Exhibit 3: </w:t>
      </w:r>
      <w:r>
        <w:rPr>
          <w:rFonts w:ascii="Arial" w:cs="Arial" w:eastAsia="Arial" w:hAnsi="Arial"/>
          <w:b/>
          <w:bCs/>
          <w:color w:val="2C3E50"/>
          <w:sz w:val="22"/>
          <w:szCs w:val="22"/>
        </w:rPr>
        <w:t xml:space="preserve">Boeing Senior Leadership Structure (October 2024)</w:t>
      </w:r>
    </w:p>
    <w:p>
      <w:pPr>
        <w:spacing w:after="160"/>
        <w:jc w:val="both"/>
      </w:pPr>
      <w:r>
        <w:rPr>
          <w:rFonts w:ascii="Times New Roman" w:cs="Times New Roman" w:eastAsia="Times New Roman" w:hAnsi="Times New Roman"/>
          <w:sz w:val="24"/>
          <w:szCs w:val="24"/>
        </w:rPr>
        <w:t xml:space="preserve">Board of Directors</w:t>
      </w:r>
    </w:p>
    <w:p>
      <w:pPr>
        <w:spacing w:after="160"/>
        <w:jc w:val="both"/>
      </w:pPr>
      <w:r>
        <w:rPr>
          <w:rFonts w:ascii="Times New Roman" w:cs="Times New Roman" w:eastAsia="Times New Roman" w:hAnsi="Times New Roman"/>
          <w:sz w:val="24"/>
          <w:szCs w:val="24"/>
        </w:rPr>
        <w:t xml:space="preserve">   └── Kelly Ortberg, President &amp; Chief Executive Officer (appointed August 2024)</w:t>
      </w:r>
    </w:p>
    <w:p>
      <w:pPr>
        <w:spacing w:after="160"/>
        <w:jc w:val="both"/>
      </w:pPr>
      <w:r>
        <w:rPr>
          <w:rFonts w:ascii="Times New Roman" w:cs="Times New Roman" w:eastAsia="Times New Roman" w:hAnsi="Times New Roman"/>
          <w:sz w:val="24"/>
          <w:szCs w:val="24"/>
        </w:rPr>
        <w:t xml:space="preserve">          ├── Brian West, Executive Vice President &amp; Chief Financial Officer</w:t>
      </w:r>
    </w:p>
    <w:p>
      <w:pPr>
        <w:spacing w:after="160"/>
        <w:jc w:val="both"/>
      </w:pPr>
      <w:r>
        <w:rPr>
          <w:rFonts w:ascii="Times New Roman" w:cs="Times New Roman" w:eastAsia="Times New Roman" w:hAnsi="Times New Roman"/>
          <w:sz w:val="24"/>
          <w:szCs w:val="24"/>
        </w:rPr>
        <w:t xml:space="preserve">          ├── Stephanie Pope, President &amp; CEO, Boeing Commercial Airplanes</w:t>
      </w:r>
    </w:p>
    <w:p>
      <w:pPr>
        <w:spacing w:after="160"/>
        <w:jc w:val="both"/>
      </w:pPr>
      <w:r>
        <w:rPr>
          <w:rFonts w:ascii="Times New Roman" w:cs="Times New Roman" w:eastAsia="Times New Roman" w:hAnsi="Times New Roman"/>
          <w:sz w:val="24"/>
          <w:szCs w:val="24"/>
        </w:rPr>
        <w:t xml:space="preserve">          ├── Steve Parker, President &amp; CEO, Boeing Defense, Space &amp; Security</w:t>
      </w:r>
    </w:p>
    <w:p>
      <w:pPr>
        <w:spacing w:after="160"/>
        <w:jc w:val="both"/>
      </w:pPr>
      <w:r>
        <w:rPr>
          <w:rFonts w:ascii="Times New Roman" w:cs="Times New Roman" w:eastAsia="Times New Roman" w:hAnsi="Times New Roman"/>
          <w:sz w:val="24"/>
          <w:szCs w:val="24"/>
        </w:rPr>
        <w:t xml:space="preserve">          ├── Ziad Ojakli, Executive VP, Government Operations</w:t>
      </w:r>
    </w:p>
    <w:p>
      <w:pPr>
        <w:spacing w:after="160"/>
        <w:jc w:val="both"/>
      </w:pPr>
      <w:r>
        <w:rPr>
          <w:rFonts w:ascii="Times New Roman" w:cs="Times New Roman" w:eastAsia="Times New Roman" w:hAnsi="Times New Roman"/>
          <w:sz w:val="24"/>
          <w:szCs w:val="24"/>
        </w:rPr>
        <w:t xml:space="preserve">          ├── Dana Debel, Senior VP &amp; General Counsel</w:t>
      </w:r>
    </w:p>
    <w:p>
      <w:pPr>
        <w:spacing w:after="160"/>
        <w:jc w:val="both"/>
      </w:pPr>
      <w:r>
        <w:rPr>
          <w:rFonts w:ascii="Times New Roman" w:cs="Times New Roman" w:eastAsia="Times New Roman" w:hAnsi="Times New Roman"/>
          <w:sz w:val="24"/>
          <w:szCs w:val="24"/>
        </w:rPr>
        <w:t xml:space="preserve">          └── Jennifer Kent, Senior VP, People &amp; Culture</w:t>
      </w:r>
    </w:p>
    <w:p>
      <w:pPr>
        <w:spacing w:after="360" w:before="80"/>
      </w:pPr>
      <w:r>
        <w:rPr>
          <w:rFonts w:ascii="Arial" w:cs="Arial" w:eastAsia="Arial" w:hAnsi="Arial"/>
          <w:b/>
          <w:bCs/>
          <w:i/>
          <w:iCs/>
          <w:color w:val="888888"/>
          <w:sz w:val="18"/>
          <w:szCs w:val="18"/>
        </w:rPr>
        <w:t xml:space="preserve">Source: </w:t>
      </w:r>
      <w:r>
        <w:rPr>
          <w:rFonts w:ascii="Arial" w:cs="Arial" w:eastAsia="Arial" w:hAnsi="Arial"/>
          <w:i/>
          <w:iCs/>
          <w:color w:val="888888"/>
          <w:sz w:val="18"/>
          <w:szCs w:val="18"/>
        </w:rPr>
        <w:t xml:space="preserve">Boeing Company public disclosures. October 2024.</w:t>
      </w:r>
    </w:p>
    <w:p>
      <w:pPr>
        <w:spacing w:after="160" w:before="0"/>
      </w:pPr>
      <w:r>
        <w:t xml:space="preserve"/>
      </w:r>
    </w:p>
    <w:p>
      <w:pPr>
        <w:spacing w:after="120" w:before="480"/>
      </w:pPr>
      <w:r>
        <w:rPr>
          <w:rFonts w:ascii="Arial" w:cs="Arial" w:eastAsia="Arial" w:hAnsi="Arial"/>
          <w:b/>
          <w:bCs/>
          <w:color w:val="2C3E50"/>
          <w:sz w:val="22"/>
          <w:szCs w:val="22"/>
        </w:rPr>
        <w:t xml:space="preserve">Exhibit 4: </w:t>
      </w:r>
      <w:r>
        <w:rPr>
          <w:rFonts w:ascii="Arial" w:cs="Arial" w:eastAsia="Arial" w:hAnsi="Arial"/>
          <w:b/>
          <w:bCs/>
          <w:color w:val="2C3E50"/>
          <w:sz w:val="22"/>
          <w:szCs w:val="22"/>
        </w:rPr>
        <w:t xml:space="preserve">Global Commercial Aircraft Market — Addressable Opportunity (20-Year Outlook)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80"/>
        <w:gridCol w:w="1780"/>
        <w:gridCol w:w="180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Aircraft Needed (Units)</w:t>
            </w:r>
          </w:p>
        </w:tc>
        <w:tc>
          <w:tcPr>
            <w:tcW w:type="dxa" w:w="15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TAM (USD Trillion)</w:t>
            </w:r>
          </w:p>
        </w:tc>
        <w:tc>
          <w:tcPr>
            <w:tcW w:type="dxa" w:w="17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Boeing Backlog Share</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Key Competitor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Single-Aisle (737/A320 class)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23,000+</w:t>
            </w:r>
          </w:p>
        </w:tc>
        <w:tc>
          <w:tcPr>
            <w:tcW w:type="dxa" w:w="1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$3.2T</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Airbus A320neo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Small Widebody (787/A330 class)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7,800</w:t>
            </w:r>
          </w:p>
        </w:tc>
        <w:tc>
          <w:tcPr>
            <w:tcW w:type="dxa" w:w="1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$2.2T</w:t>
            </w:r>
          </w:p>
        </w:tc>
        <w:tc>
          <w:tcPr>
            <w:tcW w:type="dxa" w:w="17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~40%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Airbus A330neo/A350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Large Widebody (777X/A350 class)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1,800</w:t>
            </w:r>
          </w:p>
        </w:tc>
        <w:tc>
          <w:tcPr>
            <w:tcW w:type="dxa" w:w="1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$1.1T</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~45%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Airbus A350-1000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Freighter Conversions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2,600+</w:t>
            </w:r>
          </w:p>
        </w:tc>
        <w:tc>
          <w:tcPr>
            <w:tcW w:type="dxa" w:w="1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$0.6T</w:t>
            </w:r>
          </w:p>
        </w:tc>
        <w:tc>
          <w:tcPr>
            <w:tcW w:type="dxa" w:w="17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~55%</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Airbus A321F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Total Addressable Market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~35,000</w:t>
            </w:r>
          </w:p>
        </w:tc>
        <w:tc>
          <w:tcPr>
            <w:tcW w:type="dxa" w:w="1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~$7.1T</w:t>
            </w:r>
          </w:p>
        </w:tc>
        <w:tc>
          <w:tcPr>
            <w:tcW w:type="dxa" w:w="1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r>
    </w:tbl>
    <w:p>
      <w:pPr>
        <w:spacing w:after="360" w:before="80"/>
      </w:pPr>
      <w:r>
        <w:rPr>
          <w:rFonts w:ascii="Arial" w:cs="Arial" w:eastAsia="Arial" w:hAnsi="Arial"/>
          <w:b/>
          <w:bCs/>
          <w:i/>
          <w:iCs/>
          <w:color w:val="888888"/>
          <w:sz w:val="18"/>
          <w:szCs w:val="18"/>
        </w:rPr>
        <w:t xml:space="preserve">Source: </w:t>
      </w:r>
      <w:r>
        <w:rPr>
          <w:rFonts w:ascii="Arial" w:cs="Arial" w:eastAsia="Arial" w:hAnsi="Arial"/>
          <w:i/>
          <w:iCs/>
          <w:color w:val="888888"/>
          <w:sz w:val="18"/>
          <w:szCs w:val="18"/>
        </w:rPr>
        <w:t xml:space="preserve">Boeing Commercial Market Outlook 2024. TAM figures at list prices before negotiated discounts (typically 40-60% below list).</w:t>
      </w:r>
    </w:p>
    <w:p>
      <w:pPr>
        <w:spacing w:after="160" w:before="0"/>
      </w:pPr>
      <w:r>
        <w:t xml:space="preserve"/>
      </w:r>
    </w:p>
    <w:p>
      <w:pPr>
        <w:spacing w:after="120" w:before="480"/>
      </w:pPr>
      <w:r>
        <w:rPr>
          <w:rFonts w:ascii="Arial" w:cs="Arial" w:eastAsia="Arial" w:hAnsi="Arial"/>
          <w:b/>
          <w:bCs/>
          <w:color w:val="2C3E50"/>
          <w:sz w:val="22"/>
          <w:szCs w:val="22"/>
        </w:rPr>
        <w:t xml:space="preserve">Exhibit 5: </w:t>
      </w:r>
      <w:r>
        <w:rPr>
          <w:rFonts w:ascii="Arial" w:cs="Arial" w:eastAsia="Arial" w:hAnsi="Arial"/>
          <w:b/>
          <w:bCs/>
          <w:color w:val="2C3E50"/>
          <w:sz w:val="22"/>
          <w:szCs w:val="22"/>
        </w:rPr>
        <w:t xml:space="preserve">Decision Matrix: Strike Resolution Options (October 2024)</w:t>
      </w:r>
    </w:p>
    <w:p>
      <w:pPr>
        <w:spacing w:after="160"/>
        <w:jc w:val="both"/>
      </w:pPr>
      <w:r>
        <w:rPr>
          <w:rFonts w:ascii="Times New Roman" w:cs="Times New Roman" w:eastAsia="Times New Roman" w:hAnsi="Times New Roman"/>
          <w:sz w:val="24"/>
          <w:szCs w:val="24"/>
        </w:rPr>
        <w:t xml:space="preserve">Instructions: Evaluate and score each option on the criteria below. Do not reference the Teaching Note before completing your own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7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Option A: Settle Generously</w:t>
            </w:r>
          </w:p>
        </w:tc>
        <w:tc>
          <w:tcPr>
            <w:tcW w:type="dxa" w:w="17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Option B: Hold the Line</w:t>
            </w:r>
          </w:p>
        </w:tc>
        <w:tc>
          <w:tcPr>
            <w:tcW w:type="dxa" w:w="17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Option C: Restructure Through Strike</w:t>
            </w:r>
          </w:p>
        </w:tc>
        <w:tc>
          <w:tcPr>
            <w:tcW w:type="dxa" w:w="17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Relative Weight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Short-term cash impact</w:t>
            </w:r>
          </w:p>
        </w:tc>
        <w:tc>
          <w:tcPr>
            <w:tcW w:type="dxa" w:w="17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Production restart speed</w:t>
            </w:r>
          </w:p>
        </w:tc>
        <w:tc>
          <w:tcPr>
            <w:tcW w:type="dxa" w:w="17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Culture repair signal</w:t>
            </w:r>
          </w:p>
        </w:tc>
        <w:tc>
          <w:tcPr>
            <w:tcW w:type="dxa" w:w="17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Workforce retention</w:t>
            </w:r>
          </w:p>
        </w:tc>
        <w:tc>
          <w:tcPr>
            <w:tcW w:type="dxa" w:w="17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Precedent effect (future contracts)</w:t>
            </w:r>
          </w:p>
        </w:tc>
        <w:tc>
          <w:tcPr>
            <w:tcW w:type="dxa" w:w="17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Regulatory / legal risk</w:t>
            </w:r>
          </w:p>
        </w:tc>
        <w:tc>
          <w:tcPr>
            <w:tcW w:type="dxa" w:w="17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Investor / rating agency response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Weighted Score</w:t>
            </w:r>
          </w:p>
        </w:tc>
        <w:tc>
          <w:tcPr>
            <w:tcW w:type="dxa" w:w="17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c>
          <w:tcPr>
            <w:tcW w:type="dxa" w:w="17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
            </w:r>
          </w:p>
        </w:tc>
      </w:tr>
    </w:tbl>
    <w:p>
      <w:pPr>
        <w:spacing w:after="360" w:before="80"/>
      </w:pPr>
      <w:r>
        <w:rPr>
          <w:rFonts w:ascii="Arial" w:cs="Arial" w:eastAsia="Arial" w:hAnsi="Arial"/>
          <w:b/>
          <w:bCs/>
          <w:i/>
          <w:iCs/>
          <w:color w:val="888888"/>
          <w:sz w:val="18"/>
          <w:szCs w:val="18"/>
        </w:rPr>
        <w:t xml:space="preserve">Source: </w:t>
      </w:r>
      <w:r>
        <w:rPr>
          <w:rFonts w:ascii="Arial" w:cs="Arial" w:eastAsia="Arial" w:hAnsi="Arial"/>
          <w:i/>
          <w:iCs/>
          <w:color w:val="888888"/>
          <w:sz w:val="18"/>
          <w:szCs w:val="18"/>
        </w:rPr>
        <w:t xml:space="preserve">Framework developed for class discussion. Scores to be populated by students based on case data.</w:t>
      </w:r>
    </w:p>
    <w:p>
      <w:pPr>
        <w:spacing w:after="160" w:before="0"/>
      </w:pPr>
      <w:r>
        <w:t xml:space="preserve"/>
      </w:r>
    </w:p>
    <w:p>
      <w:pPr>
        <w:spacing w:after="120" w:before="480"/>
      </w:pPr>
      <w:r>
        <w:rPr>
          <w:rFonts w:ascii="Arial" w:cs="Arial" w:eastAsia="Arial" w:hAnsi="Arial"/>
          <w:b/>
          <w:bCs/>
          <w:color w:val="2C3E50"/>
          <w:sz w:val="22"/>
          <w:szCs w:val="22"/>
        </w:rPr>
        <w:t xml:space="preserve">Exhibit 6: </w:t>
      </w:r>
      <w:r>
        <w:rPr>
          <w:rFonts w:ascii="Arial" w:cs="Arial" w:eastAsia="Arial" w:hAnsi="Arial"/>
          <w:b/>
          <w:bCs/>
          <w:color w:val="2C3E50"/>
          <w:sz w:val="22"/>
          <w:szCs w:val="22"/>
        </w:rPr>
        <w:t xml:space="preserve">Boeing Crisis Timeline: January 2024 – October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Financial / Strategic Significance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January 5, 2024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Alaska Airlines 737 MAX 9 door-plug blowout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FAA production cap imposed at 38/month</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March 2024</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CEO David Calhoun announces resignation</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Leadership vacuum; CEO search begins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May 2024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DOJ deferred prosecution agreement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Criminal liability avoided; oversight conditions applied</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July 2024</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FAA authorizes airworthiness certificates for held aircraft</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Partial delivery resumption</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August 8, 2024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Kelly Ortberg appointed CEO</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First engineer-CEO since Phil Condit era</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September 12, 2024</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IAM District 751 contract expires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Strike authorization vote pending</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September 13, 2024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Machinists' strike begins (33,000 workers)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$300M/month in lost revenue begins accruing</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September 24, 2024</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Boeing announces 17,000-person layoff plan</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Additional labor relations complexity</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September 27, 2024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Second contract offer rejected (64% No vote)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Strike enters second month</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October 7, 2024</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Federal mediator enters negotiations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Third offer under preparation</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October 8, 2024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Case decision point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Board call in 48 hours</w:t>
            </w:r>
          </w:p>
        </w:tc>
      </w:tr>
    </w:tbl>
    <w:p>
      <w:pPr>
        <w:spacing w:after="360" w:before="80"/>
      </w:pPr>
      <w:r>
        <w:rPr>
          <w:rFonts w:ascii="Arial" w:cs="Arial" w:eastAsia="Arial" w:hAnsi="Arial"/>
          <w:b/>
          <w:bCs/>
          <w:i/>
          <w:iCs/>
          <w:color w:val="888888"/>
          <w:sz w:val="18"/>
          <w:szCs w:val="18"/>
        </w:rPr>
        <w:t xml:space="preserve">Source: </w:t>
      </w:r>
      <w:r>
        <w:rPr>
          <w:rFonts w:ascii="Arial" w:cs="Arial" w:eastAsia="Arial" w:hAnsi="Arial"/>
          <w:i/>
          <w:iCs/>
          <w:color w:val="888888"/>
          <w:sz w:val="18"/>
          <w:szCs w:val="18"/>
        </w:rPr>
        <w:t xml:space="preserve">Public sources including Boeing press releases, NTSB reports, FAA statements, union announcements. Author compilation.</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0" w:before="0"/>
      </w:pPr>
      <w:r>
        <w:br w:type="page"/>
      </w:r>
    </w:p>
    <w:p>
      <w:pPr>
        <w:spacing w:after="120" w:before="120"/>
        <w:jc w:val="center"/>
      </w:pPr>
      <w:r>
        <w:rPr>
          <w:rFonts w:ascii="Arial" w:cs="Arial" w:eastAsia="Arial" w:hAnsi="Arial"/>
          <w:b/>
          <w:bCs/>
          <w:color w:val="1A1A2E"/>
          <w:sz w:val="28"/>
          <w:szCs w:val="28"/>
        </w:rPr>
        <w:t xml:space="preserve">EXECUTIVE SYNOPSIS</w:t>
      </w:r>
    </w:p>
    <w:p>
      <w:pPr>
        <w:spacing w:after="160" w:before="0"/>
      </w:pPr>
      <w:r>
        <w:t xml:space="preserve"/>
      </w:r>
    </w:p>
    <w:p>
      <w:pPr>
        <w:spacing w:after="160"/>
        <w:ind w:firstLine="0"/>
        <w:jc w:val="both"/>
      </w:pPr>
      <w:r>
        <w:rPr>
          <w:rFonts w:ascii="Times New Roman" w:cs="Times New Roman" w:eastAsia="Times New Roman" w:hAnsi="Times New Roman"/>
          <w:sz w:val="24"/>
          <w:szCs w:val="24"/>
        </w:rPr>
        <w:t xml:space="preserve">The Unfinished Flight: Kelly Ortberg and the Leadership Dilemma at Boeing (HBS-2024-BCA-007) is a leadership and organizational behavior case set in October 2024 at The Boeing Company. Newly installed CEO Kelly Ortberg — an aerospace industry veteran appointed in August 2024 following years of safety crises — faces a convergence of three simultaneous pressures: a 25-day machinists' strike by 33,000 workers, a federal production cap on the company's best-selling 737 MAX, and the imperative to rebuild an organizational culture implicated in two fatal crashes and a near-catastrophic mid-air door failure.</w:t>
      </w:r>
    </w:p>
    <w:p>
      <w:pPr>
        <w:spacing w:after="160"/>
        <w:ind w:firstLine="360"/>
        <w:jc w:val="both"/>
      </w:pPr>
      <w:r>
        <w:rPr>
          <w:rFonts w:ascii="Times New Roman" w:cs="Times New Roman" w:eastAsia="Times New Roman" w:hAnsi="Times New Roman"/>
          <w:sz w:val="24"/>
          <w:szCs w:val="24"/>
        </w:rPr>
        <w:t xml:space="preserve">The case centers on a specific, time-bounded decision: how aggressively to settle the IAM District 751 labor dispute, and what the terms of that settlement will signal about Boeing's leadership philosophy and cultural trajectory. The case is a Decision case (Ellet Type 1) that invites MBA students to evaluate three strategic options — quick generous settlement, holding the current negotiating position, or a restructuring-through-strike path — against criteria including financial viability, workforce retention, cultural repair, and long-term competitive positioning. Strong financial exhibits allow quantitative analysis of Boeing's cash position and the cost differential between options.</w:t>
      </w:r>
    </w:p>
    <w:p>
      <w:pPr>
        <w:spacing w:after="160"/>
        <w:ind w:firstLine="360"/>
        <w:jc w:val="both"/>
      </w:pPr>
      <w:r>
        <w:rPr>
          <w:rFonts w:ascii="Times New Roman" w:cs="Times New Roman" w:eastAsia="Times New Roman" w:hAnsi="Times New Roman"/>
          <w:sz w:val="24"/>
          <w:szCs w:val="24"/>
        </w:rPr>
        <w:t xml:space="preserve">The case is appropriate for courses in Leadership, Organizational Behavior, Strategic Management, and Corporate Turnaround. It is suitable for MBA, Executive MBA, and senior executive education programs. It pairs well with cases on turnaround leadership (e.g., Fiat-Chrysler/Sergio Marchionne), labor relations (e.g., GM-UAW 2019), and organizational culture change. Suggested placement: Year 1 MBA, Module 4 (Leadership Under Pressure) or Module 7 (Organizational Change).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Case Type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Decision Case (Ellet Type 1)</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Domain</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Leadership / Organizational Behavior / Turnaround Strategy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Setting</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The Boeing Company, Renton, WA, October 2024</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Protagonist</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Kelly Ortberg, President &amp; CEO, Boeing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Central Dilemma</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How to resolve a 25-day machinists' strike while signaling a new organizational culture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Time Period</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August – October 2024</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Case Length</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Approximately 15 pages (body) + 6 exhibits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Teaching Note</w:t>
            </w:r>
          </w:p>
        </w:tc>
        <w:tc>
          <w:tcPr>
            <w:tcW w:type="dxa" w:w="6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Included (confidential)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Suggested Courses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Leadership; OB; Strategic Management; Corporate Turnaround</w:t>
            </w:r>
          </w:p>
        </w:tc>
      </w:tr>
    </w:tbl>
    <w:p>
      <w:pPr>
        <w:sectPr>
          <w:headerReference w:type="default" r:id="rId9"/>
          <w:footerReference w:type="default" r:id="rId10"/>
          <w:pgSz w:w="12240" w:h="15840" w:orient="portrait"/>
          <w:pgMar w:top="1440" w:right="1440" w:bottom="1440" w:left="1440" w:header="708" w:footer="708" w:gutter="0"/>
          <w:pgNumType/>
          <w:docGrid w:linePitch="360"/>
        </w:sectPr>
      </w:pPr>
    </w:p>
    <w:p>
      <w:pPr>
        <w:spacing w:after="0" w:before="0"/>
      </w:pPr>
      <w:r>
        <w:br w:type="page"/>
      </w:r>
    </w:p>
    <w:p>
      <w:pPr>
        <w:spacing w:after="120" w:before="0"/>
        <w:jc w:val="center"/>
      </w:pPr>
      <w:r>
        <w:rPr>
          <w:rFonts w:ascii="Arial" w:cs="Arial" w:eastAsia="Arial" w:hAnsi="Arial"/>
          <w:b/>
          <w:bCs/>
          <w:color w:val="E74C3C"/>
          <w:sz w:val="28"/>
          <w:szCs w:val="28"/>
        </w:rPr>
        <w:t xml:space="preserve">⚠ TEACHING NOTE — STRICTLY CONFIDENTIAL</w:t>
      </w:r>
    </w:p>
    <w:p>
      <w:pPr>
        <w:spacing w:after="240" w:before="0"/>
        <w:jc w:val="center"/>
      </w:pPr>
      <w:r>
        <w:rPr>
          <w:rFonts w:ascii="Arial" w:cs="Arial" w:eastAsia="Arial" w:hAnsi="Arial"/>
          <w:color w:val="888888"/>
          <w:sz w:val="20"/>
          <w:szCs w:val="20"/>
        </w:rPr>
        <w:t xml:space="preserve">NOT FOR DISTRIBUTION TO STUDENTS</w:t>
      </w:r>
    </w:p>
    <w:p>
      <w:pPr>
        <w:spacing w:after="120" w:before="120"/>
        <w:jc w:val="center"/>
      </w:pPr>
      <w:r>
        <w:rPr>
          <w:rFonts w:ascii="Arial" w:cs="Arial" w:eastAsia="Arial" w:hAnsi="Arial"/>
          <w:b/>
          <w:bCs/>
          <w:color w:val="1A1A2E"/>
          <w:sz w:val="24"/>
          <w:szCs w:val="24"/>
        </w:rPr>
        <w:t xml:space="preserve">The Unfinished Flight: Kelly Ortberg and the Leadership Dilemma at Boeing</w:t>
      </w:r>
    </w:p>
    <w:p>
      <w:pPr>
        <w:spacing w:after="80" w:before="80"/>
        <w:jc w:val="center"/>
      </w:pPr>
      <w:r>
        <w:rPr>
          <w:rFonts w:ascii="Arial" w:cs="Arial" w:eastAsia="Arial" w:hAnsi="Arial"/>
          <w:color w:val="888888"/>
          <w:sz w:val="20"/>
          <w:szCs w:val="20"/>
        </w:rPr>
        <w:t xml:space="preserve">Case No: HBS-2024-BCA-007  |  December 2024</w:t>
      </w:r>
    </w:p>
    <w:p>
      <w:pPr>
        <w:spacing w:after="160" w:before="0"/>
      </w:pPr>
      <w:r>
        <w:t xml:space="preserve"/>
      </w:r>
    </w:p>
    <w:p>
      <w:pPr>
        <w:pStyle w:val="Heading2"/>
        <w:spacing w:after="80" w:before="280"/>
      </w:pPr>
      <w:r>
        <w:rPr>
          <w:rFonts w:ascii="Arial" w:cs="Arial" w:eastAsia="Arial" w:hAnsi="Arial"/>
          <w:b/>
          <w:bCs/>
          <w:color w:val="2C3E50"/>
          <w:sz w:val="24"/>
          <w:szCs w:val="24"/>
        </w:rPr>
        <w:t xml:space="preserve">Case Overview</w:t>
      </w:r>
    </w:p>
    <w:p>
      <w:pPr>
        <w:spacing w:after="160"/>
        <w:ind w:firstLine="0"/>
        <w:jc w:val="both"/>
      </w:pPr>
      <w:r>
        <w:rPr>
          <w:rFonts w:ascii="Times New Roman" w:cs="Times New Roman" w:eastAsia="Times New Roman" w:hAnsi="Times New Roman"/>
          <w:sz w:val="24"/>
          <w:szCs w:val="24"/>
        </w:rPr>
        <w:t xml:space="preserve">This case places students in the position of a CEO nine weeks into the role, managing a convergent crisis: a major labor stoppage, an FAA production cap, a capital structure crisis, and a culture repair imperative — simultaneously. The case is deliberately constructed so that each of the three options is defensible: there is no obviously correct answer, and students who argue persuasively for any option can receive full credit. The pedagogical power lies in forcing students to confront the distinction between a financially optimal decision and a culturally generative one — and to reason about whether, in a sustained turnaround, that distinction matters.</w:t>
      </w:r>
    </w:p>
    <w:p>
      <w:pPr>
        <w:pStyle w:val="Heading2"/>
        <w:spacing w:after="80" w:before="280"/>
      </w:pPr>
      <w:r>
        <w:rPr>
          <w:rFonts w:ascii="Arial" w:cs="Arial" w:eastAsia="Arial" w:hAnsi="Arial"/>
          <w:b/>
          <w:bCs/>
          <w:color w:val="2C3E50"/>
          <w:sz w:val="24"/>
          <w:szCs w:val="24"/>
        </w:rPr>
        <w:t xml:space="preserve">Suggested Courses and Placement</w:t>
      </w:r>
    </w:p>
    <w:p>
      <w:pPr>
        <w:pStyle w:val="ListParagraph"/>
        <w:numPr>
          <w:ilvl w:val="0"/>
          <w:numId w:val="2"/>
        </w:numPr>
        <w:spacing w:after="80"/>
      </w:pPr>
      <w:r>
        <w:rPr>
          <w:rFonts w:ascii="Times New Roman" w:cs="Times New Roman" w:eastAsia="Times New Roman" w:hAnsi="Times New Roman"/>
          <w:sz w:val="24"/>
          <w:szCs w:val="24"/>
        </w:rPr>
        <w:t xml:space="preserve">Year 1 MBA: Module 4 — Leadership Under Pressure (Sessions 2 or 3)</w:t>
      </w:r>
    </w:p>
    <w:p>
      <w:pPr>
        <w:pStyle w:val="ListParagraph"/>
        <w:numPr>
          <w:ilvl w:val="0"/>
          <w:numId w:val="2"/>
        </w:numPr>
        <w:spacing w:after="80"/>
      </w:pPr>
      <w:r>
        <w:rPr>
          <w:rFonts w:ascii="Times New Roman" w:cs="Times New Roman" w:eastAsia="Times New Roman" w:hAnsi="Times New Roman"/>
          <w:sz w:val="24"/>
          <w:szCs w:val="24"/>
        </w:rPr>
        <w:t xml:space="preserve">Year 1 MBA: Organizational Behavior — Culture Change and Leadership</w:t>
      </w:r>
    </w:p>
    <w:p>
      <w:pPr>
        <w:pStyle w:val="ListParagraph"/>
        <w:numPr>
          <w:ilvl w:val="0"/>
          <w:numId w:val="2"/>
        </w:numPr>
        <w:spacing w:after="80"/>
      </w:pPr>
      <w:r>
        <w:rPr>
          <w:rFonts w:ascii="Times New Roman" w:cs="Times New Roman" w:eastAsia="Times New Roman" w:hAnsi="Times New Roman"/>
          <w:sz w:val="24"/>
          <w:szCs w:val="24"/>
        </w:rPr>
        <w:t xml:space="preserve">Corporate Turnaround elective: Session on labor relations and stakeholder management</w:t>
      </w:r>
    </w:p>
    <w:p>
      <w:pPr>
        <w:pStyle w:val="ListParagraph"/>
        <w:numPr>
          <w:ilvl w:val="0"/>
          <w:numId w:val="2"/>
        </w:numPr>
        <w:spacing w:after="80"/>
      </w:pPr>
      <w:r>
        <w:rPr>
          <w:rFonts w:ascii="Times New Roman" w:cs="Times New Roman" w:eastAsia="Times New Roman" w:hAnsi="Times New Roman"/>
          <w:sz w:val="24"/>
          <w:szCs w:val="24"/>
        </w:rPr>
        <w:t xml:space="preserve">Executive Education: Leadership in Crisis programs</w:t>
      </w:r>
    </w:p>
    <w:p>
      <w:pPr>
        <w:pStyle w:val="Heading2"/>
        <w:spacing w:after="80" w:before="280"/>
      </w:pPr>
      <w:r>
        <w:rPr>
          <w:rFonts w:ascii="Arial" w:cs="Arial" w:eastAsia="Arial" w:hAnsi="Arial"/>
          <w:b/>
          <w:bCs/>
          <w:color w:val="2C3E50"/>
          <w:sz w:val="24"/>
          <w:szCs w:val="24"/>
        </w:rPr>
        <w:t xml:space="preserve">Learning Objectives</w:t>
      </w:r>
    </w:p>
    <w:p>
      <w:pPr>
        <w:spacing w:after="160"/>
        <w:ind w:firstLine="0"/>
        <w:jc w:val="both"/>
      </w:pPr>
      <w:r>
        <w:rPr>
          <w:rFonts w:ascii="Times New Roman" w:cs="Times New Roman" w:eastAsia="Times New Roman" w:hAnsi="Times New Roman"/>
          <w:sz w:val="24"/>
          <w:szCs w:val="24"/>
        </w:rPr>
        <w:t xml:space="preserve">By the end of the class discussion, students will be able to:</w:t>
      </w:r>
    </w:p>
    <w:p>
      <w:pPr>
        <w:pStyle w:val="ListParagraph"/>
        <w:numPr>
          <w:ilvl w:val="0"/>
          <w:numId w:val="3"/>
        </w:numPr>
        <w:spacing w:after="80"/>
      </w:pPr>
      <w:r>
        <w:rPr>
          <w:rFonts w:ascii="Times New Roman" w:cs="Times New Roman" w:eastAsia="Times New Roman" w:hAnsi="Times New Roman"/>
          <w:sz w:val="24"/>
          <w:szCs w:val="24"/>
        </w:rPr>
        <w:t xml:space="preserve">Evaluate the strategic trade-offs between financial optimization and cultural signaling in a turnaround context.</w:t>
      </w:r>
    </w:p>
    <w:p>
      <w:pPr>
        <w:pStyle w:val="ListParagraph"/>
        <w:numPr>
          <w:ilvl w:val="0"/>
          <w:numId w:val="3"/>
        </w:numPr>
        <w:spacing w:after="80"/>
      </w:pPr>
      <w:r>
        <w:rPr>
          <w:rFonts w:ascii="Times New Roman" w:cs="Times New Roman" w:eastAsia="Times New Roman" w:hAnsi="Times New Roman"/>
          <w:sz w:val="24"/>
          <w:szCs w:val="24"/>
        </w:rPr>
        <w:t xml:space="preserve">Apply stakeholder theory and agency frameworks to identify whose interests a new CEO must prioritize, and in what sequence.</w:t>
      </w:r>
    </w:p>
    <w:p>
      <w:pPr>
        <w:pStyle w:val="ListParagraph"/>
        <w:numPr>
          <w:ilvl w:val="0"/>
          <w:numId w:val="3"/>
        </w:numPr>
        <w:spacing w:after="80"/>
      </w:pPr>
      <w:r>
        <w:rPr>
          <w:rFonts w:ascii="Times New Roman" w:cs="Times New Roman" w:eastAsia="Times New Roman" w:hAnsi="Times New Roman"/>
          <w:sz w:val="24"/>
          <w:szCs w:val="24"/>
        </w:rPr>
        <w:t xml:space="preserve">Analyze how labor relations decisions create or erode organizational trust — and why trust is a material strategic asset in knowledge-intensive manufacturing.</w:t>
      </w:r>
    </w:p>
    <w:p>
      <w:pPr>
        <w:pStyle w:val="ListParagraph"/>
        <w:numPr>
          <w:ilvl w:val="0"/>
          <w:numId w:val="3"/>
        </w:numPr>
        <w:spacing w:after="80"/>
      </w:pPr>
      <w:r>
        <w:rPr>
          <w:rFonts w:ascii="Times New Roman" w:cs="Times New Roman" w:eastAsia="Times New Roman" w:hAnsi="Times New Roman"/>
          <w:sz w:val="24"/>
          <w:szCs w:val="24"/>
        </w:rPr>
        <w:t xml:space="preserve">Distinguish between short-term cash management imperatives and long-term competitive capability preservation.</w:t>
      </w:r>
    </w:p>
    <w:p>
      <w:pPr>
        <w:pStyle w:val="ListParagraph"/>
        <w:numPr>
          <w:ilvl w:val="0"/>
          <w:numId w:val="3"/>
        </w:numPr>
        <w:spacing w:after="80"/>
      </w:pPr>
      <w:r>
        <w:rPr>
          <w:rFonts w:ascii="Times New Roman" w:cs="Times New Roman" w:eastAsia="Times New Roman" w:hAnsi="Times New Roman"/>
          <w:sz w:val="24"/>
          <w:szCs w:val="24"/>
        </w:rPr>
        <w:t xml:space="preserve">Articulate a structured recommendation with implementation steps, acknowledging the second-order consequences of their chosen option.</w:t>
      </w:r>
    </w:p>
    <w:p>
      <w:pPr>
        <w:pStyle w:val="Heading2"/>
        <w:spacing w:after="80" w:before="280"/>
      </w:pPr>
      <w:r>
        <w:rPr>
          <w:rFonts w:ascii="Arial" w:cs="Arial" w:eastAsia="Arial" w:hAnsi="Arial"/>
          <w:b/>
          <w:bCs/>
          <w:color w:val="2C3E50"/>
          <w:sz w:val="24"/>
          <w:szCs w:val="24"/>
        </w:rPr>
        <w:t xml:space="preserve">Advance Preparation Questions (Distribute to Students)</w:t>
      </w:r>
    </w:p>
    <w:p>
      <w:pPr>
        <w:pStyle w:val="ListParagraph"/>
        <w:numPr>
          <w:ilvl w:val="0"/>
          <w:numId w:val="3"/>
        </w:numPr>
        <w:spacing w:after="80"/>
      </w:pPr>
      <w:r>
        <w:rPr>
          <w:rFonts w:ascii="Times New Roman" w:cs="Times New Roman" w:eastAsia="Times New Roman" w:hAnsi="Times New Roman"/>
          <w:sz w:val="24"/>
          <w:szCs w:val="24"/>
        </w:rPr>
        <w:t xml:space="preserve">What does Ortberg know about Boeing's culture that his predecessors either didn't know or chose to ignore? What evidence in the case supports your assessment?</w:t>
      </w:r>
    </w:p>
    <w:p>
      <w:pPr>
        <w:pStyle w:val="ListParagraph"/>
        <w:numPr>
          <w:ilvl w:val="0"/>
          <w:numId w:val="3"/>
        </w:numPr>
        <w:spacing w:after="80"/>
      </w:pPr>
      <w:r>
        <w:rPr>
          <w:rFonts w:ascii="Times New Roman" w:cs="Times New Roman" w:eastAsia="Times New Roman" w:hAnsi="Times New Roman"/>
          <w:sz w:val="24"/>
          <w:szCs w:val="24"/>
        </w:rPr>
        <w:t xml:space="preserve">Quantify the financial cost of each option over a 12-month horizon using data from Exhibit 1 and 6. Which option is cheapest? Is the cheapest option the best option?</w:t>
      </w:r>
    </w:p>
    <w:p>
      <w:pPr>
        <w:pStyle w:val="ListParagraph"/>
        <w:numPr>
          <w:ilvl w:val="0"/>
          <w:numId w:val="3"/>
        </w:numPr>
        <w:spacing w:after="80"/>
      </w:pPr>
      <w:r>
        <w:rPr>
          <w:rFonts w:ascii="Times New Roman" w:cs="Times New Roman" w:eastAsia="Times New Roman" w:hAnsi="Times New Roman"/>
          <w:sz w:val="24"/>
          <w:szCs w:val="24"/>
        </w:rPr>
        <w:t xml:space="preserve">What would the machinists' decision to return to work on Boeing's terms say about the trust relationship going forward? Does it matter?</w:t>
      </w:r>
    </w:p>
    <w:p>
      <w:pPr>
        <w:pStyle w:val="ListParagraph"/>
        <w:numPr>
          <w:ilvl w:val="0"/>
          <w:numId w:val="3"/>
        </w:numPr>
        <w:spacing w:after="80"/>
      </w:pPr>
      <w:r>
        <w:rPr>
          <w:rFonts w:ascii="Times New Roman" w:cs="Times New Roman" w:eastAsia="Times New Roman" w:hAnsi="Times New Roman"/>
          <w:sz w:val="24"/>
          <w:szCs w:val="24"/>
        </w:rPr>
        <w:t xml:space="preserve">If you were an IAM District 751 machinist with 19 years of experience, which of the three scenarios would most likely cause you to leave Boeing permanently? Why?</w:t>
      </w:r>
    </w:p>
    <w:p>
      <w:pPr>
        <w:pStyle w:val="Heading2"/>
        <w:spacing w:after="80" w:before="280"/>
      </w:pPr>
      <w:r>
        <w:rPr>
          <w:rFonts w:ascii="Arial" w:cs="Arial" w:eastAsia="Arial" w:hAnsi="Arial"/>
          <w:b/>
          <w:bCs/>
          <w:color w:val="2C3E50"/>
          <w:sz w:val="24"/>
          <w:szCs w:val="24"/>
        </w:rPr>
        <w:t xml:space="preserve">90-Minute Board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40"/>
        <w:gridCol w:w="4000"/>
        <w:gridCol w:w="3420"/>
      </w:tblGrid>
      <w:tr>
        <w:trPr>
          <w:tblHeader/>
        </w:trPr>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9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4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0:00</w:t>
            </w:r>
          </w:p>
        </w:tc>
        <w:tc>
          <w:tcPr>
            <w:tcW w:type="dxa" w:w="9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 min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Cold-call opening: 'You are Kelly Ortberg. What is keeping you up at night?'</w:t>
            </w:r>
          </w:p>
        </w:tc>
        <w:tc>
          <w:tcPr>
            <w:tcW w:type="dxa" w:w="3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Surface initial framing; identify what students see as the core problem</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0:05</w:t>
            </w:r>
          </w:p>
        </w:tc>
        <w:tc>
          <w:tcPr>
            <w:tcW w:type="dxa" w:w="9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15 min</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Situation analysis: What is actually happening at Boeing? (Multiple crises, not one)</w:t>
            </w:r>
          </w:p>
        </w:tc>
        <w:tc>
          <w:tcPr>
            <w:tcW w:type="dxa" w:w="34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Establish shared fact base; prevent premature solutions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0:20</w:t>
            </w:r>
          </w:p>
        </w:tc>
        <w:tc>
          <w:tcPr>
            <w:tcW w:type="dxa" w:w="9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20 min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Option evaluation: Walk through A, B, C. What does each cost — financially AND culturally?</w:t>
            </w:r>
          </w:p>
        </w:tc>
        <w:tc>
          <w:tcPr>
            <w:tcW w:type="dxa" w:w="3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Force quantitative + qualitative reasoning; use Exhibit 5</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0:40</w:t>
            </w:r>
          </w:p>
        </w:tc>
        <w:tc>
          <w:tcPr>
            <w:tcW w:type="dxa" w:w="9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20 min</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The culture question: Is culture a 'soft' consideration here, or a material strategic asset?</w:t>
            </w:r>
          </w:p>
        </w:tc>
        <w:tc>
          <w:tcPr>
            <w:tcW w:type="dxa" w:w="34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This is the energy-trough move — provoke debate between finance-trained and OB-inclined students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1:00</w:t>
            </w:r>
          </w:p>
        </w:tc>
        <w:tc>
          <w:tcPr>
            <w:tcW w:type="dxa" w:w="9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15 min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Recommendation: What should Ortberg do? What does he say to the board?</w:t>
            </w:r>
          </w:p>
        </w:tc>
        <w:tc>
          <w:tcPr>
            <w:tcW w:type="dxa" w:w="3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Test students' ability to commit to a position and defend it under pressure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1:15</w:t>
            </w:r>
          </w:p>
        </w:tc>
        <w:tc>
          <w:tcPr>
            <w:tcW w:type="dxa" w:w="9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8 min</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Epilogue: What actually happened, and what the outcome tells us</w:t>
            </w:r>
          </w:p>
        </w:tc>
        <w:tc>
          <w:tcPr>
            <w:tcW w:type="dxa" w:w="34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Closure; debrief real-world complexity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1:23</w:t>
            </w:r>
          </w:p>
        </w:tc>
        <w:tc>
          <w:tcPr>
            <w:tcW w:type="dxa" w:w="9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7 min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Synthesis: One leadership lesson from Boeing applicable to any organization</w:t>
            </w:r>
          </w:p>
        </w:tc>
        <w:tc>
          <w:tcPr>
            <w:tcW w:type="dxa" w:w="34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Crystallize takeaways in students' own words</w:t>
            </w:r>
          </w:p>
        </w:tc>
      </w:tr>
    </w:tbl>
    <w:p>
      <w:pPr>
        <w:pStyle w:val="Heading2"/>
        <w:spacing w:after="80" w:before="280"/>
      </w:pPr>
      <w:r>
        <w:rPr>
          <w:rFonts w:ascii="Arial" w:cs="Arial" w:eastAsia="Arial" w:hAnsi="Arial"/>
          <w:b/>
          <w:bCs/>
          <w:color w:val="2C3E50"/>
          <w:sz w:val="24"/>
          <w:szCs w:val="24"/>
        </w:rPr>
        <w:t xml:space="preserve">Discussion Question 1 — The Opening Cold-Call</w:t>
      </w:r>
    </w:p>
    <w:p>
      <w:pPr>
        <w:spacing w:after="160"/>
        <w:ind w:firstLine="0"/>
        <w:jc w:val="both"/>
      </w:pPr>
      <w:r>
        <w:rPr>
          <w:rFonts w:ascii="Times New Roman" w:cs="Times New Roman" w:eastAsia="Times New Roman" w:hAnsi="Times New Roman"/>
          <w:sz w:val="24"/>
          <w:szCs w:val="24"/>
        </w:rPr>
        <w:t xml:space="preserve">Question: 'You are Kelly Ortberg. It is October 8, 2024. What is keeping you up at night?'</w:t>
      </w:r>
    </w:p>
    <w:p>
      <w:pPr>
        <w:spacing w:after="160"/>
        <w:ind w:firstLine="360"/>
        <w:jc w:val="both"/>
      </w:pPr>
      <w:r>
        <w:rPr>
          <w:rFonts w:ascii="Times New Roman" w:cs="Times New Roman" w:eastAsia="Times New Roman" w:hAnsi="Times New Roman"/>
          <w:sz w:val="24"/>
          <w:szCs w:val="24"/>
        </w:rPr>
        <w:t xml:space="preserve">Opening move: Cold-call a student who has a strong finance background first, then a student with an OB or HR background. The contrast between their answers usually surfaces the case's central tension within five minutes.</w:t>
      </w:r>
    </w:p>
    <w:p>
      <w:pPr>
        <w:spacing w:after="160"/>
        <w:ind w:firstLine="360"/>
        <w:jc w:val="both"/>
      </w:pPr>
      <w:r>
        <w:rPr>
          <w:rFonts w:ascii="Times New Roman" w:cs="Times New Roman" w:eastAsia="Times New Roman" w:hAnsi="Times New Roman"/>
          <w:sz w:val="24"/>
          <w:szCs w:val="24"/>
        </w:rPr>
        <w:t xml:space="preserve">A+ Answer: Student identifies MULTIPLE simultaneous pressures — not just the strike but the FAA cap, the debt load, the 17,000 layoff announcement running in parallel, and the culture signal the labor settlement will send. Student notes that the hardest challenge is that fixing one crisis (settling quickly) may complicate another (the bond market's reaction to $1.7B in additional commitments).</w:t>
      </w:r>
    </w:p>
    <w:p>
      <w:pPr>
        <w:spacing w:after="160"/>
        <w:ind w:firstLine="360"/>
        <w:jc w:val="both"/>
      </w:pPr>
      <w:r>
        <w:rPr>
          <w:rFonts w:ascii="Times New Roman" w:cs="Times New Roman" w:eastAsia="Times New Roman" w:hAnsi="Times New Roman"/>
          <w:sz w:val="24"/>
          <w:szCs w:val="24"/>
        </w:rPr>
        <w:t xml:space="preserve">B Answer: Student correctly identifies the strike as the central problem but treats it primarily as a financial/cost issue, missing the cultural dimension.</w:t>
      </w:r>
    </w:p>
    <w:p>
      <w:pPr>
        <w:spacing w:after="160"/>
        <w:ind w:firstLine="360"/>
        <w:jc w:val="both"/>
      </w:pPr>
      <w:r>
        <w:rPr>
          <w:rFonts w:ascii="Times New Roman" w:cs="Times New Roman" w:eastAsia="Times New Roman" w:hAnsi="Times New Roman"/>
          <w:sz w:val="24"/>
          <w:szCs w:val="24"/>
        </w:rPr>
        <w:t xml:space="preserve">Common Wrong Answer: Student immediately recommends Option A without analyzing the financial constraints. Redirect: 'Before we decide — does Boeing have the balance sheet to afford Option A? Let's look at Exhibit 1 together.'</w:t>
      </w:r>
    </w:p>
    <w:p>
      <w:pPr>
        <w:pStyle w:val="Heading2"/>
        <w:spacing w:after="80" w:before="280"/>
      </w:pPr>
      <w:r>
        <w:rPr>
          <w:rFonts w:ascii="Arial" w:cs="Arial" w:eastAsia="Arial" w:hAnsi="Arial"/>
          <w:b/>
          <w:bCs/>
          <w:color w:val="2C3E50"/>
          <w:sz w:val="24"/>
          <w:szCs w:val="24"/>
        </w:rPr>
        <w:t xml:space="preserve">Discussion Question 2 — The Culture Asset</w:t>
      </w:r>
    </w:p>
    <w:p>
      <w:pPr>
        <w:spacing w:after="160"/>
        <w:ind w:firstLine="0"/>
        <w:jc w:val="both"/>
      </w:pPr>
      <w:r>
        <w:rPr>
          <w:rFonts w:ascii="Times New Roman" w:cs="Times New Roman" w:eastAsia="Times New Roman" w:hAnsi="Times New Roman"/>
          <w:sz w:val="24"/>
          <w:szCs w:val="24"/>
        </w:rPr>
        <w:t xml:space="preserve">Question: 'The average IAM machinist on the 737 line has 14.2 years of tenure. Is that a financial fact or a strategic fact?'</w:t>
      </w:r>
    </w:p>
    <w:p>
      <w:pPr>
        <w:spacing w:after="160"/>
        <w:ind w:firstLine="360"/>
        <w:jc w:val="both"/>
      </w:pPr>
      <w:r>
        <w:rPr>
          <w:rFonts w:ascii="Times New Roman" w:cs="Times New Roman" w:eastAsia="Times New Roman" w:hAnsi="Times New Roman"/>
          <w:sz w:val="24"/>
          <w:szCs w:val="24"/>
        </w:rPr>
        <w:t xml:space="preserve">A+ Answer: Student articulates that tacit knowledge in aircraft manufacturing is genuinely irreplaceable on any short-to-medium timeline, and that the FAA's production quality scrutiny means that quality degradation from workforce turnover carries regulatory risk — not just reputational risk. Student may connect this to Toyota Production System literature: the insight that production quality is stored in people, not procedures.</w:t>
      </w:r>
    </w:p>
    <w:p>
      <w:pPr>
        <w:spacing w:after="160"/>
        <w:ind w:firstLine="360"/>
        <w:jc w:val="both"/>
      </w:pPr>
      <w:r>
        <w:rPr>
          <w:rFonts w:ascii="Times New Roman" w:cs="Times New Roman" w:eastAsia="Times New Roman" w:hAnsi="Times New Roman"/>
          <w:sz w:val="24"/>
          <w:szCs w:val="24"/>
        </w:rPr>
        <w:t xml:space="preserve">B Answer: Student notes tenure matters but frames it primarily as a training cost issue.</w:t>
      </w:r>
    </w:p>
    <w:p>
      <w:pPr>
        <w:spacing w:after="160"/>
        <w:ind w:firstLine="360"/>
        <w:jc w:val="both"/>
      </w:pPr>
      <w:r>
        <w:rPr>
          <w:rFonts w:ascii="Times New Roman" w:cs="Times New Roman" w:eastAsia="Times New Roman" w:hAnsi="Times New Roman"/>
          <w:sz w:val="24"/>
          <w:szCs w:val="24"/>
        </w:rPr>
        <w:t xml:space="preserve">Follow-up: 'Boeing's Speak Up system received thousands of reports before the Alaska Airlines incident. Fewer than 40% resulted in documented corrective action. If you are an experienced machinist, what does that tell you about whether it's worth speaking up again after the strike?'</w:t>
      </w:r>
    </w:p>
    <w:p>
      <w:pPr>
        <w:pStyle w:val="Heading2"/>
        <w:spacing w:after="80" w:before="280"/>
      </w:pPr>
      <w:r>
        <w:rPr>
          <w:rFonts w:ascii="Arial" w:cs="Arial" w:eastAsia="Arial" w:hAnsi="Arial"/>
          <w:b/>
          <w:bCs/>
          <w:color w:val="2C3E50"/>
          <w:sz w:val="24"/>
          <w:szCs w:val="24"/>
        </w:rPr>
        <w:t xml:space="preserve">What Actually Happened — Epilogue</w:t>
      </w:r>
    </w:p>
    <w:p>
      <w:pPr>
        <w:spacing w:after="160"/>
        <w:ind w:firstLine="0"/>
        <w:jc w:val="both"/>
      </w:pPr>
      <w:r>
        <w:rPr>
          <w:rFonts w:ascii="Times New Roman" w:cs="Times New Roman" w:eastAsia="Times New Roman" w:hAnsi="Times New Roman"/>
          <w:sz w:val="24"/>
          <w:szCs w:val="24"/>
        </w:rPr>
        <w:t xml:space="preserve">On November 4, 2024, IAM District 751 members ratified a new four-year contract with Boeing by a margin of 59%. The agreement included a 38% cumulative wage increase, enhanced profit-sharing, and improved 401(k) contributions — though the traditional defined-benefit pension was not restored. The estimated total additional cost to Boeing was approximately $1.6 billion over the contract term. Boeing's stock rose 3.5% on the day of ratification.</w:t>
      </w:r>
    </w:p>
    <w:p>
      <w:pPr>
        <w:spacing w:after="160"/>
        <w:ind w:firstLine="360"/>
        <w:jc w:val="both"/>
      </w:pPr>
      <w:r>
        <w:rPr>
          <w:rFonts w:ascii="Times New Roman" w:cs="Times New Roman" w:eastAsia="Times New Roman" w:hAnsi="Times New Roman"/>
          <w:sz w:val="24"/>
          <w:szCs w:val="24"/>
        </w:rPr>
        <w:t xml:space="preserve">Production resumed immediately. The 737 MAX production rate reached 38 per month by mid-2025, meeting the FAA's cap. In October 2025, the FAA approved an increase to 42 per month. Boeing reported its first quarter of positive free cash flow in Q3 2025, generating $200 million.</w:t>
      </w:r>
    </w:p>
    <w:p>
      <w:pPr>
        <w:spacing w:after="160"/>
        <w:ind w:firstLine="360"/>
        <w:jc w:val="both"/>
      </w:pPr>
      <w:r>
        <w:rPr>
          <w:rFonts w:ascii="Times New Roman" w:cs="Times New Roman" w:eastAsia="Times New Roman" w:hAnsi="Times New Roman"/>
          <w:sz w:val="24"/>
          <w:szCs w:val="24"/>
        </w:rPr>
        <w:t xml:space="preserve">Key lessons from the actual outcome: (1) The generous settlement proved financially manageable; the $1.6 billion cost was lower than the estimated $300 million/month in strike losses that would have accrued for five additional months. (2) Cultural repair proved slower than financial recovery — internal survey results through mid-2025 showed improved but still-fragile trust indices. (3) Ortberg's personal credibility as a visible, accessible leader was cited by union negotiators as a material factor in the ratification vote. The decision remains instructive because it illustrates that in knowledge-intensive industries, labor is not merely a cost line — it is the primary repository of operational capability.</w:t>
      </w:r>
    </w:p>
    <w:p>
      <w:pPr>
        <w:pStyle w:val="Heading2"/>
        <w:spacing w:after="80" w:before="280"/>
      </w:pPr>
      <w:r>
        <w:rPr>
          <w:rFonts w:ascii="Arial" w:cs="Arial" w:eastAsia="Arial" w:hAnsi="Arial"/>
          <w:b/>
          <w:bCs/>
          <w:color w:val="2C3E50"/>
          <w:sz w:val="24"/>
          <w:szCs w:val="24"/>
        </w:rPr>
        <w:t xml:space="preserve">Frameworks for Analysis</w:t>
      </w:r>
    </w:p>
    <w:p>
      <w:pPr>
        <w:spacing w:after="160"/>
        <w:ind w:firstLine="0"/>
        <w:jc w:val="both"/>
      </w:pPr>
      <w:r>
        <w:rPr>
          <w:rFonts w:ascii="Times New Roman" w:cs="Times New Roman" w:eastAsia="Times New Roman" w:hAnsi="Times New Roman"/>
          <w:sz w:val="24"/>
          <w:szCs w:val="24"/>
        </w:rPr>
        <w:t xml:space="preserve">Primary: Stakeholder Theory (Freeman, 1984) — who are Boeing's stakeholders, what do they want, and in what order does Ortberg need to address them?</w:t>
      </w:r>
    </w:p>
    <w:p>
      <w:pPr>
        <w:spacing w:after="160"/>
        <w:ind w:firstLine="360"/>
        <w:jc w:val="both"/>
      </w:pPr>
      <w:r>
        <w:rPr>
          <w:rFonts w:ascii="Times New Roman" w:cs="Times New Roman" w:eastAsia="Times New Roman" w:hAnsi="Times New Roman"/>
          <w:sz w:val="24"/>
          <w:szCs w:val="24"/>
        </w:rPr>
        <w:t xml:space="preserve">Secondary: Agency Theory — to what extent had Boeing's shareholder-first posture under Calhoun created the cultural conditions for the quality failures? What does Ortberg's settlement approach signal about a shift in agency?</w:t>
      </w:r>
    </w:p>
    <w:p>
      <w:pPr>
        <w:spacing w:after="160"/>
        <w:ind w:firstLine="360"/>
        <w:jc w:val="both"/>
      </w:pPr>
      <w:r>
        <w:rPr>
          <w:rFonts w:ascii="Times New Roman" w:cs="Times New Roman" w:eastAsia="Times New Roman" w:hAnsi="Times New Roman"/>
          <w:sz w:val="24"/>
          <w:szCs w:val="24"/>
        </w:rPr>
        <w:t xml:space="preserve">Tertiary: Kotter's 8-Step Change Model — which steps has Ortberg already taken, and what does the labor settlement represent in the model's progression?</w:t>
      </w:r>
    </w:p>
    <w:p>
      <w:pPr>
        <w:pStyle w:val="Heading2"/>
        <w:spacing w:after="80" w:before="280"/>
      </w:pPr>
      <w:r>
        <w:rPr>
          <w:rFonts w:ascii="Arial" w:cs="Arial" w:eastAsia="Arial" w:hAnsi="Arial"/>
          <w:b/>
          <w:bCs/>
          <w:color w:val="2C3E50"/>
          <w:sz w:val="24"/>
          <w:szCs w:val="24"/>
        </w:rPr>
        <w:t xml:space="preserve">Supplementary Materials</w:t>
      </w:r>
    </w:p>
    <w:p>
      <w:pPr>
        <w:pStyle w:val="ListParagraph"/>
        <w:numPr>
          <w:ilvl w:val="0"/>
          <w:numId w:val="2"/>
        </w:numPr>
        <w:spacing w:after="80"/>
      </w:pPr>
      <w:r>
        <w:rPr>
          <w:rFonts w:ascii="Times New Roman" w:cs="Times New Roman" w:eastAsia="Times New Roman" w:hAnsi="Times New Roman"/>
          <w:sz w:val="24"/>
          <w:szCs w:val="24"/>
        </w:rPr>
        <w:t xml:space="preserve">Boeing's official 2024 Annual Report (investors.boeing.com)</w:t>
      </w:r>
    </w:p>
    <w:p>
      <w:pPr>
        <w:pStyle w:val="ListParagraph"/>
        <w:numPr>
          <w:ilvl w:val="0"/>
          <w:numId w:val="2"/>
        </w:numPr>
        <w:spacing w:after="80"/>
      </w:pPr>
      <w:r>
        <w:rPr>
          <w:rFonts w:ascii="Times New Roman" w:cs="Times New Roman" w:eastAsia="Times New Roman" w:hAnsi="Times New Roman"/>
          <w:sz w:val="24"/>
          <w:szCs w:val="24"/>
        </w:rPr>
        <w:t xml:space="preserve">NTSB Report: Alaska Airlines Flight 1282 (NTSB-AAB-24-01)</w:t>
      </w:r>
    </w:p>
    <w:p>
      <w:pPr>
        <w:pStyle w:val="ListParagraph"/>
        <w:numPr>
          <w:ilvl w:val="0"/>
          <w:numId w:val="2"/>
        </w:numPr>
        <w:spacing w:after="80"/>
      </w:pPr>
      <w:r>
        <w:rPr>
          <w:rFonts w:ascii="Times New Roman" w:cs="Times New Roman" w:eastAsia="Times New Roman" w:hAnsi="Times New Roman"/>
          <w:sz w:val="24"/>
          <w:szCs w:val="24"/>
        </w:rPr>
        <w:t xml:space="preserve">Senate Commerce Committee Hearing Transcript, April 2024</w:t>
      </w:r>
    </w:p>
    <w:p>
      <w:pPr>
        <w:pStyle w:val="ListParagraph"/>
        <w:numPr>
          <w:ilvl w:val="0"/>
          <w:numId w:val="2"/>
        </w:numPr>
        <w:spacing w:after="80"/>
      </w:pPr>
      <w:r>
        <w:rPr>
          <w:rFonts w:ascii="Times New Roman" w:cs="Times New Roman" w:eastAsia="Times New Roman" w:hAnsi="Times New Roman"/>
          <w:sz w:val="24"/>
          <w:szCs w:val="24"/>
        </w:rPr>
        <w:t xml:space="preserve">Companion case: 'Fiat-Chrysler and Sergio Marchionne: A Turnaround Culture' (HBS 9-416-043)</w:t>
      </w:r>
    </w:p>
    <w:p>
      <w:pPr>
        <w:pStyle w:val="ListParagraph"/>
        <w:numPr>
          <w:ilvl w:val="0"/>
          <w:numId w:val="2"/>
        </w:numPr>
        <w:spacing w:after="80"/>
      </w:pPr>
      <w:r>
        <w:rPr>
          <w:rFonts w:ascii="Times New Roman" w:cs="Times New Roman" w:eastAsia="Times New Roman" w:hAnsi="Times New Roman"/>
          <w:sz w:val="24"/>
          <w:szCs w:val="24"/>
        </w:rPr>
        <w:t xml:space="preserve">Reading: Amy Edmondson, 'The Fearless Organization' (Chapters 3–5)</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Copyright © 2024 Harvard Business School Publishing. Reproduction prohibited without permission.  </w:t>
    </w:r>
    <w:r>
      <w:rPr>
        <w:rFonts w:ascii="Arial" w:cs="Arial" w:eastAsia="Arial" w:hAnsi="Arial"/>
        <w:color w:val="888888"/>
        <w:sz w:val="16"/>
        <w:szCs w:val="16"/>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Copyright © 2024 Harvard Business School Publishing. Reproduction prohibited without permission.  </w:t>
    </w:r>
    <w:r>
      <w:rPr>
        <w:rFonts w:ascii="Arial" w:cs="Arial" w:eastAsia="Arial" w:hAnsi="Arial"/>
        <w:color w:val="888888"/>
        <w:sz w:val="16"/>
        <w:szCs w:val="16"/>
      </w:rP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Copyright © 2024 Harvard Business School Publishing. Reproduction prohibited without permission.  </w:t>
    </w:r>
    <w:r>
      <w:rPr>
        <w:rFonts w:ascii="Arial" w:cs="Arial" w:eastAsia="Arial" w:hAnsi="Arial"/>
        <w:color w:val="888888"/>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b/>
        <w:bCs/>
        <w:color w:val="C0392B"/>
        <w:sz w:val="18"/>
        <w:szCs w:val="18"/>
      </w:rPr>
      <w:t xml:space="preserve">CASE NO: HBS-2024-BCA-007</w:t>
    </w:r>
    <w:r>
      <w:rPr>
        <w:rFonts w:ascii="Arial" w:cs="Arial" w:eastAsia="Arial" w:hAnsi="Arial"/>
        <w:color w:val="888888"/>
        <w:sz w:val="18"/>
        <w:szCs w:val="18"/>
      </w:rPr>
      <w:t xml:space="preserve">	THE BOEING COMPANY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b/>
        <w:bCs/>
        <w:color w:val="C0392B"/>
        <w:sz w:val="18"/>
        <w:szCs w:val="18"/>
      </w:rPr>
      <w:t xml:space="preserve">CASE NO: HBS-2024-BCA-007</w:t>
    </w:r>
    <w:r>
      <w:rPr>
        <w:rFonts w:ascii="Arial" w:cs="Arial" w:eastAsia="Arial" w:hAnsi="Arial"/>
        <w:color w:val="888888"/>
        <w:sz w:val="18"/>
        <w:szCs w:val="18"/>
      </w:rPr>
      <w:t xml:space="preserve">	THE BOEING COMPANY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b/>
        <w:bCs/>
        <w:color w:val="C0392B"/>
        <w:sz w:val="18"/>
        <w:szCs w:val="18"/>
      </w:rPr>
      <w:t xml:space="preserve">CASE NO: HBS-2024-BCA-007</w:t>
    </w:r>
    <w:r>
      <w:rPr>
        <w:rFonts w:ascii="Arial" w:cs="Arial" w:eastAsia="Arial" w:hAnsi="Arial"/>
        <w:color w:val="888888"/>
        <w:sz w:val="18"/>
        <w:szCs w:val="18"/>
      </w:rPr>
      <w:t xml:space="preserve">	THE BOEING COMPANY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2026-05-04T19:23:22.171Z</dcterms:created>
  <dcterms:modified xsi:type="dcterms:W3CDTF">2026-05-04T19:23:22.187Z</dcterms:modified>
</cp:coreProperties>
</file>

<file path=docProps/custom.xml><?xml version="1.0" encoding="utf-8"?>
<Properties xmlns="http://schemas.openxmlformats.org/officeDocument/2006/custom-properties" xmlns:vt="http://schemas.openxmlformats.org/officeDocument/2006/docPropsVTypes"/>
</file>