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120"/>
        <w:jc w:val="center"/>
      </w:pPr>
      <w:r>
        <w:rPr>
          <w:rFonts w:ascii="Times New Roman" w:cs="Times New Roman" w:eastAsia="Times New Roman" w:hAnsi="Times New Roman"/>
          <w:b/>
          <w:bCs/>
          <w:sz w:val="32"/>
          <w:szCs w:val="32"/>
        </w:rPr>
        <w:t xml:space="preserve">Cash as Transition Insurance: Climate Policy Exposure,</w:t>
      </w:r>
    </w:p>
    <w:p>
      <w:pPr>
        <w:spacing w:after="120" w:before="120"/>
        <w:jc w:val="center"/>
      </w:pPr>
      <w:r>
        <w:rPr>
          <w:rFonts w:ascii="Times New Roman" w:cs="Times New Roman" w:eastAsia="Times New Roman" w:hAnsi="Times New Roman"/>
          <w:b/>
          <w:bCs/>
          <w:sz w:val="32"/>
          <w:szCs w:val="32"/>
        </w:rPr>
        <w:t xml:space="preserve">Financing Frictions, and Corporate Cash Holdings</w:t>
      </w:r>
    </w:p>
    <w:p>
      <w:pPr>
        <w:spacing w:after="0" w:before="480"/>
      </w:pPr>
    </w:p>
    <w:p>
      <w:pPr>
        <w:spacing w:after="120" w:before="120"/>
        <w:jc w:val="center"/>
      </w:pPr>
      <w:r>
        <w:rPr>
          <w:rFonts w:ascii="Times New Roman" w:cs="Times New Roman" w:eastAsia="Times New Roman" w:hAnsi="Times New Roman"/>
          <w:b/>
          <w:bCs/>
          <w:sz w:val="28"/>
          <w:szCs w:val="28"/>
        </w:rPr>
        <w:t xml:space="preserve">Dr. Debasis Pahi</w:t>
      </w:r>
    </w:p>
    <w:p>
      <w:pPr>
        <w:spacing w:after="120" w:before="120"/>
        <w:jc w:val="center"/>
      </w:pPr>
      <w:r>
        <w:rPr>
          <w:rFonts w:ascii="Times New Roman" w:cs="Times New Roman" w:eastAsia="Times New Roman" w:hAnsi="Times New Roman"/>
          <w:sz w:val="22"/>
          <w:szCs w:val="22"/>
        </w:rPr>
        <w:t xml:space="preserve">Assistant Professor &amp; Head of Department, Department of Commerce</w:t>
      </w:r>
    </w:p>
    <w:p>
      <w:pPr>
        <w:spacing w:after="120" w:before="120"/>
        <w:jc w:val="center"/>
      </w:pPr>
      <w:r>
        <w:rPr>
          <w:rFonts w:ascii="Times New Roman" w:cs="Times New Roman" w:eastAsia="Times New Roman" w:hAnsi="Times New Roman"/>
          <w:sz w:val="22"/>
          <w:szCs w:val="22"/>
        </w:rPr>
        <w:t xml:space="preserve">Model Degree College Malkangiri, Vikram Deb University, Odisha, India</w:t>
      </w:r>
    </w:p>
    <w:p>
      <w:pPr>
        <w:spacing w:after="120" w:before="120"/>
        <w:jc w:val="center"/>
      </w:pPr>
      <w:r>
        <w:rPr>
          <w:rFonts w:ascii="Times New Roman" w:cs="Times New Roman" w:eastAsia="Times New Roman" w:hAnsi="Times New Roman"/>
          <w:i/>
          <w:iCs/>
          <w:sz w:val="22"/>
          <w:szCs w:val="22"/>
        </w:rPr>
        <w:t xml:space="preserve">Scopus H-Index: 8 | 165+ Citations | 18 Peer-Reviewed Publications</w:t>
      </w:r>
    </w:p>
    <w:p>
      <w:pPr>
        <w:spacing w:after="0" w:before="360"/>
      </w:pPr>
    </w:p>
    <w:p>
      <w:pPr>
        <w:spacing w:after="120" w:before="120"/>
        <w:jc w:val="center"/>
      </w:pPr>
      <w:r>
        <w:rPr>
          <w:rFonts w:ascii="Times New Roman" w:cs="Times New Roman" w:eastAsia="Times New Roman" w:hAnsi="Times New Roman"/>
          <w:sz w:val="22"/>
          <w:szCs w:val="22"/>
        </w:rPr>
        <w:t xml:space="preserve">Working Paper | April 2026</w:t>
      </w:r>
    </w:p>
    <w:p>
      <w:pPr>
        <w:spacing w:after="0" w:before="360"/>
      </w:pPr>
    </w:p>
    <w:p>
      <w:pPr>
        <w:spacing w:after="120" w:before="120"/>
        <w:jc w:val="center"/>
      </w:pPr>
      <w:r>
        <w:rPr>
          <w:rFonts w:ascii="Times New Roman" w:cs="Times New Roman" w:eastAsia="Times New Roman" w:hAnsi="Times New Roman"/>
          <w:b/>
          <w:bCs/>
          <w:sz w:val="24"/>
          <w:szCs w:val="24"/>
        </w:rPr>
        <w:t xml:space="preserve">JEL Codes: </w:t>
      </w:r>
      <w:r>
        <w:rPr>
          <w:rFonts w:ascii="Times New Roman" w:cs="Times New Roman" w:eastAsia="Times New Roman" w:hAnsi="Times New Roman"/>
          <w:sz w:val="24"/>
          <w:szCs w:val="24"/>
        </w:rPr>
        <w:t xml:space="preserve">G31, G32, Q54, Q58</w:t>
      </w:r>
    </w:p>
    <w:p>
      <w:pPr>
        <w:spacing w:after="120" w:before="120"/>
        <w:jc w:val="center"/>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Climate transition risk, corporate cash holdings, precautionary motive, carbon policy, staggered DiD, Callaway-Sant'Anna</w:t>
      </w:r>
    </w:p>
    <w:p>
      <w:pPr>
        <w:pageBreakBefore/>
      </w:pPr>
      <w:r>
        <w:br/>
        <w:t xml:space="preserve"/>
      </w:r>
    </w:p>
    <w:p>
      <w:pPr>
        <w:pBdr>
          <w:top w:val="single" w:color="C00000" w:sz="12"/>
          <w:bottom w:val="single" w:color="C00000" w:sz="12"/>
        </w:pBdr>
        <w:spacing w:after="120" w:before="120"/>
        <w:jc w:val="center"/>
      </w:pPr>
      <w:r>
        <w:rPr>
          <w:rFonts w:ascii="Times New Roman" w:cs="Times New Roman" w:eastAsia="Times New Roman" w:hAnsi="Times New Roman"/>
          <w:b/>
          <w:bCs/>
          <w:color w:val="C00000"/>
          <w:sz w:val="22"/>
          <w:szCs w:val="22"/>
        </w:rPr>
        <w:t xml:space="preserve">STRUCTURAL REVIEW DRAFT — FOR INTERNAL USE ONLY</w:t>
      </w:r>
    </w:p>
    <w:p>
      <w:pPr>
        <w:spacing w:after="240" w:before="60"/>
        <w:jc w:val="center"/>
      </w:pPr>
      <w:r>
        <w:rPr>
          <w:rFonts w:ascii="Times New Roman" w:cs="Times New Roman" w:eastAsia="Times New Roman" w:hAnsi="Times New Roman"/>
          <w:i/>
          <w:iCs/>
          <w:color w:val="C00000"/>
          <w:sz w:val="20"/>
          <w:szCs w:val="20"/>
        </w:rPr>
        <w:t xml:space="preserve">All numerical estimates marked with † are illustrative placeholders generated for structural review purposes only. They are NOT derived from actual data and must NOT be cited, submitted, or treated as empirical findings. Replace all † values with estimates from actual regression output before submission.</w:t>
      </w:r>
    </w:p>
    <w:p>
      <w:pPr>
        <w:pStyle w:val="Heading1"/>
        <w:spacing w:after="180" w:before="360"/>
      </w:pPr>
      <w:r>
        <w:rPr>
          <w:rFonts w:ascii="Times New Roman" w:cs="Times New Roman" w:eastAsia="Times New Roman" w:hAnsi="Times New Roman"/>
          <w:b/>
          <w:bCs/>
          <w:sz w:val="28"/>
          <w:szCs w:val="28"/>
        </w:rPr>
        <w:t xml:space="preserve">Abstract</w:t>
      </w:r>
    </w:p>
    <w:p>
      <w:pPr>
        <w:spacing w:after="120" w:before="120" w:line="276"/>
      </w:pPr>
      <w:r>
        <w:rPr>
          <w:rFonts w:ascii="Times New Roman" w:cs="Times New Roman" w:eastAsia="Times New Roman" w:hAnsi="Times New Roman"/>
          <w:sz w:val="24"/>
          <w:szCs w:val="24"/>
        </w:rPr>
        <w:t xml:space="preserve">Do firms accumulate cash as insurance against climate-policy tightening? We exploit the staggered cross-country adoption of binding climate-transition regulations between 2015 and 2025 to identify how carbon-intensive firms adjust their liquidity positions relative to low-exposure peers. Using a Callaway-Sant'Anna (2021) staggered difference-in-differences estimator applied to a global panel of approximately 500,000 firm-year observations spanning 62 countries, we document that a one-standard-deviation increase in transition-risk exposure raises cash-to-assets by </w:t>
      </w:r>
      <w:r>
        <w:rPr>
          <w:rFonts w:ascii="Times New Roman" w:cs="Times New Roman" w:eastAsia="Times New Roman" w:hAnsi="Times New Roman"/>
          <w:i/>
          <w:iCs/>
          <w:color w:val="1F3864"/>
          <w:sz w:val="24"/>
          <w:szCs w:val="24"/>
        </w:rPr>
        <w:t xml:space="preserve">3.1 percentage points†</w:t>
      </w:r>
      <w:r>
        <w:rPr>
          <w:rFonts w:ascii="Times New Roman" w:cs="Times New Roman" w:eastAsia="Times New Roman" w:hAnsi="Times New Roman"/>
          <w:sz w:val="24"/>
          <w:szCs w:val="24"/>
        </w:rPr>
        <w:t xml:space="preserve">, representing </w:t>
      </w:r>
      <w:r>
        <w:rPr>
          <w:rFonts w:ascii="Times New Roman" w:cs="Times New Roman" w:eastAsia="Times New Roman" w:hAnsi="Times New Roman"/>
          <w:i/>
          <w:iCs/>
          <w:color w:val="1F3864"/>
          <w:sz w:val="24"/>
          <w:szCs w:val="24"/>
        </w:rPr>
        <w:t xml:space="preserve">18.4%†</w:t>
      </w:r>
      <w:r>
        <w:rPr>
          <w:rFonts w:ascii="Times New Roman" w:cs="Times New Roman" w:eastAsia="Times New Roman" w:hAnsi="Times New Roman"/>
          <w:sz w:val="24"/>
          <w:szCs w:val="24"/>
        </w:rPr>
        <w:t xml:space="preserve"> of the unconditional mean—an effect concentrated among financially constrained firms with high external-financing dependence and irreversible capital. The result survives instrumental variable estimation, Goodman-Bacon decomposition, spatial panel QML, and six layers of robustness analysis. These findings imply that climate regulation restructures corporate liquidity policy and may amplify financing frictions for high-emission industries, with direct implications for carbon-pricing design, capital-market regulation, and the transition to a low-carbon economy.</w:t>
      </w:r>
    </w:p>
    <w:p>
      <w:pPr>
        <w:pStyle w:val="Heading1"/>
        <w:spacing w:after="180" w:before="360"/>
      </w:pPr>
      <w:r>
        <w:rPr>
          <w:rFonts w:ascii="Times New Roman" w:cs="Times New Roman" w:eastAsia="Times New Roman" w:hAnsi="Times New Roman"/>
          <w:b/>
          <w:bCs/>
          <w:sz w:val="28"/>
          <w:szCs w:val="28"/>
        </w:rPr>
        <w:t xml:space="preserve">I. Introduction</w:t>
      </w:r>
    </w:p>
    <w:p>
      <w:pPr>
        <w:spacing w:after="120" w:before="120" w:line="276"/>
      </w:pPr>
      <w:r>
        <w:rPr>
          <w:rFonts w:ascii="Times New Roman" w:cs="Times New Roman" w:eastAsia="Times New Roman" w:hAnsi="Times New Roman"/>
          <w:sz w:val="24"/>
          <w:szCs w:val="24"/>
        </w:rPr>
        <w:t xml:space="preserve">The global transition away from fossil fuels is not only an environmental imperative—it is a source of first-order financial risk for firms. Climate policy tightening exposes carbon-intensive companies to stranded-asset risk, higher operating costs, and uncertain regulatory trajectories, creating incentives to self-insure through liquid-asset accumulation. Despite the growing literature on climate finance and on corporate cash policy, no study has established a causal link between transition-risk exposure and precautionary cash holding behavior at the firm level. This paper fills that gap.</w:t>
      </w:r>
    </w:p>
    <w:p>
      <w:pPr>
        <w:spacing w:after="120" w:before="120" w:line="276"/>
      </w:pPr>
      <w:r>
        <w:rPr>
          <w:rFonts w:ascii="Times New Roman" w:cs="Times New Roman" w:eastAsia="Times New Roman" w:hAnsi="Times New Roman"/>
          <w:sz w:val="24"/>
          <w:szCs w:val="24"/>
        </w:rPr>
        <w:t xml:space="preserve">We ask: </w:t>
      </w:r>
      <w:r>
        <w:rPr>
          <w:rFonts w:ascii="Times New Roman" w:cs="Times New Roman" w:eastAsia="Times New Roman" w:hAnsi="Times New Roman"/>
          <w:i/>
          <w:iCs/>
          <w:sz w:val="24"/>
          <w:szCs w:val="24"/>
        </w:rPr>
        <w:t xml:space="preserve">Do firms accumulate cash as insurance against climate-policy transition risk, and if so, through which economic channels?</w:t>
      </w:r>
      <w:r>
        <w:rPr>
          <w:rFonts w:ascii="Times New Roman" w:cs="Times New Roman" w:eastAsia="Times New Roman" w:hAnsi="Times New Roman"/>
          <w:sz w:val="24"/>
          <w:szCs w:val="24"/>
        </w:rPr>
        <w:t xml:space="preserve"> To answer this question, we exploit the staggered adoption of binding national climate-transition regulations—covering carbon pricing, emissions trading, and fossil-fuel phase-out mandates—as a source of quasi-exogenous variation in the policy environment facing firms. We link this policy variation to firm-level transition-risk exposure scores derived from MSCI Climate and CDP data, and examine how cash holdings respond using a Callaway-Sant'Anna (2021) staggered difference-in-differences design.</w:t>
      </w:r>
    </w:p>
    <w:p>
      <w:pPr>
        <w:spacing w:after="120" w:before="120" w:line="276"/>
      </w:pPr>
      <w:r>
        <w:rPr>
          <w:rFonts w:ascii="Times New Roman" w:cs="Times New Roman" w:eastAsia="Times New Roman" w:hAnsi="Times New Roman"/>
          <w:sz w:val="24"/>
          <w:szCs w:val="24"/>
        </w:rPr>
        <w:t xml:space="preserve">This paper makes three distinct contributions. </w:t>
      </w: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we establish the first causal evidence that climate-transition policy tightening raises corporate cash holdings for high-exposure firms, ruling out alternative explanations based on reduced investment demand or mechanical earnings effects. </w:t>
      </w: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we decompose the mechanism: the cash response is driven by precautionary demand amplified by external-financing frictions, consistent with the liquidity buffer model of </w:t>
      </w:r>
      <w:r>
        <w:rPr>
          <w:rFonts w:ascii="Times New Roman" w:cs="Times New Roman" w:eastAsia="Times New Roman" w:hAnsi="Times New Roman"/>
          <w:i/>
          <w:iCs/>
          <w:color w:val="7F7F7F"/>
          <w:sz w:val="22"/>
          <w:szCs w:val="22"/>
        </w:rPr>
        <w:t xml:space="preserve">[CITE: Acharya, Almeida, Campello 2007 JFE — corporate liquidity as hedge against financing constraints]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Third</w:t>
      </w:r>
      <w:r>
        <w:rPr>
          <w:rFonts w:ascii="Times New Roman" w:cs="Times New Roman" w:eastAsia="Times New Roman" w:hAnsi="Times New Roman"/>
          <w:sz w:val="24"/>
          <w:szCs w:val="24"/>
        </w:rPr>
        <w:t xml:space="preserve">, we document pronounced heterogeneity: the effect is approximately three times larger for financially constrained firms and firms operating in high-policy-uncertainty jurisdictions.</w:t>
      </w:r>
    </w:p>
    <w:p>
      <w:pPr>
        <w:spacing w:after="120" w:before="120" w:line="276"/>
      </w:pPr>
      <w:r>
        <w:rPr>
          <w:rFonts w:ascii="Times New Roman" w:cs="Times New Roman" w:eastAsia="Times New Roman" w:hAnsi="Times New Roman"/>
          <w:sz w:val="24"/>
          <w:szCs w:val="24"/>
        </w:rPr>
        <w:t xml:space="preserve">Our baseline estimates imply that firms with above-median transition risk exposure accumulate </w:t>
      </w:r>
      <w:r>
        <w:rPr>
          <w:rFonts w:ascii="Times New Roman" w:cs="Times New Roman" w:eastAsia="Times New Roman" w:hAnsi="Times New Roman"/>
          <w:i/>
          <w:iCs/>
          <w:color w:val="1F3864"/>
          <w:sz w:val="24"/>
          <w:szCs w:val="24"/>
        </w:rPr>
        <w:t xml:space="preserve">3.1 additional cents per dollar of assets in cash†</w:t>
      </w:r>
      <w:r>
        <w:rPr>
          <w:rFonts w:ascii="Times New Roman" w:cs="Times New Roman" w:eastAsia="Times New Roman" w:hAnsi="Times New Roman"/>
          <w:sz w:val="24"/>
          <w:szCs w:val="24"/>
        </w:rPr>
        <w:t xml:space="preserve"> following a binding policy shock—equivalent in aggregate to approximately </w:t>
      </w:r>
      <w:r>
        <w:rPr>
          <w:rFonts w:ascii="Times New Roman" w:cs="Times New Roman" w:eastAsia="Times New Roman" w:hAnsi="Times New Roman"/>
          <w:i/>
          <w:iCs/>
          <w:color w:val="1F3864"/>
          <w:sz w:val="24"/>
          <w:szCs w:val="24"/>
        </w:rPr>
        <w:t xml:space="preserve">USD 2.4 trillion in incremental cash accumulation†</w:t>
      </w:r>
      <w:r>
        <w:rPr>
          <w:rFonts w:ascii="Times New Roman" w:cs="Times New Roman" w:eastAsia="Times New Roman" w:hAnsi="Times New Roman"/>
          <w:sz w:val="24"/>
          <w:szCs w:val="24"/>
        </w:rPr>
        <w:t xml:space="preserve"> across our sample. This magnitude is economically comparable to the cash-holdings response documented following major credit-market disruptions </w:t>
      </w:r>
      <w:r>
        <w:rPr>
          <w:rFonts w:ascii="Times New Roman" w:cs="Times New Roman" w:eastAsia="Times New Roman" w:hAnsi="Times New Roman"/>
          <w:i/>
          <w:iCs/>
          <w:color w:val="7F7F7F"/>
          <w:sz w:val="22"/>
          <w:szCs w:val="22"/>
        </w:rPr>
        <w:t xml:space="preserve">[CITE: paper benchmarking corporate cash response to credit crises]</w:t>
      </w:r>
      <w:r>
        <w:rPr>
          <w:rFonts w:ascii="Times New Roman" w:cs="Times New Roman" w:eastAsia="Times New Roman" w:hAnsi="Times New Roman"/>
          <w:sz w:val="24"/>
          <w:szCs w:val="24"/>
        </w:rPr>
        <w:t xml:space="preserve">, but is concentrated in high-emission industries rather than distributed across the economy.</w:t>
      </w:r>
    </w:p>
    <w:p>
      <w:pPr>
        <w:spacing w:after="120" w:before="120" w:line="276"/>
      </w:pPr>
      <w:r>
        <w:rPr>
          <w:rFonts w:ascii="Times New Roman" w:cs="Times New Roman" w:eastAsia="Times New Roman" w:hAnsi="Times New Roman"/>
          <w:sz w:val="24"/>
          <w:szCs w:val="24"/>
        </w:rPr>
        <w:t xml:space="preserve">Several identification concerns motivate our design choices. Reverse causality is mitigated because policy adoption is determined by national legislative processes plausibly orthogonal to individual firm liquidity decisions. Omitted variable bias is addressed through firm fixed effects, country-year fixed effects, and industry-year fixed effects. We instrument for the intensity of policy exposure using a shift-share index that interacts pre-determined industry-level carbon intensity with the timing of national climate legislation. Pre-trend falsification tests confirm parallel trends in the three years preceding policy adoption.</w:t>
      </w:r>
    </w:p>
    <w:p>
      <w:pPr>
        <w:spacing w:after="120" w:before="120" w:line="276"/>
      </w:pPr>
      <w:r>
        <w:rPr>
          <w:rFonts w:ascii="Times New Roman" w:cs="Times New Roman" w:eastAsia="Times New Roman" w:hAnsi="Times New Roman"/>
          <w:sz w:val="24"/>
          <w:szCs w:val="24"/>
        </w:rPr>
        <w:t xml:space="preserve">The remainder of the paper is organized as follows. Section II reviews related literature. Section III develops the theoretical framework and hypotheses. Section IV describes data and variables. Section V presents the econometric methodology. Section VI reports empirical results. Section VII presents robustness checks. Section VIII examines mechanisms and heterogeneity. Section IX concludes.</w:t>
      </w:r>
    </w:p>
    <w:p>
      <w:pPr>
        <w:pStyle w:val="Heading1"/>
        <w:spacing w:after="180" w:before="360"/>
      </w:pPr>
      <w:r>
        <w:rPr>
          <w:rFonts w:ascii="Times New Roman" w:cs="Times New Roman" w:eastAsia="Times New Roman" w:hAnsi="Times New Roman"/>
          <w:b/>
          <w:bCs/>
          <w:sz w:val="28"/>
          <w:szCs w:val="28"/>
        </w:rPr>
        <w:t xml:space="preserve">II. Related Literature</w:t>
      </w:r>
    </w:p>
    <w:p>
      <w:pPr>
        <w:pStyle w:val="Heading2"/>
        <w:spacing w:after="120" w:before="240"/>
      </w:pPr>
      <w:r>
        <w:rPr>
          <w:rFonts w:ascii="Times New Roman" w:cs="Times New Roman" w:eastAsia="Times New Roman" w:hAnsi="Times New Roman"/>
          <w:b/>
          <w:bCs/>
          <w:sz w:val="26"/>
          <w:szCs w:val="26"/>
        </w:rPr>
        <w:t xml:space="preserve">A. Corporate Cash Holdings and the Precautionary Motive</w:t>
      </w:r>
    </w:p>
    <w:p>
      <w:pPr>
        <w:spacing w:after="120" w:before="120" w:line="276"/>
      </w:pPr>
      <w:r>
        <w:rPr>
          <w:rFonts w:ascii="Times New Roman" w:cs="Times New Roman" w:eastAsia="Times New Roman" w:hAnsi="Times New Roman"/>
          <w:i/>
          <w:iCs/>
          <w:color w:val="7F7F7F"/>
          <w:sz w:val="22"/>
          <w:szCs w:val="22"/>
        </w:rPr>
        <w:t xml:space="preserve">[CITE: Bates, Kahle, Stulz 2009 JF — secular rise in US corporate cash holdings]</w:t>
      </w:r>
      <w:r>
        <w:rPr>
          <w:rFonts w:ascii="Times New Roman" w:cs="Times New Roman" w:eastAsia="Times New Roman" w:hAnsi="Times New Roman"/>
          <w:sz w:val="24"/>
          <w:szCs w:val="24"/>
        </w:rPr>
        <w:t xml:space="preserve"> show that average US industrial cash ratios doubled between 1980 and 2006, with the increase concentrated among firms with high idiosyncratic risk and low external-capital access. </w:t>
      </w:r>
      <w:r>
        <w:rPr>
          <w:rFonts w:ascii="Times New Roman" w:cs="Times New Roman" w:eastAsia="Times New Roman" w:hAnsi="Times New Roman"/>
          <w:i/>
          <w:iCs/>
          <w:color w:val="7F7F7F"/>
          <w:sz w:val="22"/>
          <w:szCs w:val="22"/>
        </w:rPr>
        <w:t xml:space="preserve">[CITE: Opler, Pinkowitz, Stulz, Williamson 1999 JFE — determinants of cash]</w:t>
      </w:r>
      <w:r>
        <w:rPr>
          <w:rFonts w:ascii="Times New Roman" w:cs="Times New Roman" w:eastAsia="Times New Roman" w:hAnsi="Times New Roman"/>
          <w:sz w:val="24"/>
          <w:szCs w:val="24"/>
        </w:rPr>
        <w:t xml:space="preserve"> establish the core cross-sectional determinants: firms hold more cash when cash flows are more volatile, investment opportunities greater, and external-financing frictions more severe. The precautionary savings model of </w:t>
      </w:r>
      <w:r>
        <w:rPr>
          <w:rFonts w:ascii="Times New Roman" w:cs="Times New Roman" w:eastAsia="Times New Roman" w:hAnsi="Times New Roman"/>
          <w:i/>
          <w:iCs/>
          <w:color w:val="7F7F7F"/>
          <w:sz w:val="22"/>
          <w:szCs w:val="22"/>
        </w:rPr>
        <w:t xml:space="preserve">[CITE: Acharya, Almeida, Campello 2007 JFE — cash as hedge]</w:t>
      </w:r>
      <w:r>
        <w:rPr>
          <w:rFonts w:ascii="Times New Roman" w:cs="Times New Roman" w:eastAsia="Times New Roman" w:hAnsi="Times New Roman"/>
          <w:sz w:val="24"/>
          <w:szCs w:val="24"/>
        </w:rPr>
        <w:t xml:space="preserve"> formalizes this intuition: financially constrained firms optimally accumulate liquid assets to fund future investments when external capital is unavailable. </w:t>
      </w:r>
      <w:r>
        <w:rPr>
          <w:rFonts w:ascii="Times New Roman" w:cs="Times New Roman" w:eastAsia="Times New Roman" w:hAnsi="Times New Roman"/>
          <w:i/>
          <w:iCs/>
          <w:color w:val="7F7F7F"/>
          <w:sz w:val="22"/>
          <w:szCs w:val="22"/>
        </w:rPr>
        <w:t xml:space="preserve">[CITE: Riddick and Whited 2009 JF — theory of corporate liquidity]</w:t>
      </w:r>
      <w:r>
        <w:rPr>
          <w:rFonts w:ascii="Times New Roman" w:cs="Times New Roman" w:eastAsia="Times New Roman" w:hAnsi="Times New Roman"/>
          <w:sz w:val="24"/>
          <w:szCs w:val="24"/>
        </w:rPr>
        <w:t xml:space="preserve"> discipline the model by incorporating the return differential between liquid and illiquid assets. </w:t>
      </w:r>
      <w:r>
        <w:rPr>
          <w:rFonts w:ascii="Times New Roman" w:cs="Times New Roman" w:eastAsia="Times New Roman" w:hAnsi="Times New Roman"/>
          <w:i/>
          <w:iCs/>
          <w:color w:val="7F7F7F"/>
          <w:sz w:val="22"/>
          <w:szCs w:val="22"/>
        </w:rPr>
        <w:t xml:space="preserve">[CITE: McLean 2011 RFS — equity issuance and cash savings]</w:t>
      </w:r>
      <w:r>
        <w:rPr>
          <w:rFonts w:ascii="Times New Roman" w:cs="Times New Roman" w:eastAsia="Times New Roman" w:hAnsi="Times New Roman"/>
          <w:sz w:val="24"/>
          <w:szCs w:val="24"/>
        </w:rPr>
        <w:t xml:space="preserve"> finds that cash savings from equity issuance increase with financing frictions. A gap in this literature is its near-exclusive focus on technological and macroeconomic uncertainty; the role of climate-policy risk as a driver of precautionary cash has not been causally identified.</w:t>
      </w:r>
    </w:p>
    <w:p>
      <w:pPr>
        <w:pStyle w:val="Heading2"/>
        <w:spacing w:after="120" w:before="240"/>
      </w:pPr>
      <w:r>
        <w:rPr>
          <w:rFonts w:ascii="Times New Roman" w:cs="Times New Roman" w:eastAsia="Times New Roman" w:hAnsi="Times New Roman"/>
          <w:b/>
          <w:bCs/>
          <w:sz w:val="26"/>
          <w:szCs w:val="26"/>
        </w:rPr>
        <w:t xml:space="preserve">B. Climate Finance and Corporate Risk</w:t>
      </w:r>
    </w:p>
    <w:p>
      <w:pPr>
        <w:spacing w:after="120" w:before="120" w:line="276"/>
      </w:pPr>
      <w:r>
        <w:rPr>
          <w:rFonts w:ascii="Times New Roman" w:cs="Times New Roman" w:eastAsia="Times New Roman" w:hAnsi="Times New Roman"/>
          <w:i/>
          <w:iCs/>
          <w:color w:val="7F7F7F"/>
          <w:sz w:val="22"/>
          <w:szCs w:val="22"/>
        </w:rPr>
        <w:t xml:space="preserve">[CITE: Krueger, Sautner, Starks 2020 RFS — investor expectations of climate risks]</w:t>
      </w:r>
      <w:r>
        <w:rPr>
          <w:rFonts w:ascii="Times New Roman" w:cs="Times New Roman" w:eastAsia="Times New Roman" w:hAnsi="Times New Roman"/>
          <w:sz w:val="24"/>
          <w:szCs w:val="24"/>
        </w:rPr>
        <w:t xml:space="preserve"> show that institutional investors price both physical and transition climate risks in portfolio allocation. </w:t>
      </w:r>
      <w:r>
        <w:rPr>
          <w:rFonts w:ascii="Times New Roman" w:cs="Times New Roman" w:eastAsia="Times New Roman" w:hAnsi="Times New Roman"/>
          <w:i/>
          <w:iCs/>
          <w:color w:val="7F7F7F"/>
          <w:sz w:val="22"/>
          <w:szCs w:val="22"/>
        </w:rPr>
        <w:t xml:space="preserve">[CITE: Seltzer, Starks, Zhu 2022 — transition risk and bond spreads]</w:t>
      </w:r>
      <w:r>
        <w:rPr>
          <w:rFonts w:ascii="Times New Roman" w:cs="Times New Roman" w:eastAsia="Times New Roman" w:hAnsi="Times New Roman"/>
          <w:sz w:val="24"/>
          <w:szCs w:val="24"/>
        </w:rPr>
        <w:t xml:space="preserve"> find that firms in high-transition-risk industries face higher costs of debt capital. </w:t>
      </w:r>
      <w:r>
        <w:rPr>
          <w:rFonts w:ascii="Times New Roman" w:cs="Times New Roman" w:eastAsia="Times New Roman" w:hAnsi="Times New Roman"/>
          <w:i/>
          <w:iCs/>
          <w:color w:val="7F7F7F"/>
          <w:sz w:val="22"/>
          <w:szCs w:val="22"/>
        </w:rPr>
        <w:t xml:space="preserve">[CITE: Delis, De Greiff, Ongena 2019 — stranded assets and loan pricing]</w:t>
      </w:r>
      <w:r>
        <w:rPr>
          <w:rFonts w:ascii="Times New Roman" w:cs="Times New Roman" w:eastAsia="Times New Roman" w:hAnsi="Times New Roman"/>
          <w:sz w:val="24"/>
          <w:szCs w:val="24"/>
        </w:rPr>
        <w:t xml:space="preserve"> document that carbon-intensive firms face elevated loan spreads following climate-policy announcements. </w:t>
      </w:r>
      <w:r>
        <w:rPr>
          <w:rFonts w:ascii="Times New Roman" w:cs="Times New Roman" w:eastAsia="Times New Roman" w:hAnsi="Times New Roman"/>
          <w:i/>
          <w:iCs/>
          <w:color w:val="7F7F7F"/>
          <w:sz w:val="22"/>
          <w:szCs w:val="22"/>
        </w:rPr>
        <w:t xml:space="preserve">[CITE: Bolton and Kacperczyk 2021 JFE — carbon risk premium in equity markets]</w:t>
      </w:r>
      <w:r>
        <w:rPr>
          <w:rFonts w:ascii="Times New Roman" w:cs="Times New Roman" w:eastAsia="Times New Roman" w:hAnsi="Times New Roman"/>
          <w:sz w:val="24"/>
          <w:szCs w:val="24"/>
        </w:rPr>
        <w:t xml:space="preserve"> establish that carbon emissions command a positive risk premium in equity markets. </w:t>
      </w:r>
      <w:r>
        <w:rPr>
          <w:rFonts w:ascii="Times New Roman" w:cs="Times New Roman" w:eastAsia="Times New Roman" w:hAnsi="Times New Roman"/>
          <w:i/>
          <w:iCs/>
          <w:color w:val="7F7F7F"/>
          <w:sz w:val="22"/>
          <w:szCs w:val="22"/>
        </w:rPr>
        <w:t xml:space="preserve">[CITE: Ilhan, Sautner, Vilkov 2021 RFS — carbon tail risk in options]</w:t>
      </w:r>
      <w:r>
        <w:rPr>
          <w:rFonts w:ascii="Times New Roman" w:cs="Times New Roman" w:eastAsia="Times New Roman" w:hAnsi="Times New Roman"/>
          <w:sz w:val="24"/>
          <w:szCs w:val="24"/>
        </w:rPr>
        <w:t xml:space="preserve"> show that carbon risk is reflected in left-tail equity option prices. Missing from this literature is direct evidence on how firms' internal financial policies—specifically liquidity management—respond to transition-risk shocks.</w:t>
      </w:r>
    </w:p>
    <w:p>
      <w:pPr>
        <w:pStyle w:val="Heading2"/>
        <w:spacing w:after="120" w:before="240"/>
      </w:pPr>
      <w:r>
        <w:rPr>
          <w:rFonts w:ascii="Times New Roman" w:cs="Times New Roman" w:eastAsia="Times New Roman" w:hAnsi="Times New Roman"/>
          <w:b/>
          <w:bCs/>
          <w:sz w:val="26"/>
          <w:szCs w:val="26"/>
        </w:rPr>
        <w:t xml:space="preserve">C. Investment Under Policy Uncertainty</w:t>
      </w:r>
    </w:p>
    <w:p>
      <w:pPr>
        <w:spacing w:after="120" w:before="120" w:line="276"/>
      </w:pPr>
      <w:r>
        <w:rPr>
          <w:rFonts w:ascii="Times New Roman" w:cs="Times New Roman" w:eastAsia="Times New Roman" w:hAnsi="Times New Roman"/>
          <w:i/>
          <w:iCs/>
          <w:color w:val="7F7F7F"/>
          <w:sz w:val="22"/>
          <w:szCs w:val="22"/>
        </w:rPr>
        <w:t xml:space="preserve">[CITE: Bloom 2009 AER — impact of uncertainty shocks on investment]</w:t>
      </w:r>
      <w:r>
        <w:rPr>
          <w:rFonts w:ascii="Times New Roman" w:cs="Times New Roman" w:eastAsia="Times New Roman" w:hAnsi="Times New Roman"/>
          <w:sz w:val="24"/>
          <w:szCs w:val="24"/>
        </w:rPr>
        <w:t xml:space="preserve"> shows that uncertainty spikes generate sharp temporary contractions in investment, followed by rebounds. </w:t>
      </w:r>
      <w:r>
        <w:rPr>
          <w:rFonts w:ascii="Times New Roman" w:cs="Times New Roman" w:eastAsia="Times New Roman" w:hAnsi="Times New Roman"/>
          <w:i/>
          <w:iCs/>
          <w:color w:val="7F7F7F"/>
          <w:sz w:val="22"/>
          <w:szCs w:val="22"/>
        </w:rPr>
        <w:t xml:space="preserve">[CITE: Baker, Bloom, Davis 2016 QJE — measuring economic policy uncertainty]</w:t>
      </w:r>
      <w:r>
        <w:rPr>
          <w:rFonts w:ascii="Times New Roman" w:cs="Times New Roman" w:eastAsia="Times New Roman" w:hAnsi="Times New Roman"/>
          <w:sz w:val="24"/>
          <w:szCs w:val="24"/>
        </w:rPr>
        <w:t xml:space="preserve"> document that policy uncertainty depresses investment and employment. </w:t>
      </w:r>
      <w:r>
        <w:rPr>
          <w:rFonts w:ascii="Times New Roman" w:cs="Times New Roman" w:eastAsia="Times New Roman" w:hAnsi="Times New Roman"/>
          <w:i/>
          <w:iCs/>
          <w:color w:val="7F7F7F"/>
          <w:sz w:val="22"/>
          <w:szCs w:val="22"/>
        </w:rPr>
        <w:t xml:space="preserve">[CITE: Pástor and Veronesi 2012 JF — uncertainty about government policy and stock prices]</w:t>
      </w:r>
      <w:r>
        <w:rPr>
          <w:rFonts w:ascii="Times New Roman" w:cs="Times New Roman" w:eastAsia="Times New Roman" w:hAnsi="Times New Roman"/>
          <w:sz w:val="24"/>
          <w:szCs w:val="24"/>
        </w:rPr>
        <w:t xml:space="preserve"> show that policy changes command a risk premium and that implementation uncertainty increases equity volatility. </w:t>
      </w:r>
      <w:r>
        <w:rPr>
          <w:rFonts w:ascii="Times New Roman" w:cs="Times New Roman" w:eastAsia="Times New Roman" w:hAnsi="Times New Roman"/>
          <w:i/>
          <w:iCs/>
          <w:color w:val="7F7F7F"/>
          <w:sz w:val="22"/>
          <w:szCs w:val="22"/>
        </w:rPr>
        <w:t xml:space="preserve">[CITE: Fried 2022 — innovation, business cycles, and carbon policy]</w:t>
      </w:r>
      <w:r>
        <w:rPr>
          <w:rFonts w:ascii="Times New Roman" w:cs="Times New Roman" w:eastAsia="Times New Roman" w:hAnsi="Times New Roman"/>
          <w:sz w:val="24"/>
          <w:szCs w:val="24"/>
        </w:rPr>
        <w:t xml:space="preserve"> demonstrates that climate policy uncertainty distorts clean-technology adoption timing. We contribute to this strand by showing that firms respond to policy uncertainty not only by cutting investment but by building cash buffers.</w:t>
      </w:r>
    </w:p>
    <w:p>
      <w:pPr>
        <w:pStyle w:val="Heading2"/>
        <w:spacing w:after="120" w:before="240"/>
      </w:pPr>
      <w:r>
        <w:rPr>
          <w:rFonts w:ascii="Times New Roman" w:cs="Times New Roman" w:eastAsia="Times New Roman" w:hAnsi="Times New Roman"/>
          <w:b/>
          <w:bCs/>
          <w:sz w:val="26"/>
          <w:szCs w:val="26"/>
        </w:rPr>
        <w:t xml:space="preserve">D. ESG, Governance, and Financial Policy</w:t>
      </w:r>
    </w:p>
    <w:p>
      <w:pPr>
        <w:spacing w:after="120" w:before="120" w:line="276"/>
      </w:pPr>
      <w:r>
        <w:rPr>
          <w:rFonts w:ascii="Times New Roman" w:cs="Times New Roman" w:eastAsia="Times New Roman" w:hAnsi="Times New Roman"/>
          <w:i/>
          <w:iCs/>
          <w:color w:val="7F7F7F"/>
          <w:sz w:val="22"/>
          <w:szCs w:val="22"/>
        </w:rPr>
        <w:t xml:space="preserve">[CITE: Lins, Servaes, Tamayo 2017 JF — social capital, trust, and corporate performance during the financial crisis]</w:t>
      </w:r>
      <w:r>
        <w:rPr>
          <w:rFonts w:ascii="Times New Roman" w:cs="Times New Roman" w:eastAsia="Times New Roman" w:hAnsi="Times New Roman"/>
          <w:sz w:val="24"/>
          <w:szCs w:val="24"/>
        </w:rPr>
        <w:t xml:space="preserve"> show that high-CSR firms outperform during downturns, suggesting that ESG engagement reduces financing frictions. </w:t>
      </w:r>
      <w:r>
        <w:rPr>
          <w:rFonts w:ascii="Times New Roman" w:cs="Times New Roman" w:eastAsia="Times New Roman" w:hAnsi="Times New Roman"/>
          <w:i/>
          <w:iCs/>
          <w:color w:val="7F7F7F"/>
          <w:sz w:val="22"/>
          <w:szCs w:val="22"/>
        </w:rPr>
        <w:t xml:space="preserve">[CITE: Berg, Kolbel, Rigobon 2022 RFS — aggregate confusion in ESG ratings]</w:t>
      </w:r>
      <w:r>
        <w:rPr>
          <w:rFonts w:ascii="Times New Roman" w:cs="Times New Roman" w:eastAsia="Times New Roman" w:hAnsi="Times New Roman"/>
          <w:sz w:val="24"/>
          <w:szCs w:val="24"/>
        </w:rPr>
        <w:t xml:space="preserve"> document substantial cross-provider ESG rating divergence, creating measurement challenges. </w:t>
      </w:r>
      <w:r>
        <w:rPr>
          <w:rFonts w:ascii="Times New Roman" w:cs="Times New Roman" w:eastAsia="Times New Roman" w:hAnsi="Times New Roman"/>
          <w:i/>
          <w:iCs/>
          <w:color w:val="7F7F7F"/>
          <w:sz w:val="22"/>
          <w:szCs w:val="22"/>
        </w:rPr>
        <w:t xml:space="preserve">[CITE: Dimson, Karakas, Li 2015 JF — active ownership and ESG engagement]</w:t>
      </w:r>
      <w:r>
        <w:rPr>
          <w:rFonts w:ascii="Times New Roman" w:cs="Times New Roman" w:eastAsia="Times New Roman" w:hAnsi="Times New Roman"/>
          <w:sz w:val="24"/>
          <w:szCs w:val="24"/>
        </w:rPr>
        <w:t xml:space="preserve"> provide evidence that institutional investor engagement on environmental issues improves firm performance. The implication of our results for this literature is that ESG engagement may reduce precautionary cash accumulation by lowering stranded-asset and policy-uncertainty risk—a channel unexplored in prior work.</w:t>
      </w:r>
    </w:p>
    <w:p>
      <w:pPr>
        <w:pStyle w:val="Heading1"/>
        <w:spacing w:after="180" w:before="360"/>
      </w:pPr>
      <w:r>
        <w:rPr>
          <w:rFonts w:ascii="Times New Roman" w:cs="Times New Roman" w:eastAsia="Times New Roman" w:hAnsi="Times New Roman"/>
          <w:b/>
          <w:bCs/>
          <w:sz w:val="28"/>
          <w:szCs w:val="28"/>
        </w:rPr>
        <w:t xml:space="preserve">III. Theory and Hypotheses</w:t>
      </w:r>
    </w:p>
    <w:p>
      <w:pPr>
        <w:spacing w:after="120" w:before="120" w:line="276"/>
      </w:pPr>
      <w:r>
        <w:rPr>
          <w:rFonts w:ascii="Times New Roman" w:cs="Times New Roman" w:eastAsia="Times New Roman" w:hAnsi="Times New Roman"/>
          <w:sz w:val="24"/>
          <w:szCs w:val="24"/>
        </w:rPr>
        <w:t xml:space="preserve">We model corporate cash policy as the outcome of a firm's optimization problem under policy uncertainty. A risk-neutral firm with stochastic cash flows faces an external financing cost increasing in leverage and decreasing in liquid-asset holdings. When climate-transition policy tightens, two forces raise the demand for cash simultaneously. First, expected operating cash flows become more volatile for high-exposure firms as input costs, regulatory charges, and stranding risk increase. Second, the expected cost of external financing rises as lenders incorporate stranded-asset risk into credit pricing. Together, these forces raise the shadow value of internal liquidity.</w:t>
      </w:r>
    </w:p>
    <w:p>
      <w:pPr>
        <w:spacing w:after="120" w:before="120" w:line="276"/>
      </w:pPr>
      <w:r>
        <w:rPr>
          <w:rFonts w:ascii="Times New Roman" w:cs="Times New Roman" w:eastAsia="Times New Roman" w:hAnsi="Times New Roman"/>
          <w:sz w:val="24"/>
          <w:szCs w:val="24"/>
        </w:rPr>
        <w:t xml:space="preserve">Formally, let the firm's value function be V(k, c; θ) where k is capital, c is cash, and θ indexes the stringency of climate-transition policy. A binding policy shock ∂θ &gt; 0 raises cash-flow variance σ²(θ) and external financing cost φ(θ) simultaneously. The optimal cash ratio satisfies the first-order condition equalizing the marginal value of cash—as a buffer against financing constraints—with its opportunity cost—the foregone return on productive capital. A positive policy shock shifts the marginal value upward, implying ∂c*/∂θ &gt; 0 for constrained firms. Three empirical predictions follow.</w:t>
      </w:r>
    </w:p>
    <w:p>
      <w:pPr>
        <w:spacing w:after="120" w:before="120" w:line="276"/>
      </w:pPr>
      <w:r>
        <w:rPr>
          <w:rFonts w:ascii="Times New Roman" w:cs="Times New Roman" w:eastAsia="Times New Roman" w:hAnsi="Times New Roman"/>
          <w:b/>
          <w:bCs/>
          <w:sz w:val="24"/>
          <w:szCs w:val="24"/>
        </w:rPr>
        <w:t xml:space="preserve">Hypothesis 1 (Transition-Risk Cash Premium): </w:t>
      </w:r>
      <w:r>
        <w:rPr>
          <w:rFonts w:ascii="Times New Roman" w:cs="Times New Roman" w:eastAsia="Times New Roman" w:hAnsi="Times New Roman"/>
          <w:sz w:val="24"/>
          <w:szCs w:val="24"/>
        </w:rPr>
        <w:t xml:space="preserve">Firms with higher climate-transition-risk exposure hold more cash after climate-policy tightening. The coefficient β on the interaction of policy shock intensity and firm-level transition exposure in equation (1) is positive and statistically significant.</w:t>
      </w:r>
    </w:p>
    <w:p>
      <w:pPr>
        <w:spacing w:after="120" w:before="120" w:line="276"/>
      </w:pPr>
      <w:r>
        <w:rPr>
          <w:rFonts w:ascii="Times New Roman" w:cs="Times New Roman" w:eastAsia="Times New Roman" w:hAnsi="Times New Roman"/>
          <w:b/>
          <w:bCs/>
          <w:sz w:val="24"/>
          <w:szCs w:val="24"/>
        </w:rPr>
        <w:t xml:space="preserve">Hypothesis 2 (Financing Friction Amplification): </w:t>
      </w:r>
      <w:r>
        <w:rPr>
          <w:rFonts w:ascii="Times New Roman" w:cs="Times New Roman" w:eastAsia="Times New Roman" w:hAnsi="Times New Roman"/>
          <w:sz w:val="24"/>
          <w:szCs w:val="24"/>
        </w:rPr>
        <w:t xml:space="preserve">The transition-risk cash premium is larger for firms with high external-financing dependence, lower credit-market access, and greater investment irreversibility. Triple interactions with the Hadlock-Pierce SA index, Whited-Wu index, and asset tangibility identify this channel.</w:t>
      </w:r>
    </w:p>
    <w:p>
      <w:pPr>
        <w:spacing w:after="120" w:before="120" w:line="276"/>
      </w:pPr>
      <w:r>
        <w:rPr>
          <w:rFonts w:ascii="Times New Roman" w:cs="Times New Roman" w:eastAsia="Times New Roman" w:hAnsi="Times New Roman"/>
          <w:b/>
          <w:bCs/>
          <w:sz w:val="24"/>
          <w:szCs w:val="24"/>
        </w:rPr>
        <w:t xml:space="preserve">Hypothesis 3 (Precautionary Identification): </w:t>
      </w:r>
      <w:r>
        <w:rPr>
          <w:rFonts w:ascii="Times New Roman" w:cs="Times New Roman" w:eastAsia="Times New Roman" w:hAnsi="Times New Roman"/>
          <w:sz w:val="24"/>
          <w:szCs w:val="24"/>
        </w:rPr>
        <w:t xml:space="preserve">The increase in cash is driven by precautionary motives rather than reduced investment opportunities or profitability changes. Capital expenditure, Tobin's Q, and EBITDA/TA do not decline differentially for high-exposure firms post-shock; instead, net debt and equity issuance rise, confirming active liquidity building.</w:t>
      </w:r>
    </w:p>
    <w:p>
      <w:pPr>
        <w:pStyle w:val="Heading1"/>
        <w:spacing w:after="180" w:before="360"/>
      </w:pPr>
      <w:r>
        <w:rPr>
          <w:rFonts w:ascii="Times New Roman" w:cs="Times New Roman" w:eastAsia="Times New Roman" w:hAnsi="Times New Roman"/>
          <w:b/>
          <w:bCs/>
          <w:sz w:val="28"/>
          <w:szCs w:val="28"/>
        </w:rPr>
        <w:t xml:space="preserve">IV. Data and Variables</w:t>
      </w:r>
    </w:p>
    <w:p>
      <w:pPr>
        <w:pStyle w:val="Heading2"/>
        <w:spacing w:after="120" w:before="240"/>
      </w:pPr>
      <w:r>
        <w:rPr>
          <w:rFonts w:ascii="Times New Roman" w:cs="Times New Roman" w:eastAsia="Times New Roman" w:hAnsi="Times New Roman"/>
          <w:b/>
          <w:bCs/>
          <w:sz w:val="26"/>
          <w:szCs w:val="26"/>
        </w:rPr>
        <w:t xml:space="preserve">A. Sample Construction</w:t>
      </w:r>
    </w:p>
    <w:p>
      <w:pPr>
        <w:spacing w:after="120" w:before="120" w:line="276"/>
      </w:pPr>
      <w:r>
        <w:rPr>
          <w:rFonts w:ascii="Times New Roman" w:cs="Times New Roman" w:eastAsia="Times New Roman" w:hAnsi="Times New Roman"/>
          <w:sz w:val="24"/>
          <w:szCs w:val="24"/>
        </w:rPr>
        <w:t xml:space="preserve">The baseline sample covers publicly listed non-financial firms across 62 countries from 2015 to 2025. Financial firms (SIC 6000–6999) and utilities (SIC 4900–4999) are excluded. We require non-missing values for total assets, cash and equivalents, operating income, and at least one transition-risk exposure measure. The resulting unbalanced panel comprises approximately 500,000 firm-year observations from Compustat Global and Worldscope. All financial variables are deflated to 2015 USD using IMF CPI data. Continuous variables are winsorized at the 1st and 99th percentiles.</w:t>
      </w:r>
    </w:p>
    <w:p>
      <w:pPr>
        <w:pStyle w:val="Heading2"/>
        <w:spacing w:after="120" w:before="240"/>
      </w:pPr>
      <w:r>
        <w:rPr>
          <w:rFonts w:ascii="Times New Roman" w:cs="Times New Roman" w:eastAsia="Times New Roman" w:hAnsi="Times New Roman"/>
          <w:b/>
          <w:bCs/>
          <w:sz w:val="26"/>
          <w:szCs w:val="26"/>
        </w:rPr>
        <w:t xml:space="preserve">B. Variable Definitions</w:t>
      </w:r>
    </w:p>
    <w:p>
      <w:pPr>
        <w:spacing w:after="120" w:before="120" w:line="276"/>
      </w:pPr>
      <w:r>
        <w:rPr>
          <w:rFonts w:ascii="Times New Roman" w:cs="Times New Roman" w:eastAsia="Times New Roman" w:hAnsi="Times New Roman"/>
          <w:b/>
          <w:bCs/>
          <w:sz w:val="24"/>
          <w:szCs w:val="24"/>
        </w:rPr>
        <w:t xml:space="preserve">Cash Holdings (CASH/TA): </w:t>
      </w:r>
      <w:r>
        <w:rPr>
          <w:rFonts w:ascii="Times New Roman" w:cs="Times New Roman" w:eastAsia="Times New Roman" w:hAnsi="Times New Roman"/>
          <w:sz w:val="24"/>
          <w:szCs w:val="24"/>
        </w:rPr>
        <w:t xml:space="preserve">Cash and short-term investments / total assets. Primary outcome variable.</w:t>
      </w:r>
    </w:p>
    <w:p>
      <w:pPr>
        <w:spacing w:after="120" w:before="120" w:line="276"/>
      </w:pPr>
      <w:r>
        <w:rPr>
          <w:rFonts w:ascii="Times New Roman" w:cs="Times New Roman" w:eastAsia="Times New Roman" w:hAnsi="Times New Roman"/>
          <w:b/>
          <w:bCs/>
          <w:sz w:val="24"/>
          <w:szCs w:val="24"/>
        </w:rPr>
        <w:t xml:space="preserve">Net Cash (NETCASH): </w:t>
      </w:r>
      <w:r>
        <w:rPr>
          <w:rFonts w:ascii="Times New Roman" w:cs="Times New Roman" w:eastAsia="Times New Roman" w:hAnsi="Times New Roman"/>
          <w:sz w:val="24"/>
          <w:szCs w:val="24"/>
        </w:rPr>
        <w:t xml:space="preserve">(Cash − Total Debt) / Total Assets.</w:t>
      </w:r>
    </w:p>
    <w:p>
      <w:pPr>
        <w:spacing w:after="120" w:before="120" w:line="276"/>
      </w:pPr>
      <w:r>
        <w:rPr>
          <w:rFonts w:ascii="Times New Roman" w:cs="Times New Roman" w:eastAsia="Times New Roman" w:hAnsi="Times New Roman"/>
          <w:b/>
          <w:bCs/>
          <w:sz w:val="24"/>
          <w:szCs w:val="24"/>
        </w:rPr>
        <w:t xml:space="preserve">Excess Cash (EXCASH): </w:t>
      </w:r>
      <w:r>
        <w:rPr>
          <w:rFonts w:ascii="Times New Roman" w:cs="Times New Roman" w:eastAsia="Times New Roman" w:hAnsi="Times New Roman"/>
          <w:sz w:val="24"/>
          <w:szCs w:val="24"/>
        </w:rPr>
        <w:t xml:space="preserve">Residual from annual cross-sectional regression of CASH/TA on size, leverage, profitability, market-to-book, capex, R&amp;D, cash-flow volatility, and dividend payout.</w:t>
      </w:r>
    </w:p>
    <w:p>
      <w:pPr>
        <w:spacing w:after="120" w:before="120" w:line="276"/>
      </w:pPr>
      <w:r>
        <w:rPr>
          <w:rFonts w:ascii="Times New Roman" w:cs="Times New Roman" w:eastAsia="Times New Roman" w:hAnsi="Times New Roman"/>
          <w:b/>
          <w:bCs/>
          <w:sz w:val="24"/>
          <w:szCs w:val="24"/>
        </w:rPr>
        <w:t xml:space="preserve">Transition Risk Score (TR_SCORE): </w:t>
      </w:r>
      <w:r>
        <w:rPr>
          <w:rFonts w:ascii="Times New Roman" w:cs="Times New Roman" w:eastAsia="Times New Roman" w:hAnsi="Times New Roman"/>
          <w:sz w:val="24"/>
          <w:szCs w:val="24"/>
        </w:rPr>
        <w:t xml:space="preserve">MSCI ESG Climate Transition Risk score (0–100). Higher = greater regulatory exposure and stranded-asset risk.</w:t>
      </w:r>
    </w:p>
    <w:p>
      <w:pPr>
        <w:spacing w:after="120" w:before="120" w:line="276"/>
      </w:pPr>
      <w:r>
        <w:rPr>
          <w:rFonts w:ascii="Times New Roman" w:cs="Times New Roman" w:eastAsia="Times New Roman" w:hAnsi="Times New Roman"/>
          <w:b/>
          <w:bCs/>
          <w:sz w:val="24"/>
          <w:szCs w:val="24"/>
        </w:rPr>
        <w:t xml:space="preserve">Carbon Intensity (CARB_INT): </w:t>
      </w:r>
      <w:r>
        <w:rPr>
          <w:rFonts w:ascii="Times New Roman" w:cs="Times New Roman" w:eastAsia="Times New Roman" w:hAnsi="Times New Roman"/>
          <w:sz w:val="24"/>
          <w:szCs w:val="24"/>
        </w:rPr>
        <w:t xml:space="preserve">Log(Scope 1 + Scope 2 GHG emissions per USD million revenue), from CDP and MSCI estimates.</w:t>
      </w:r>
    </w:p>
    <w:p>
      <w:pPr>
        <w:spacing w:after="120" w:before="120" w:line="276"/>
      </w:pPr>
      <w:r>
        <w:rPr>
          <w:rFonts w:ascii="Times New Roman" w:cs="Times New Roman" w:eastAsia="Times New Roman" w:hAnsi="Times New Roman"/>
          <w:b/>
          <w:bCs/>
          <w:sz w:val="24"/>
          <w:szCs w:val="24"/>
        </w:rPr>
        <w:t xml:space="preserve">Policy Shock Index (PSHOCK_ct): </w:t>
      </w:r>
      <w:r>
        <w:rPr>
          <w:rFonts w:ascii="Times New Roman" w:cs="Times New Roman" w:eastAsia="Times New Roman" w:hAnsi="Times New Roman"/>
          <w:sz w:val="24"/>
          <w:szCs w:val="24"/>
        </w:rPr>
        <w:t xml:space="preserve">Country-year index of binding climate-regulation stringency (0–1), constructed from Climate Change Laws of the World (CCLW) database and NGFS Policy Scenarios, covering carbon taxes, ETSs, renewable mandates, and fossil-fuel phase-outs.</w:t>
      </w:r>
    </w:p>
    <w:p>
      <w:pPr>
        <w:pStyle w:val="Heading2"/>
        <w:spacing w:after="120" w:before="240"/>
      </w:pPr>
      <w:r>
        <w:rPr>
          <w:rFonts w:ascii="Times New Roman" w:cs="Times New Roman" w:eastAsia="Times New Roman" w:hAnsi="Times New Roman"/>
          <w:b/>
          <w:bCs/>
          <w:sz w:val="26"/>
          <w:szCs w:val="26"/>
        </w:rPr>
        <w:t xml:space="preserve">C. Summary Statistics</w:t>
      </w:r>
    </w:p>
    <w:p>
      <w:pPr>
        <w:spacing w:after="60" w:before="240"/>
        <w:jc w:val="center"/>
      </w:pPr>
      <w:r>
        <w:rPr>
          <w:rFonts w:ascii="Times New Roman" w:cs="Times New Roman" w:eastAsia="Times New Roman" w:hAnsi="Times New Roman"/>
          <w:b/>
          <w:bCs/>
          <w:sz w:val="24"/>
          <w:szCs w:val="24"/>
        </w:rPr>
        <w:t xml:space="preserve">Table 1: Summary Statistics — Full Sample and by Transition Risk Exposure</w:t>
      </w:r>
    </w:p>
    <w:p>
      <w:pPr>
        <w:spacing w:after="80" w:before="60"/>
        <w:jc w:val="center"/>
      </w:pPr>
      <w:r>
        <w:rPr>
          <w:rFonts w:ascii="Times New Roman" w:cs="Times New Roman" w:eastAsia="Times New Roman" w:hAnsi="Times New Roman"/>
          <w:i/>
          <w:iCs/>
          <w:sz w:val="20"/>
          <w:szCs w:val="20"/>
        </w:rPr>
        <w:t xml:space="preserve">Panel A: Full Sample (N ≈ 500,000 firm-year observations, 62 countries, 2015–2025). All † values are illustrative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900"/>
        <w:gridCol w:w="900"/>
        <w:gridCol w:w="900"/>
        <w:gridCol w:w="900"/>
        <w:gridCol w:w="900"/>
        <w:gridCol w:w="900"/>
        <w:gridCol w:w="1240"/>
      </w:tblGrid>
      <w:tr>
        <w:tc>
          <w:tcPr>
            <w:tcW w:type="dxa" w:w="19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bCs/>
                <w:sz w:val="24"/>
                <w:szCs w:val="24"/>
              </w:rPr>
              <w:t xml:space="preserve">Variable</w:t>
            </w:r>
          </w:p>
        </w:tc>
        <w:tc>
          <w:tcPr>
            <w:tcW w:type="dxa" w:w="82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N</w:t>
            </w:r>
          </w:p>
        </w:tc>
        <w:tc>
          <w:tcPr>
            <w:tcW w:type="dxa" w:w="9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Mean</w:t>
            </w:r>
          </w:p>
        </w:tc>
        <w:tc>
          <w:tcPr>
            <w:tcW w:type="dxa" w:w="9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SD</w:t>
            </w:r>
          </w:p>
        </w:tc>
        <w:tc>
          <w:tcPr>
            <w:tcW w:type="dxa" w:w="9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p25</w:t>
            </w:r>
          </w:p>
        </w:tc>
        <w:tc>
          <w:tcPr>
            <w:tcW w:type="dxa" w:w="9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p50</w:t>
            </w:r>
          </w:p>
        </w:tc>
        <w:tc>
          <w:tcPr>
            <w:tcW w:type="dxa" w:w="9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p75</w:t>
            </w:r>
          </w:p>
        </w:tc>
        <w:tc>
          <w:tcPr>
            <w:tcW w:type="dxa" w:w="9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High-TR Mean</w:t>
            </w:r>
          </w:p>
        </w:tc>
        <w:tc>
          <w:tcPr>
            <w:tcW w:type="dxa" w:w="124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Source</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CASH/TA</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0.168††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0.174††</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0.107††</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0.228††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0.214††</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Compustat/WS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NETCASH</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498K††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−0.051††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0.221††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−0.181††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0.095††</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−0.018††</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Derived</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EXCASH</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487K††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0.000††</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0.112††</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0.063††</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0.038††</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Derived</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ΔCASH</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455K††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0.003††</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0.066††</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−0.027††</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0.030††</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Derived</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TR_SCORE</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322K††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42.3††</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18.6††</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28.4††</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41.7††</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56.1††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64.8††</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MSCI Climate</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CARB_INT (log)</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281K††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3.42††</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1.89††</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2.10††</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3.38††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4.71††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5.14††</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CDP/MSCI</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FF_DEP</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0.062††</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0.178††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0.000††</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0.000††</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0.131††</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GICS/WS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PSHOCK_ct</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0.234††</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0.198††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0.052††</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0.186††</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0.384††</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0.271††</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CCLW/NGFS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Size (log TA)</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12.84††</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2.31††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11.21††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12.87††</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14.47††</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13.12††</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Compustat/WS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Leverage</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0.231††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0.196††</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0.065††</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0.196††</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0.351††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0.264††</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Compustat/WS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Profitability</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0.097††</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0.108††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0.093††</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0.148††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0.089††</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Compustat/WS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Market-to-Book</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1.641††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1.182††</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0.881††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1.268††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2.014††</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1.483††</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Compustat/WS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Capex/Assets</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0.051††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0.014††</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0.037††</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0.072††</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0.067††</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Compustat/WS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R&amp;D/Assets</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0.062††</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0.000††</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0.000††</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0.033††</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0.018††</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Compustat/WS</w:t>
            </w:r>
          </w:p>
        </w:tc>
      </w:tr>
      <w:tr>
        <w:tc>
          <w:tcPr>
            <w:tcW w:type="dxa" w:w="1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CF Volatility</w:t>
            </w:r>
          </w:p>
        </w:tc>
        <w:tc>
          <w:tcPr>
            <w:tcW w:type="dxa" w:w="8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493K††</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0.038††</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0.042††</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0.011††</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0.024††</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0.049††</w:t>
            </w:r>
          </w:p>
        </w:tc>
        <w:tc>
          <w:tcPr>
            <w:tcW w:type="dxa" w:w="9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0.041††</w:t>
            </w:r>
          </w:p>
        </w:tc>
        <w:tc>
          <w:tcPr>
            <w:tcW w:type="dxa" w:w="12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Derived</w:t>
            </w:r>
          </w:p>
        </w:tc>
      </w:tr>
      <w:tr>
        <w:tc>
          <w:tcPr>
            <w:tcW w:type="dxa" w:w="19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Tangibility</w:t>
            </w:r>
          </w:p>
        </w:tc>
        <w:tc>
          <w:tcPr>
            <w:tcW w:type="dxa" w:w="82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0.284††</w:t>
            </w:r>
          </w:p>
        </w:tc>
        <w:tc>
          <w:tcPr>
            <w:tcW w:type="dxa" w:w="9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0.218††</w:t>
            </w:r>
          </w:p>
        </w:tc>
        <w:tc>
          <w:tcPr>
            <w:tcW w:type="dxa" w:w="9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0.099††</w:t>
            </w:r>
          </w:p>
        </w:tc>
        <w:tc>
          <w:tcPr>
            <w:tcW w:type="dxa" w:w="9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0.232††</w:t>
            </w:r>
          </w:p>
        </w:tc>
        <w:tc>
          <w:tcPr>
            <w:tcW w:type="dxa" w:w="9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0.437††</w:t>
            </w:r>
          </w:p>
        </w:tc>
        <w:tc>
          <w:tcPr>
            <w:tcW w:type="dxa" w:w="9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0.351††</w:t>
            </w:r>
          </w:p>
        </w:tc>
        <w:tc>
          <w:tcPr>
            <w:tcW w:type="dxa" w:w="124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Compustat/WS</w:t>
            </w:r>
          </w:p>
        </w:tc>
      </w:tr>
    </w:tbl>
    <w:p>
      <w:pPr>
        <w:spacing w:after="120" w:before="120" w:line="276"/>
      </w:pPr>
      <w:r>
        <w:rPr>
          <w:rFonts w:ascii="Times New Roman" w:cs="Times New Roman" w:eastAsia="Times New Roman" w:hAnsi="Times New Roman"/>
          <w:i/>
          <w:iCs/>
          <w:sz w:val="20"/>
          <w:szCs w:val="20"/>
        </w:rPr>
        <w:t xml:space="preserve">Note: High-TR Mean = subsample mean for firms with TR_SCORE above the annual 50th percentile. All continuous variables winsorized at 1st/99th percentiles. † Illustrative placeholders — replace with actual summary statistics before submission.</w:t>
      </w:r>
    </w:p>
    <w:p>
      <w:pPr>
        <w:spacing w:after="0" w:before="180"/>
      </w:pPr>
    </w:p>
    <w:p>
      <w:pPr>
        <w:spacing w:after="60" w:before="180"/>
        <w:jc w:val="center"/>
      </w:pPr>
      <w:r>
        <w:rPr>
          <w:rFonts w:ascii="Times New Roman" w:cs="Times New Roman" w:eastAsia="Times New Roman" w:hAnsi="Times New Roman"/>
          <w:b/>
          <w:bCs/>
          <w:sz w:val="24"/>
          <w:szCs w:val="24"/>
        </w:rPr>
        <w:t xml:space="preserve">Table 1B: Correlation Matrix of Main Variables</w:t>
      </w:r>
    </w:p>
    <w:p>
      <w:pPr>
        <w:spacing w:after="80" w:before="60"/>
        <w:jc w:val="center"/>
      </w:pPr>
      <w:r>
        <w:rPr>
          <w:rFonts w:ascii="Times New Roman" w:cs="Times New Roman" w:eastAsia="Times New Roman" w:hAnsi="Times New Roman"/>
          <w:i/>
          <w:iCs/>
          <w:sz w:val="20"/>
          <w:szCs w:val="20"/>
        </w:rPr>
        <w:t xml:space="preserve">† Illustrative placeholder correlations. *** p&lt;0.01, ** p&lt;0.05, * p&lt;0.10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1100"/>
        <w:gridCol w:w="1100"/>
        <w:gridCol w:w="1100"/>
        <w:gridCol w:w="1100"/>
        <w:gridCol w:w="1100"/>
      </w:tblGrid>
      <w:tr>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
            </w:r>
          </w:p>
        </w:tc>
        <w:tc>
          <w:tcPr>
            <w:tcW w:type="dxa" w:w="11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CASH/TA</w:t>
            </w:r>
          </w:p>
        </w:tc>
        <w:tc>
          <w:tcPr>
            <w:tcW w:type="dxa" w:w="11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TR_SCORE</w:t>
            </w:r>
          </w:p>
        </w:tc>
        <w:tc>
          <w:tcPr>
            <w:tcW w:type="dxa" w:w="11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CARB_INT</w:t>
            </w:r>
          </w:p>
        </w:tc>
        <w:tc>
          <w:tcPr>
            <w:tcW w:type="dxa" w:w="11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PSHOCK</w:t>
            </w:r>
          </w:p>
        </w:tc>
        <w:tc>
          <w:tcPr>
            <w:tcW w:type="dxa" w:w="11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Leverage</w:t>
            </w:r>
          </w:p>
        </w:tc>
        <w:tc>
          <w:tcPr>
            <w:tcW w:type="dxa" w:w="11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Size</w:t>
            </w:r>
          </w:p>
        </w:tc>
        <w:tc>
          <w:tcPr>
            <w:tcW w:type="dxa" w:w="11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Profitability</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i/>
                <w:iCs/>
                <w:color w:val="1F3864"/>
                <w:sz w:val="24"/>
                <w:szCs w:val="24"/>
              </w:rPr>
              <w:t xml:space="preserve">CASH/TA†</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1.000†</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i/>
                <w:iCs/>
                <w:color w:val="1F3864"/>
                <w:sz w:val="24"/>
                <w:szCs w:val="24"/>
              </w:rPr>
              <w:t xml:space="preserve">TR_SCORE†</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0.183†***†</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1.000†</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i/>
                <w:iCs/>
                <w:color w:val="1F3864"/>
                <w:sz w:val="24"/>
                <w:szCs w:val="24"/>
              </w:rPr>
              <w:t xml:space="preserve">CARB_INT†</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0.094†***†</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0.617†***†</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1.000†</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i/>
                <w:iCs/>
                <w:color w:val="1F3864"/>
                <w:sz w:val="24"/>
                <w:szCs w:val="24"/>
              </w:rPr>
              <w:t xml:space="preserve">PSHOCK†</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0.071†***†</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0.038†**†</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0.041†**†</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1.000†</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i/>
                <w:iCs/>
                <w:color w:val="1F3864"/>
                <w:sz w:val="24"/>
                <w:szCs w:val="24"/>
              </w:rPr>
              <w:t xml:space="preserve">Leverage†</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−0.241†***†</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0.051†***†</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0.073†***†</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−0.021†*†</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1.000†</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i/>
                <w:iCs/>
                <w:color w:val="1F3864"/>
                <w:sz w:val="24"/>
                <w:szCs w:val="24"/>
              </w:rPr>
              <w:t xml:space="preserve">Size†</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−0.188†***†</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0.141†***†</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0.198†***†</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0.031†**†</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0.312†***†</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1.000†</w:t>
            </w:r>
          </w:p>
        </w:tc>
        <w:tc>
          <w:tcPr>
            <w:tcW w:type="dxa" w:w="11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156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i/>
                <w:iCs/>
                <w:color w:val="1F3864"/>
                <w:sz w:val="24"/>
                <w:szCs w:val="24"/>
              </w:rPr>
              <w:t xml:space="preserve">Profitability†</w:t>
            </w:r>
          </w:p>
        </w:tc>
        <w:tc>
          <w:tcPr>
            <w:tcW w:type="dxa" w:w="11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0.074†***†</w:t>
            </w:r>
          </w:p>
        </w:tc>
        <w:tc>
          <w:tcPr>
            <w:tcW w:type="dxa" w:w="11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−0.088†***†</w:t>
            </w:r>
          </w:p>
        </w:tc>
        <w:tc>
          <w:tcPr>
            <w:tcW w:type="dxa" w:w="11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−0.061†***†</w:t>
            </w:r>
          </w:p>
        </w:tc>
        <w:tc>
          <w:tcPr>
            <w:tcW w:type="dxa" w:w="11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0.014††</w:t>
            </w:r>
          </w:p>
        </w:tc>
        <w:tc>
          <w:tcPr>
            <w:tcW w:type="dxa" w:w="11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−0.198†***†</w:t>
            </w:r>
          </w:p>
        </w:tc>
        <w:tc>
          <w:tcPr>
            <w:tcW w:type="dxa" w:w="11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0.211†***†</w:t>
            </w:r>
          </w:p>
        </w:tc>
        <w:tc>
          <w:tcPr>
            <w:tcW w:type="dxa" w:w="11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1.000†</w:t>
            </w:r>
          </w:p>
        </w:tc>
      </w:tr>
    </w:tbl>
    <w:p>
      <w:pPr>
        <w:spacing w:after="120" w:before="120" w:line="276"/>
      </w:pPr>
      <w:r>
        <w:rPr>
          <w:rFonts w:ascii="Times New Roman" w:cs="Times New Roman" w:eastAsia="Times New Roman" w:hAnsi="Times New Roman"/>
          <w:i/>
          <w:iCs/>
          <w:sz w:val="20"/>
          <w:szCs w:val="20"/>
        </w:rPr>
        <w:t xml:space="preserve">Note: Pairwise Pearson correlations. *** p&lt;0.01, ** p&lt;0.05, * p&lt;0.10. N varies by variable availability. † Illustrative placeholders.</w:t>
      </w:r>
    </w:p>
    <w:p>
      <w:pPr>
        <w:pStyle w:val="Heading1"/>
        <w:spacing w:after="180" w:before="360"/>
      </w:pPr>
      <w:r>
        <w:rPr>
          <w:rFonts w:ascii="Times New Roman" w:cs="Times New Roman" w:eastAsia="Times New Roman" w:hAnsi="Times New Roman"/>
          <w:b/>
          <w:bCs/>
          <w:sz w:val="28"/>
          <w:szCs w:val="28"/>
        </w:rPr>
        <w:t xml:space="preserve">V. Methodology</w:t>
      </w:r>
    </w:p>
    <w:p>
      <w:pPr>
        <w:pStyle w:val="Heading2"/>
        <w:spacing w:after="120" w:before="240"/>
      </w:pPr>
      <w:r>
        <w:rPr>
          <w:rFonts w:ascii="Times New Roman" w:cs="Times New Roman" w:eastAsia="Times New Roman" w:hAnsi="Times New Roman"/>
          <w:b/>
          <w:bCs/>
          <w:sz w:val="26"/>
          <w:szCs w:val="26"/>
        </w:rPr>
        <w:t xml:space="preserve">A. Baseline Specification</w:t>
      </w:r>
    </w:p>
    <w:p>
      <w:pPr>
        <w:spacing w:after="120" w:before="120" w:line="276"/>
      </w:pPr>
      <w:r>
        <w:rPr>
          <w:rFonts w:ascii="Times New Roman" w:cs="Times New Roman" w:eastAsia="Times New Roman" w:hAnsi="Times New Roman"/>
          <w:sz w:val="24"/>
          <w:szCs w:val="24"/>
        </w:rPr>
        <w:t xml:space="preserve">The central empirical question is whether firms with higher climate-transition exposure increase cash holdings in response to policy tightening. The baseline estimating equation is:</w:t>
      </w:r>
    </w:p>
    <w:p>
      <w:pPr>
        <w:spacing w:after="180" w:before="180"/>
        <w:jc w:val="center"/>
      </w:pPr>
      <w:r>
        <w:rPr>
          <w:rFonts w:ascii="Times New Roman" w:cs="Times New Roman" w:eastAsia="Times New Roman" w:hAnsi="Times New Roman"/>
          <w:i/>
          <w:iCs/>
          <w:sz w:val="24"/>
          <w:szCs w:val="24"/>
        </w:rPr>
        <w:t xml:space="preserve">CashHoldings_it = α_i + γ_t + β(PolicyShock_ct × Exposure_i) + δX_it + ε_it          (1)</w:t>
      </w:r>
    </w:p>
    <w:p>
      <w:pPr>
        <w:spacing w:after="120" w:before="120" w:line="276"/>
      </w:pPr>
      <w:r>
        <w:rPr>
          <w:rFonts w:ascii="Times New Roman" w:cs="Times New Roman" w:eastAsia="Times New Roman" w:hAnsi="Times New Roman"/>
          <w:sz w:val="24"/>
          <w:szCs w:val="24"/>
        </w:rPr>
        <w:t xml:space="preserve">where CashHoldings_it is cash-to-assets for firm i in year t; α_i are firm fixed effects absorbing all time-invariant characteristics; γ_t are year fixed effects capturing common global shocks; PolicyShock_ct is the country-year policy shock index for country c in year t; Exposure_i is the firm's pre-sample (2014) transition-risk exposure score, treated as predetermined; X_it is the vector of time-varying firm and country controls; and ε_it is a mean-zero error. The coefficient of interest is β, identifying the differential effect of policy tightening on cash for high- versus low-exposure firms.</w:t>
      </w:r>
    </w:p>
    <w:p>
      <w:pPr>
        <w:pStyle w:val="Heading2"/>
        <w:spacing w:after="120" w:before="240"/>
      </w:pPr>
      <w:r>
        <w:rPr>
          <w:rFonts w:ascii="Times New Roman" w:cs="Times New Roman" w:eastAsia="Times New Roman" w:hAnsi="Times New Roman"/>
          <w:b/>
          <w:bCs/>
          <w:sz w:val="26"/>
          <w:szCs w:val="26"/>
        </w:rPr>
        <w:t xml:space="preserve">B. Callaway-Sant'Anna (2021) Estimator</w:t>
      </w:r>
    </w:p>
    <w:p>
      <w:pPr>
        <w:spacing w:after="120" w:before="120" w:line="276"/>
      </w:pPr>
      <w:r>
        <w:rPr>
          <w:rFonts w:ascii="Times New Roman" w:cs="Times New Roman" w:eastAsia="Times New Roman" w:hAnsi="Times New Roman"/>
          <w:sz w:val="24"/>
          <w:szCs w:val="24"/>
        </w:rPr>
        <w:t xml:space="preserve">We estimate equation (1) using the Callaway-Sant'Anna (2021) estimator, which accommodates treatment effect heterogeneity across adoption cohorts in staggered DiD designs. The TWFE estimator is biased in this setting because it uses already-treated units as implicit controls. The CS2021 estimator computes group-time average treatment effects ATT(g,t) for each cohort-year cell separately:</w:t>
      </w:r>
    </w:p>
    <w:p>
      <w:pPr>
        <w:spacing w:after="180" w:before="180"/>
        <w:jc w:val="center"/>
      </w:pPr>
      <w:r>
        <w:rPr>
          <w:rFonts w:ascii="Times New Roman" w:cs="Times New Roman" w:eastAsia="Times New Roman" w:hAnsi="Times New Roman"/>
          <w:i/>
          <w:iCs/>
          <w:sz w:val="24"/>
          <w:szCs w:val="24"/>
        </w:rPr>
        <w:t xml:space="preserve">ATT(g,t) = E[Y_t(g) − Y_t(∞) | G = g]          (2)</w:t>
      </w:r>
    </w:p>
    <w:p>
      <w:pPr>
        <w:spacing w:after="120" w:before="120" w:line="276"/>
      </w:pPr>
      <w:r>
        <w:rPr>
          <w:rFonts w:ascii="Times New Roman" w:cs="Times New Roman" w:eastAsia="Times New Roman" w:hAnsi="Times New Roman"/>
          <w:sz w:val="24"/>
          <w:szCs w:val="24"/>
        </w:rPr>
        <w:t xml:space="preserve">The identifying assumption is conditional parallel trends: conditional on pre-treatment covariates, average outcome paths for treated and control units would have evolved in parallel absent treatment. We test this formally using pre-period ATT estimates at event times −4 to −1.</w:t>
      </w:r>
    </w:p>
    <w:p>
      <w:pPr>
        <w:pStyle w:val="Heading2"/>
        <w:spacing w:after="120" w:before="240"/>
      </w:pPr>
      <w:r>
        <w:rPr>
          <w:rFonts w:ascii="Times New Roman" w:cs="Times New Roman" w:eastAsia="Times New Roman" w:hAnsi="Times New Roman"/>
          <w:b/>
          <w:bCs/>
          <w:sz w:val="26"/>
          <w:szCs w:val="26"/>
        </w:rPr>
        <w:t xml:space="preserve">C. Instrumental Variable Strategy</w:t>
      </w:r>
    </w:p>
    <w:p>
      <w:pPr>
        <w:spacing w:after="120" w:before="120" w:line="276"/>
      </w:pPr>
      <w:r>
        <w:rPr>
          <w:rFonts w:ascii="Times New Roman" w:cs="Times New Roman" w:eastAsia="Times New Roman" w:hAnsi="Times New Roman"/>
          <w:sz w:val="24"/>
          <w:szCs w:val="24"/>
        </w:rPr>
        <w:t xml:space="preserve">We instrument for (PolicyShock_ct × Exposure_i) using a Bartik shift-share instrument:</w:t>
      </w:r>
    </w:p>
    <w:p>
      <w:pPr>
        <w:spacing w:after="180" w:before="180"/>
        <w:jc w:val="center"/>
      </w:pPr>
      <w:r>
        <w:rPr>
          <w:rFonts w:ascii="Times New Roman" w:cs="Times New Roman" w:eastAsia="Times New Roman" w:hAnsi="Times New Roman"/>
          <w:i/>
          <w:iCs/>
          <w:sz w:val="24"/>
          <w:szCs w:val="24"/>
        </w:rPr>
        <w:t xml:space="preserve">Z_it = ExposureShare_i × NationalShock_t          (3)</w:t>
      </w:r>
    </w:p>
    <w:p>
      <w:pPr>
        <w:spacing w:after="120" w:before="120" w:line="276"/>
      </w:pPr>
      <w:r>
        <w:rPr>
          <w:rFonts w:ascii="Times New Roman" w:cs="Times New Roman" w:eastAsia="Times New Roman" w:hAnsi="Times New Roman"/>
          <w:sz w:val="24"/>
          <w:szCs w:val="24"/>
        </w:rPr>
        <w:t xml:space="preserve">ExposureShare_i is firm i's pre-determined (2014) industry-level carbon intensity relative to the global distribution. NationalShock_t is an aggregate index of international climate-policy developments (UNFCCC milestones, IEA scenario revisions, G20 commitments) determined at the supranational level and plausibly exogenous to any individual firm's financial decisions. Relevance: international commitments pass through strongly to domestic regulation, disproportionately affecting high-carbon industries. Exclusion: international policy developments affect firm cash holdings only through domestic regulatory transmission—not through direct product-market or capital-cost effects on specific firms.</w:t>
      </w:r>
    </w:p>
    <w:p>
      <w:pPr>
        <w:pStyle w:val="Heading2"/>
        <w:spacing w:after="120" w:before="240"/>
      </w:pPr>
      <w:r>
        <w:rPr>
          <w:rFonts w:ascii="Times New Roman" w:cs="Times New Roman" w:eastAsia="Times New Roman" w:hAnsi="Times New Roman"/>
          <w:b/>
          <w:bCs/>
          <w:sz w:val="26"/>
          <w:szCs w:val="26"/>
        </w:rPr>
        <w:t xml:space="preserve">D. Fixed Effects and Clustering</w:t>
      </w:r>
    </w:p>
    <w:p>
      <w:pPr>
        <w:spacing w:after="120" w:before="120" w:line="276"/>
      </w:pPr>
      <w:r>
        <w:rPr>
          <w:rFonts w:ascii="Times New Roman" w:cs="Times New Roman" w:eastAsia="Times New Roman" w:hAnsi="Times New Roman"/>
          <w:sz w:val="24"/>
          <w:szCs w:val="24"/>
        </w:rPr>
        <w:t xml:space="preserve">The richest specification includes firm, year, country-year, and industry-year fixed effects. Country-year FEs absorb all country-level aggregate shocks. Industry-year FEs absorb global sector-specific shocks including commodity price movements. Standard errors are two-dimensionally clustered at the firm and country-year levels. We additionally report wild bootstrap p-values given the moderate country-cluster count.</w:t>
      </w:r>
    </w:p>
    <w:p>
      <w:pPr>
        <w:pStyle w:val="Heading1"/>
        <w:spacing w:after="180" w:before="360"/>
      </w:pPr>
      <w:r>
        <w:rPr>
          <w:rFonts w:ascii="Times New Roman" w:cs="Times New Roman" w:eastAsia="Times New Roman" w:hAnsi="Times New Roman"/>
          <w:b/>
          <w:bCs/>
          <w:sz w:val="28"/>
          <w:szCs w:val="28"/>
        </w:rPr>
        <w:t xml:space="preserve">VI. Empirical Results</w:t>
      </w:r>
    </w:p>
    <w:p>
      <w:pPr>
        <w:pStyle w:val="Heading2"/>
        <w:spacing w:after="120" w:before="240"/>
      </w:pPr>
      <w:r>
        <w:rPr>
          <w:rFonts w:ascii="Times New Roman" w:cs="Times New Roman" w:eastAsia="Times New Roman" w:hAnsi="Times New Roman"/>
          <w:b/>
          <w:bCs/>
          <w:sz w:val="26"/>
          <w:szCs w:val="26"/>
        </w:rPr>
        <w:t xml:space="preserve">A. Baseline OLS/FE Estimates</w:t>
      </w:r>
    </w:p>
    <w:p>
      <w:pPr>
        <w:spacing w:after="120" w:before="120" w:line="276"/>
      </w:pPr>
      <w:r>
        <w:rPr>
          <w:rFonts w:ascii="Times New Roman" w:cs="Times New Roman" w:eastAsia="Times New Roman" w:hAnsi="Times New Roman"/>
          <w:sz w:val="24"/>
          <w:szCs w:val="24"/>
        </w:rPr>
        <w:t xml:space="preserve">Table 2 presents baseline OLS estimates with progressively demanding fixed-effect structures. Across all four specifications, the coefficient on PolicyShock × TR_SCORE is positive and significant at the 1% level. In the preferred specification (Column 4), the point estimate of </w:t>
      </w:r>
      <w:r>
        <w:rPr>
          <w:rFonts w:ascii="Times New Roman" w:cs="Times New Roman" w:eastAsia="Times New Roman" w:hAnsi="Times New Roman"/>
          <w:i/>
          <w:iCs/>
          <w:color w:val="1F3864"/>
          <w:sz w:val="24"/>
          <w:szCs w:val="24"/>
        </w:rPr>
        <w:t xml:space="preserve">0.031†</w:t>
      </w:r>
      <w:r>
        <w:rPr>
          <w:rFonts w:ascii="Times New Roman" w:cs="Times New Roman" w:eastAsia="Times New Roman" w:hAnsi="Times New Roman"/>
          <w:sz w:val="24"/>
          <w:szCs w:val="24"/>
        </w:rPr>
        <w:t xml:space="preserve"> implies that a one-standard-deviation increase in transition-risk exposure, interacted with the mean policy shock, raises cash-to-assets by </w:t>
      </w:r>
      <w:r>
        <w:rPr>
          <w:rFonts w:ascii="Times New Roman" w:cs="Times New Roman" w:eastAsia="Times New Roman" w:hAnsi="Times New Roman"/>
          <w:i/>
          <w:iCs/>
          <w:color w:val="1F3864"/>
          <w:sz w:val="24"/>
          <w:szCs w:val="24"/>
        </w:rPr>
        <w:t xml:space="preserve">3.1 percentage points†</w:t>
      </w:r>
      <w:r>
        <w:rPr>
          <w:rFonts w:ascii="Times New Roman" w:cs="Times New Roman" w:eastAsia="Times New Roman" w:hAnsi="Times New Roman"/>
          <w:sz w:val="24"/>
          <w:szCs w:val="24"/>
        </w:rPr>
        <w:t xml:space="preserve">—equivalent to </w:t>
      </w:r>
      <w:r>
        <w:rPr>
          <w:rFonts w:ascii="Times New Roman" w:cs="Times New Roman" w:eastAsia="Times New Roman" w:hAnsi="Times New Roman"/>
          <w:i/>
          <w:iCs/>
          <w:color w:val="1F3864"/>
          <w:sz w:val="24"/>
          <w:szCs w:val="24"/>
        </w:rPr>
        <w:t xml:space="preserve">18.4%†</w:t>
      </w:r>
      <w:r>
        <w:rPr>
          <w:rFonts w:ascii="Times New Roman" w:cs="Times New Roman" w:eastAsia="Times New Roman" w:hAnsi="Times New Roman"/>
          <w:sz w:val="24"/>
          <w:szCs w:val="24"/>
        </w:rPr>
        <w:t xml:space="preserve"> of the unconditional mean of 0.168. This is consistent with Hypothesis 1.</w:t>
      </w:r>
    </w:p>
    <w:p>
      <w:pPr>
        <w:spacing w:after="60" w:before="240"/>
        <w:jc w:val="center"/>
      </w:pPr>
      <w:r>
        <w:rPr>
          <w:rFonts w:ascii="Times New Roman" w:cs="Times New Roman" w:eastAsia="Times New Roman" w:hAnsi="Times New Roman"/>
          <w:b/>
          <w:bCs/>
          <w:sz w:val="24"/>
          <w:szCs w:val="24"/>
        </w:rPr>
        <w:t xml:space="preserve">Table 2: Baseline Fixed-Effects Estimates — Cash Holdings and Transition-Risk Exposure</w:t>
      </w:r>
    </w:p>
    <w:p>
      <w:pPr>
        <w:spacing w:after="80" w:before="60"/>
        <w:jc w:val="center"/>
      </w:pPr>
      <w:r>
        <w:rPr>
          <w:rFonts w:ascii="Times New Roman" w:cs="Times New Roman" w:eastAsia="Times New Roman" w:hAnsi="Times New Roman"/>
          <w:i/>
          <w:iCs/>
          <w:sz w:val="20"/>
          <w:szCs w:val="20"/>
        </w:rPr>
        <w:t xml:space="preserve">Dependent variable: CASH/TA. † Illustrative placeholder estimates. *** p&lt;0.01, ** p&lt;0.05, * p&lt;0.10.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thick" w:color="000000" w:sz="12"/>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thick" w:color="000000" w:sz="12"/>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(1)</w:t>
            </w:r>
          </w:p>
        </w:tc>
        <w:tc>
          <w:tcPr>
            <w:tcW w:type="dxa" w:w="1680"/>
            <w:tcBorders>
              <w:top w:val="thick" w:color="000000" w:sz="12"/>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(2)</w:t>
            </w:r>
          </w:p>
        </w:tc>
        <w:tc>
          <w:tcPr>
            <w:tcW w:type="dxa" w:w="1680"/>
            <w:tcBorders>
              <w:top w:val="thick" w:color="000000" w:sz="12"/>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(3)</w:t>
            </w:r>
          </w:p>
        </w:tc>
        <w:tc>
          <w:tcPr>
            <w:tcW w:type="dxa" w:w="1680"/>
            <w:tcBorders>
              <w:top w:val="thick" w:color="000000" w:sz="12"/>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(4)</w:t>
            </w:r>
          </w:p>
        </w:tc>
      </w:tr>
      <w:tr>
        <w:tc>
          <w:tcPr>
            <w:tcW w:type="dxa" w:w="2640"/>
            <w:tcBorders>
              <w:top w:val="nil" w:color="FFFFFF" w:sz="0"/>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i/>
                <w:iCs/>
                <w:sz w:val="24"/>
                <w:szCs w:val="24"/>
              </w:rPr>
              <w:t xml:space="preserve">OLS</w:t>
            </w:r>
          </w:p>
        </w:tc>
        <w:tc>
          <w:tcPr>
            <w:tcW w:type="dxa" w:w="1680"/>
            <w:tcBorders>
              <w:top w:val="nil" w:color="FFFFFF" w:sz="0"/>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i/>
                <w:iCs/>
                <w:sz w:val="24"/>
                <w:szCs w:val="24"/>
              </w:rPr>
              <w:t xml:space="preserve">OLS+Ind FE</w:t>
            </w:r>
          </w:p>
        </w:tc>
        <w:tc>
          <w:tcPr>
            <w:tcW w:type="dxa" w:w="1680"/>
            <w:tcBorders>
              <w:top w:val="nil" w:color="FFFFFF" w:sz="0"/>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i/>
                <w:iCs/>
                <w:sz w:val="24"/>
                <w:szCs w:val="24"/>
              </w:rPr>
              <w:t xml:space="preserve">OLS+Firm FE</w:t>
            </w:r>
          </w:p>
        </w:tc>
        <w:tc>
          <w:tcPr>
            <w:tcW w:type="dxa" w:w="1680"/>
            <w:tcBorders>
              <w:top w:val="nil" w:color="FFFFFF" w:sz="0"/>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i/>
                <w:iCs/>
                <w:sz w:val="24"/>
                <w:szCs w:val="24"/>
              </w:rPr>
              <w:t xml:space="preserve">Full FE</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PSHOCK × TR_SCORE</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0.019†***†</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0.024†***†</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0.028†***†</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0.031†***†</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(0.005)††</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(0.006)††</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(0.007)††</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(0.008)††</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Size</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−0.022†***†</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−0.019†***†</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−0.017†***†</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−0.016†***†</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(0.003)††</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(0.003)††</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(0.003)††</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(0.003)††</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Leverage</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−0.218†***†</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−0.211†***†</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−0.198†***†</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−0.192†***†</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(0.012)††</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(0.011)††</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(0.013)††</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(0.013)††</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Profitability</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0.089†***†</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0.081†***†</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0.074†***†</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0.071†***†</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(0.018)††</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(0.017)††</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(0.016)††</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(0.016)††</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Market-to-Book</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0.024†***†</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0.022†***†</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0.019†***†</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0.018†***†</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(0.004)††</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(0.004)††</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(0.004)††</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(0.003)††</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CF Volatility</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0.147†***†</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0.139†***†</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0.128†***†</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0.124†***†</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(0.031)††</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(0.029)††</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(0.028)††</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(0.027)††</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Capex/Assets</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−0.162†***†</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−0.154†***†</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−0.141†***†</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−0.138†***†</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(0.024)††</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(0.023)††</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(0.022)††</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(0.022)††</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R&amp;D/Assets</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0.312†***†</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0.298†***†</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0.281†***†</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0.274†***†</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(0.041)††</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(0.039)††</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(0.038)††</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(0.037)††</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Dividend Payer</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−0.038†***†</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−0.035†***†</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−0.031†***†</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−0.030†***†</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(0.007)††</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(0.007)††</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(0.006)††</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(0.006)††</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Tangibility</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−0.094†***†</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−0.088†***†</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−0.081†***†</w:t>
            </w:r>
          </w:p>
        </w:tc>
        <w:tc>
          <w:tcPr>
            <w:tcW w:type="dxa" w:w="1680"/>
            <w:tcBorders>
              <w:top w:val="nil" w:color="FFFFFF" w:sz="0"/>
              <w:left w:val="nil" w:color="FFFFFF" w:sz="0"/>
              <w:bottom w:val="nil" w:color="FFFFFF" w:sz="0"/>
              <w:right w:val="nil" w:color="FFFFFF" w:sz="0"/>
            </w:tcBorders>
            <w:tcMar>
              <w:top w:type="dxa" w:w="60"/>
              <w:left w:type="dxa" w:w="80"/>
              <w:bottom w:type="dxa" w:w="0"/>
              <w:right w:type="dxa" w:w="80"/>
            </w:tcMar>
          </w:tcPr>
          <w:p>
            <w:pPr>
              <w:spacing w:after="0" w:before="60"/>
              <w:jc w:val="center"/>
            </w:pPr>
            <w:r>
              <w:rPr>
                <w:rFonts w:ascii="Times New Roman" w:cs="Times New Roman" w:eastAsia="Times New Roman" w:hAnsi="Times New Roman"/>
                <w:i/>
                <w:iCs/>
                <w:color w:val="1F3864"/>
                <w:sz w:val="24"/>
                <w:szCs w:val="24"/>
              </w:rPr>
              <w:t xml:space="preserve">−0.079†***†</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(0.014)††</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(0.013)††</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(0.013)††</w:t>
            </w:r>
          </w:p>
        </w:tc>
        <w:tc>
          <w:tcPr>
            <w:tcW w:type="dxa" w:w="1680"/>
            <w:tcBorders>
              <w:top w:val="nil" w:color="FFFFFF" w:sz="0"/>
              <w:left w:val="nil" w:color="FFFFFF" w:sz="0"/>
              <w:bottom w:val="nil" w:color="FFFFFF" w:sz="0"/>
              <w:right w:val="nil" w:color="FFFFFF" w:sz="0"/>
            </w:tcBorders>
            <w:tcMar>
              <w:top w:type="dxa" w:w="0"/>
              <w:left w:type="dxa" w:w="80"/>
              <w:bottom w:type="dxa" w:w="60"/>
              <w:right w:type="dxa" w:w="80"/>
            </w:tcMar>
          </w:tcPr>
          <w:p>
            <w:pPr>
              <w:spacing w:after="60" w:before="0"/>
              <w:jc w:val="center"/>
            </w:pPr>
            <w:r>
              <w:rPr>
                <w:rFonts w:ascii="Times New Roman" w:cs="Times New Roman" w:eastAsia="Times New Roman" w:hAnsi="Times New Roman"/>
                <w:i/>
                <w:iCs/>
                <w:color w:val="1F3864"/>
                <w:sz w:val="24"/>
                <w:szCs w:val="24"/>
              </w:rPr>
              <w:t xml:space="preserve">(0.013)††</w:t>
            </w:r>
          </w:p>
        </w:tc>
      </w:tr>
      <w:tr>
        <w:tc>
          <w:tcPr>
            <w:tcW w:type="dxa" w:w="2640"/>
            <w:tcBorders>
              <w:top w:val="single" w:color="000000" w:sz="8"/>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Country Controls</w:t>
            </w:r>
          </w:p>
        </w:tc>
        <w:tc>
          <w:tcPr>
            <w:tcW w:type="dxa" w:w="1680"/>
            <w:tcBorders>
              <w:top w:val="single" w:color="000000" w:sz="8"/>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single" w:color="000000" w:sz="8"/>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single" w:color="000000" w:sz="8"/>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single" w:color="000000" w:sz="8"/>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Yes</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Year FE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Industry FE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 (×Year)</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Firm FE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Country×Year FE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No</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Observations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R²</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0.241††</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0.289††</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0.451††</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0.503††</w:t>
            </w:r>
          </w:p>
        </w:tc>
      </w:tr>
      <w:tr>
        <w:tc>
          <w:tcPr>
            <w:tcW w:type="dxa" w:w="2640"/>
            <w:tcBorders>
              <w:top w:val="nil" w:color="FFFFFF" w:sz="0"/>
              <w:left w:val="nil" w:color="FFFFFF" w:sz="0"/>
              <w:bottom w:val="thick" w:color="000000" w:sz="12"/>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Adj. R²</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0.239††</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0.284††</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0.441††</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0.492††</w:t>
            </w:r>
          </w:p>
        </w:tc>
      </w:tr>
    </w:tbl>
    <w:p>
      <w:pPr>
        <w:spacing w:after="120" w:before="120" w:line="276"/>
      </w:pPr>
      <w:r>
        <w:rPr>
          <w:rFonts w:ascii="Times New Roman" w:cs="Times New Roman" w:eastAsia="Times New Roman" w:hAnsi="Times New Roman"/>
          <w:i/>
          <w:iCs/>
          <w:sz w:val="20"/>
          <w:szCs w:val="20"/>
        </w:rPr>
        <w:t xml:space="preserve">Note: Dependent variable is CASH/TA (cash and short-term investments / total assets). Standard errors in parentheses are two-dimensionally clustered at the firm and country-year levels. ***, **, * denote significance at 1%, 5%, 10%. Full specification controls include size, leverage, profitability, market-to-book, capex/assets, R&amp;D/assets, dividend payer indicator, tangibility, cash-flow volatility, real GDP growth, and financial development. † All numerical values are illustrative placeholders for structural review only.</w:t>
      </w:r>
    </w:p>
    <w:p>
      <w:pPr>
        <w:pStyle w:val="Heading2"/>
        <w:spacing w:after="120" w:before="240"/>
      </w:pPr>
      <w:r>
        <w:rPr>
          <w:rFonts w:ascii="Times New Roman" w:cs="Times New Roman" w:eastAsia="Times New Roman" w:hAnsi="Times New Roman"/>
          <w:b/>
          <w:bCs/>
          <w:sz w:val="26"/>
          <w:szCs w:val="26"/>
        </w:rPr>
        <w:t xml:space="preserve">B. Callaway-Sant'Anna Staggered DiD</w:t>
      </w:r>
    </w:p>
    <w:p>
      <w:pPr>
        <w:spacing w:after="120" w:before="120" w:line="276"/>
      </w:pPr>
      <w:r>
        <w:rPr>
          <w:rFonts w:ascii="Times New Roman" w:cs="Times New Roman" w:eastAsia="Times New Roman" w:hAnsi="Times New Roman"/>
          <w:sz w:val="24"/>
          <w:szCs w:val="24"/>
        </w:rPr>
        <w:t xml:space="preserve">Table 3 presents CS2021 aggregated ATT estimates. Panel A reports the overall average ATT. Panel B presents dynamic estimates for event windows −4 to +4. Pre-period ATT estimates at event times −4 to −1 are statistically indistinguishable from zero (joint F-test: </w:t>
      </w:r>
      <w:r>
        <w:rPr>
          <w:rFonts w:ascii="Times New Roman" w:cs="Times New Roman" w:eastAsia="Times New Roman" w:hAnsi="Times New Roman"/>
          <w:i/>
          <w:iCs/>
          <w:color w:val="1F3864"/>
          <w:sz w:val="24"/>
          <w:szCs w:val="24"/>
        </w:rPr>
        <w:t xml:space="preserve">F(4,61) = 1.14†, p = 0.347††</w:t>
      </w:r>
      <w:r>
        <w:rPr>
          <w:rFonts w:ascii="Times New Roman" w:cs="Times New Roman" w:eastAsia="Times New Roman" w:hAnsi="Times New Roman"/>
          <w:sz w:val="24"/>
          <w:szCs w:val="24"/>
        </w:rPr>
        <w:t xml:space="preserve">), confirming parallel trends. Post-period estimates rise monotonically, peaking at +3 years. The aggregate ATT on CASH/TA is </w:t>
      </w:r>
      <w:r>
        <w:rPr>
          <w:rFonts w:ascii="Times New Roman" w:cs="Times New Roman" w:eastAsia="Times New Roman" w:hAnsi="Times New Roman"/>
          <w:i/>
          <w:iCs/>
          <w:color w:val="1F3864"/>
          <w:sz w:val="24"/>
          <w:szCs w:val="24"/>
        </w:rPr>
        <w:t xml:space="preserve">0.028† (SE = 0.009†, p &lt; 0.01)†</w:t>
      </w:r>
      <w:r>
        <w:rPr>
          <w:rFonts w:ascii="Times New Roman" w:cs="Times New Roman" w:eastAsia="Times New Roman" w:hAnsi="Times New Roman"/>
          <w:sz w:val="24"/>
          <w:szCs w:val="24"/>
        </w:rPr>
        <w:t xml:space="preserve">, consistent with the OLS estimate.</w:t>
      </w:r>
    </w:p>
    <w:p>
      <w:pPr>
        <w:spacing w:after="60" w:before="240"/>
        <w:jc w:val="center"/>
      </w:pPr>
      <w:r>
        <w:rPr>
          <w:rFonts w:ascii="Times New Roman" w:cs="Times New Roman" w:eastAsia="Times New Roman" w:hAnsi="Times New Roman"/>
          <w:b/>
          <w:bCs/>
          <w:sz w:val="24"/>
          <w:szCs w:val="24"/>
        </w:rPr>
        <w:t xml:space="preserve">Table 3: Callaway-Sant'Anna (2021) Staggered DiD — Aggregate ATT Estimates</w:t>
      </w:r>
    </w:p>
    <w:p>
      <w:pPr>
        <w:spacing w:after="80" w:before="60"/>
        <w:jc w:val="center"/>
      </w:pPr>
      <w:r>
        <w:rPr>
          <w:rFonts w:ascii="Times New Roman" w:cs="Times New Roman" w:eastAsia="Times New Roman" w:hAnsi="Times New Roman"/>
          <w:i/>
          <w:iCs/>
          <w:sz w:val="20"/>
          <w:szCs w:val="20"/>
        </w:rPr>
        <w:t xml:space="preserve">† Illustrative placeholder estimates. *** p&lt;0.01, ** p&lt;0.05, * p&lt;0.10. Uniform confidence bands over event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Event Time</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ATT: CASH/TA</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SE</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ATT: EXCASH</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SE</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p-value</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−4</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(0.007)††</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0.912††</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−3</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0.004††</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(0.007)††</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0.003††</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(0.007)††</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0.584††</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(0.007)††</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(0.006)††</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0.774††</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0.003††</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(0.007)††</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0.713††</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0.007††</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0.376††</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0.016†**†</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0.016††</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+3</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0.024†***†</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0.002††</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+4</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0.026†***†</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0.023†***†</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0.004††</w:t>
            </w:r>
          </w:p>
        </w:tc>
      </w:tr>
      <w:tr>
        <w:tc>
          <w:tcPr>
            <w:tcW w:type="dxa" w:w="1560"/>
            <w:tcBorders>
              <w:top w:val="nil" w:color="FFFFFF" w:sz="0"/>
              <w:left w:val="nil" w:color="FFFFFF" w:sz="0"/>
              <w:bottom w:val="thick" w:color="000000" w:sz="12"/>
              <w:right w:val="nil" w:color="FFFFFF" w:sz="0"/>
            </w:tcBorders>
            <w:shd w:fill="EBF3FB"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4"/>
                <w:szCs w:val="24"/>
              </w:rPr>
              <w:t xml:space="preserve">Aggregate ATT</w:t>
            </w:r>
          </w:p>
        </w:tc>
        <w:tc>
          <w:tcPr>
            <w:tcW w:type="dxa" w:w="1560"/>
            <w:tcBorders>
              <w:top w:val="nil" w:color="FFFFFF" w:sz="0"/>
              <w:left w:val="nil" w:color="FFFFFF" w:sz="0"/>
              <w:bottom w:val="thick" w:color="000000" w:sz="12"/>
              <w:right w:val="nil" w:color="FFFFFF" w:sz="0"/>
            </w:tcBorders>
            <w:shd w:fill="EBF3FB"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4"/>
                <w:szCs w:val="24"/>
              </w:rPr>
              <w:t xml:space="preserve">0.028†***</w:t>
            </w:r>
          </w:p>
        </w:tc>
        <w:tc>
          <w:tcPr>
            <w:tcW w:type="dxa" w:w="1560"/>
            <w:tcBorders>
              <w:top w:val="nil" w:color="FFFFFF" w:sz="0"/>
              <w:left w:val="nil" w:color="FFFFFF" w:sz="0"/>
              <w:bottom w:val="thick" w:color="000000" w:sz="12"/>
              <w:right w:val="nil" w:color="FFFFFF" w:sz="0"/>
            </w:tcBorders>
            <w:shd w:fill="EBF3FB"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4"/>
                <w:szCs w:val="24"/>
              </w:rPr>
              <w:t xml:space="preserve">(0.009)†</w:t>
            </w:r>
          </w:p>
        </w:tc>
        <w:tc>
          <w:tcPr>
            <w:tcW w:type="dxa" w:w="1560"/>
            <w:tcBorders>
              <w:top w:val="nil" w:color="FFFFFF" w:sz="0"/>
              <w:left w:val="nil" w:color="FFFFFF" w:sz="0"/>
              <w:bottom w:val="thick" w:color="000000" w:sz="12"/>
              <w:right w:val="nil" w:color="FFFFFF" w:sz="0"/>
            </w:tcBorders>
            <w:shd w:fill="EBF3FB"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4"/>
                <w:szCs w:val="24"/>
              </w:rPr>
              <w:t xml:space="preserve">0.024†***</w:t>
            </w:r>
          </w:p>
        </w:tc>
        <w:tc>
          <w:tcPr>
            <w:tcW w:type="dxa" w:w="1560"/>
            <w:tcBorders>
              <w:top w:val="nil" w:color="FFFFFF" w:sz="0"/>
              <w:left w:val="nil" w:color="FFFFFF" w:sz="0"/>
              <w:bottom w:val="thick" w:color="000000" w:sz="12"/>
              <w:right w:val="nil" w:color="FFFFFF" w:sz="0"/>
            </w:tcBorders>
            <w:shd w:fill="EBF3FB"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4"/>
                <w:szCs w:val="24"/>
              </w:rPr>
              <w:t xml:space="preserve">(0.008)†</w:t>
            </w:r>
          </w:p>
        </w:tc>
        <w:tc>
          <w:tcPr>
            <w:tcW w:type="dxa" w:w="1560"/>
            <w:tcBorders>
              <w:top w:val="nil" w:color="FFFFFF" w:sz="0"/>
              <w:left w:val="nil" w:color="FFFFFF" w:sz="0"/>
              <w:bottom w:val="thick" w:color="000000" w:sz="12"/>
              <w:right w:val="nil" w:color="FFFFFF" w:sz="0"/>
            </w:tcBorders>
            <w:shd w:fill="EBF3FB"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4"/>
                <w:szCs w:val="24"/>
              </w:rPr>
              <w:t xml:space="preserve">0.002†</w:t>
            </w:r>
          </w:p>
        </w:tc>
      </w:tr>
    </w:tbl>
    <w:p>
      <w:pPr>
        <w:spacing w:after="120" w:before="120" w:line="276"/>
      </w:pPr>
      <w:r>
        <w:rPr>
          <w:rFonts w:ascii="Times New Roman" w:cs="Times New Roman" w:eastAsia="Times New Roman" w:hAnsi="Times New Roman"/>
          <w:i/>
          <w:iCs/>
          <w:sz w:val="20"/>
          <w:szCs w:val="20"/>
        </w:rPr>
        <w:t xml:space="preserve">Note: ATT(g,t) estimated using Callaway-Sant'Anna (2021) with doubly-robust propensity-score reweighting. Covariates include size, leverage, profitability, and market-to-book. Confidence intervals use uniform bands. † Illustrative placeholders.</w:t>
      </w:r>
    </w:p>
    <w:p>
      <w:pPr>
        <w:pStyle w:val="Heading2"/>
        <w:spacing w:after="120" w:before="240"/>
      </w:pPr>
      <w:r>
        <w:rPr>
          <w:rFonts w:ascii="Times New Roman" w:cs="Times New Roman" w:eastAsia="Times New Roman" w:hAnsi="Times New Roman"/>
          <w:b/>
          <w:bCs/>
          <w:sz w:val="26"/>
          <w:szCs w:val="26"/>
        </w:rPr>
        <w:t xml:space="preserve">C. Instrumental Variable Estimates</w:t>
      </w:r>
    </w:p>
    <w:p>
      <w:pPr>
        <w:spacing w:after="120" w:before="120" w:line="276"/>
      </w:pPr>
      <w:r>
        <w:rPr>
          <w:rFonts w:ascii="Times New Roman" w:cs="Times New Roman" w:eastAsia="Times New Roman" w:hAnsi="Times New Roman"/>
          <w:sz w:val="24"/>
          <w:szCs w:val="24"/>
        </w:rPr>
        <w:t xml:space="preserve">Table 4 reports 2SLS estimates using the shift-share instrument. The Kleibergen-Paap rF-statistic is </w:t>
      </w:r>
      <w:r>
        <w:rPr>
          <w:rFonts w:ascii="Times New Roman" w:cs="Times New Roman" w:eastAsia="Times New Roman" w:hAnsi="Times New Roman"/>
          <w:i/>
          <w:iCs/>
          <w:color w:val="1F3864"/>
          <w:sz w:val="24"/>
          <w:szCs w:val="24"/>
        </w:rPr>
        <w:t xml:space="preserve">42.8††</w:t>
      </w:r>
      <w:r>
        <w:rPr>
          <w:rFonts w:ascii="Times New Roman" w:cs="Times New Roman" w:eastAsia="Times New Roman" w:hAnsi="Times New Roman"/>
          <w:sz w:val="24"/>
          <w:szCs w:val="24"/>
        </w:rPr>
        <w:t xml:space="preserve">, well above the Stock-Yogo critical value of 16.38, decisively rejecting weak identification. The IV estimate of </w:t>
      </w:r>
      <w:r>
        <w:rPr>
          <w:rFonts w:ascii="Times New Roman" w:cs="Times New Roman" w:eastAsia="Times New Roman" w:hAnsi="Times New Roman"/>
          <w:i/>
          <w:iCs/>
          <w:color w:val="1F3864"/>
          <w:sz w:val="24"/>
          <w:szCs w:val="24"/>
        </w:rPr>
        <w:t xml:space="preserve">0.041††</w:t>
      </w:r>
      <w:r>
        <w:rPr>
          <w:rFonts w:ascii="Times New Roman" w:cs="Times New Roman" w:eastAsia="Times New Roman" w:hAnsi="Times New Roman"/>
          <w:sz w:val="24"/>
          <w:szCs w:val="24"/>
        </w:rPr>
        <w:t xml:space="preserve"> (SE = 0.012†) is </w:t>
      </w:r>
      <w:r>
        <w:rPr>
          <w:rFonts w:ascii="Times New Roman" w:cs="Times New Roman" w:eastAsia="Times New Roman" w:hAnsi="Times New Roman"/>
          <w:i/>
          <w:iCs/>
          <w:color w:val="1F3864"/>
          <w:sz w:val="24"/>
          <w:szCs w:val="24"/>
        </w:rPr>
        <w:t xml:space="preserve">32%††</w:t>
      </w:r>
      <w:r>
        <w:rPr>
          <w:rFonts w:ascii="Times New Roman" w:cs="Times New Roman" w:eastAsia="Times New Roman" w:hAnsi="Times New Roman"/>
          <w:sz w:val="24"/>
          <w:szCs w:val="24"/>
        </w:rPr>
        <w:t xml:space="preserve"> larger than the OLS estimate, consistent with attenuation bias from measurement error in transition-risk scores. The Anderson-Rubin confidence interval excludes zero at the 1% level.</w:t>
      </w:r>
    </w:p>
    <w:p>
      <w:pPr>
        <w:spacing w:after="60" w:before="240"/>
        <w:jc w:val="center"/>
      </w:pPr>
      <w:r>
        <w:rPr>
          <w:rFonts w:ascii="Times New Roman" w:cs="Times New Roman" w:eastAsia="Times New Roman" w:hAnsi="Times New Roman"/>
          <w:b/>
          <w:bCs/>
          <w:sz w:val="24"/>
          <w:szCs w:val="24"/>
        </w:rPr>
        <w:t xml:space="preserve">Table 4: Instrumental Variable Estimates (2SLS) — Shift-Share Instrument</w:t>
      </w:r>
    </w:p>
    <w:p>
      <w:pPr>
        <w:spacing w:after="80" w:before="60"/>
        <w:jc w:val="center"/>
      </w:pPr>
      <w:r>
        <w:rPr>
          <w:rFonts w:ascii="Times New Roman" w:cs="Times New Roman" w:eastAsia="Times New Roman" w:hAnsi="Times New Roman"/>
          <w:i/>
          <w:iCs/>
          <w:sz w:val="20"/>
          <w:szCs w:val="20"/>
        </w:rPr>
        <w:t xml:space="preserve">Instrument: ExposureShare_i × NationalShock_t. † Illustrative placeholders. *** p&lt;0.01.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
            </w:r>
          </w:p>
        </w:tc>
        <w:tc>
          <w:tcPr>
            <w:tcW w:type="dxa" w:w="20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First Stage</w:t>
            </w:r>
          </w:p>
        </w:tc>
        <w:tc>
          <w:tcPr>
            <w:tcW w:type="dxa" w:w="20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2SLS: CASH/TA</w:t>
            </w:r>
          </w:p>
        </w:tc>
        <w:tc>
          <w:tcPr>
            <w:tcW w:type="dxa" w:w="20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2SLS: EXCASH</w:t>
            </w:r>
          </w:p>
        </w:tc>
      </w:tr>
      <w:tr>
        <w:tc>
          <w:tcPr>
            <w:tcW w:type="dxa" w:w="31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PSHOCK × TR_SCORE (instrumented)</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0.041†***†</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0.036†***†</w:t>
            </w:r>
          </w:p>
        </w:tc>
      </w:tr>
      <w:tr>
        <w:tc>
          <w:tcPr>
            <w:tcW w:type="dxa" w:w="31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(0.012)††</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(0.011)††</w:t>
            </w:r>
          </w:p>
        </w:tc>
      </w:tr>
      <w:tr>
        <w:tc>
          <w:tcPr>
            <w:tcW w:type="dxa" w:w="31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Instrument (Z_it)</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0.712†***†</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31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(0.083)††</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31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Kleibergen-Paap rF</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42.8††</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31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Anderson-Rubin p-value</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&lt; 0.001††</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&lt; 0.001††</w:t>
            </w:r>
          </w:p>
        </w:tc>
      </w:tr>
      <w:tr>
        <w:tc>
          <w:tcPr>
            <w:tcW w:type="dxa" w:w="31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Controls &amp; FEs</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Full†</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Full†</w:t>
            </w:r>
          </w:p>
        </w:tc>
        <w:tc>
          <w:tcPr>
            <w:tcW w:type="dxa" w:w="20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Full†</w:t>
            </w:r>
          </w:p>
        </w:tc>
      </w:tr>
      <w:tr>
        <w:tc>
          <w:tcPr>
            <w:tcW w:type="dxa" w:w="312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Observations</w:t>
            </w:r>
          </w:p>
        </w:tc>
        <w:tc>
          <w:tcPr>
            <w:tcW w:type="dxa" w:w="20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20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20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r>
    </w:tbl>
    <w:p>
      <w:pPr>
        <w:spacing w:after="120" w:before="120" w:line="276"/>
      </w:pPr>
      <w:r>
        <w:rPr>
          <w:rFonts w:ascii="Times New Roman" w:cs="Times New Roman" w:eastAsia="Times New Roman" w:hAnsi="Times New Roman"/>
          <w:i/>
          <w:iCs/>
          <w:sz w:val="20"/>
          <w:szCs w:val="20"/>
        </w:rPr>
        <w:t xml:space="preserve">Note: Full controls and fixed effects identical to Column (4) of Table 2. † All numerical estimates are illustrative placeholders.</w:t>
      </w:r>
    </w:p>
    <w:p>
      <w:pPr>
        <w:pStyle w:val="Heading2"/>
        <w:spacing w:after="120" w:before="240"/>
      </w:pPr>
      <w:r>
        <w:rPr>
          <w:rFonts w:ascii="Times New Roman" w:cs="Times New Roman" w:eastAsia="Times New Roman" w:hAnsi="Times New Roman"/>
          <w:b/>
          <w:bCs/>
          <w:sz w:val="26"/>
          <w:szCs w:val="26"/>
        </w:rPr>
        <w:t xml:space="preserve">D. Tables 5–8: Additional Specifications</w:t>
      </w:r>
    </w:p>
    <w:p>
      <w:pPr>
        <w:spacing w:after="60" w:before="240"/>
        <w:jc w:val="center"/>
      </w:pPr>
      <w:r>
        <w:rPr>
          <w:rFonts w:ascii="Times New Roman" w:cs="Times New Roman" w:eastAsia="Times New Roman" w:hAnsi="Times New Roman"/>
          <w:b/>
          <w:bCs/>
          <w:sz w:val="24"/>
          <w:szCs w:val="24"/>
        </w:rPr>
        <w:t xml:space="preserve">Table 5: Alternative Dependent Variables</w:t>
      </w:r>
    </w:p>
    <w:p>
      <w:pPr>
        <w:spacing w:after="80" w:before="60"/>
        <w:jc w:val="center"/>
      </w:pPr>
      <w:r>
        <w:rPr>
          <w:rFonts w:ascii="Times New Roman" w:cs="Times New Roman" w:eastAsia="Times New Roman" w:hAnsi="Times New Roman"/>
          <w:i/>
          <w:iCs/>
          <w:sz w:val="20"/>
          <w:szCs w:val="20"/>
        </w:rPr>
        <w:t xml:space="preserve">† Illustrative placeholders. *** p&lt;0.01, ** p&lt;0.05.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CASH/TA</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NETCASH</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EXCASH</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ΔCASH</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PSHOCK × TR_SCORE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0.031†***†</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0.018†**†</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0.026†***†</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(0.004)††</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Controls &amp; Full FEs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Yes</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Observations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498K††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487K††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455K††</w:t>
            </w:r>
          </w:p>
        </w:tc>
      </w:tr>
      <w:tr>
        <w:tc>
          <w:tcPr>
            <w:tcW w:type="dxa" w:w="264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R²</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0.503††</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0.418††</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0.321††</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0.214††</w:t>
            </w:r>
          </w:p>
        </w:tc>
      </w:tr>
    </w:tbl>
    <w:p>
      <w:pPr>
        <w:spacing w:after="120" w:before="120" w:line="276"/>
      </w:pPr>
      <w:r>
        <w:rPr>
          <w:rFonts w:ascii="Times New Roman" w:cs="Times New Roman" w:eastAsia="Times New Roman" w:hAnsi="Times New Roman"/>
          <w:i/>
          <w:iCs/>
          <w:sz w:val="20"/>
          <w:szCs w:val="20"/>
        </w:rPr>
        <w:t xml:space="preserve">Note: All specifications use Column (4) fixed effects. † Illustrative placeholders.</w:t>
      </w:r>
    </w:p>
    <w:p>
      <w:pPr>
        <w:spacing w:after="60" w:before="240"/>
        <w:jc w:val="center"/>
      </w:pPr>
      <w:r>
        <w:rPr>
          <w:rFonts w:ascii="Times New Roman" w:cs="Times New Roman" w:eastAsia="Times New Roman" w:hAnsi="Times New Roman"/>
          <w:b/>
          <w:bCs/>
          <w:sz w:val="24"/>
          <w:szCs w:val="24"/>
        </w:rPr>
        <w:t xml:space="preserve">Table 6: Alternative Transition-Risk Proxies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CARB_INT</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FF_DEP</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EU Taxonomy</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CDP Self-Assessed</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PSHOCK × Exposure proxy</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0.027†***†</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0.034†***†</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0.041†***†</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0.029†***†</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(0.011)††</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(0.013)††</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(0.010)††</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Observations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281K††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196K††</w:t>
            </w:r>
          </w:p>
        </w:tc>
      </w:tr>
      <w:tr>
        <w:tc>
          <w:tcPr>
            <w:tcW w:type="dxa" w:w="264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R²</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0.488††</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0.497††</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0.501††</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0.512††</w:t>
            </w:r>
          </w:p>
        </w:tc>
      </w:tr>
    </w:tbl>
    <w:p>
      <w:pPr>
        <w:spacing w:after="120" w:before="120" w:line="276"/>
      </w:pPr>
      <w:r>
        <w:rPr>
          <w:rFonts w:ascii="Times New Roman" w:cs="Times New Roman" w:eastAsia="Times New Roman" w:hAnsi="Times New Roman"/>
          <w:i/>
          <w:iCs/>
          <w:sz w:val="20"/>
          <w:szCs w:val="20"/>
        </w:rPr>
        <w:t xml:space="preserve">Note: Dependent variable CASH/TA throughout. Full FE structure. † Illustrative placeholders.</w:t>
      </w:r>
    </w:p>
    <w:p>
      <w:pPr>
        <w:pStyle w:val="Heading1"/>
        <w:spacing w:after="180" w:before="360"/>
      </w:pPr>
      <w:r>
        <w:rPr>
          <w:rFonts w:ascii="Times New Roman" w:cs="Times New Roman" w:eastAsia="Times New Roman" w:hAnsi="Times New Roman"/>
          <w:b/>
          <w:bCs/>
          <w:sz w:val="28"/>
          <w:szCs w:val="28"/>
        </w:rPr>
        <w:t xml:space="preserve">VII. Robustness Checks</w:t>
      </w:r>
    </w:p>
    <w:p>
      <w:pPr>
        <w:spacing w:after="60" w:before="240"/>
        <w:jc w:val="center"/>
      </w:pPr>
      <w:r>
        <w:rPr>
          <w:rFonts w:ascii="Times New Roman" w:cs="Times New Roman" w:eastAsia="Times New Roman" w:hAnsi="Times New Roman"/>
          <w:b/>
          <w:bCs/>
          <w:sz w:val="24"/>
          <w:szCs w:val="24"/>
        </w:rPr>
        <w:t xml:space="preserve">Table 7: Robustness — Six Layers</w:t>
      </w:r>
    </w:p>
    <w:p>
      <w:pPr>
        <w:spacing w:after="80" w:before="60"/>
        <w:jc w:val="center"/>
      </w:pPr>
      <w:r>
        <w:rPr>
          <w:rFonts w:ascii="Times New Roman" w:cs="Times New Roman" w:eastAsia="Times New Roman" w:hAnsi="Times New Roman"/>
          <w:i/>
          <w:iCs/>
          <w:sz w:val="20"/>
          <w:szCs w:val="20"/>
        </w:rPr>
        <w:t xml:space="preserve">All coefficients on PSHOCK × TR_SCORE (or equivalent). Full FE structure throughout. † Illustrative placeholders. *** p&lt;0.01, ** p&lt;0.05.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1560"/>
        <w:gridCol w:w="1560"/>
        <w:gridCol w:w="1560"/>
        <w:gridCol w:w="960"/>
      </w:tblGrid>
      <w:tr>
        <w:tc>
          <w:tcPr>
            <w:tcW w:type="dxa" w:w="372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Robustness Layer</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Coeff.</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SE</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Obs.</w:t>
            </w:r>
          </w:p>
        </w:tc>
        <w:tc>
          <w:tcPr>
            <w:tcW w:type="dxa" w:w="9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p-val</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(R1) Alt DV: CASH / Net Assets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(0.010)††</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&lt;0.001††</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(R2) Alt DV: CASH / Sales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0.044†***†</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&lt;0.001††</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(R3) Alt DV: High-Cash dummy</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&lt;0.001††</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(R4) Temporal placebo (−3 yr shift)</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0.803††</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(R5) Cross-sectional placebo (pharma/SW)</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(0.007)††</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124K††</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0.886††</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(R6) DM subsample (Chow test)</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312K††</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0.007††</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(R7) EM subsample</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0.044†***†</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(0.014)††</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187K††</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0.002††</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(R8) Chow F-test (DM vs. EM)</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F=6.81†**†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0.014††</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(R9) Arellano-Bond System GMM</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(0.010)††</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488K††</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0.004††</w:t>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AR(2) test p-value</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0.384††</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Sargan-Hansen J p-value</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0.261††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372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(R10) Fama-MacBeth (NW 3-lag)</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0.033†***†</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w:t>
            </w:r>
          </w:p>
        </w:tc>
        <w:tc>
          <w:tcPr>
            <w:tcW w:type="dxa" w:w="96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0.003††</w:t>
            </w:r>
          </w:p>
        </w:tc>
      </w:tr>
      <w:tr>
        <w:tc>
          <w:tcPr>
            <w:tcW w:type="dxa" w:w="372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(R11) Oster (2019) δ bound</w:t>
            </w:r>
          </w:p>
        </w:tc>
        <w:tc>
          <w:tcPr>
            <w:tcW w:type="dxa" w:w="156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δ = 3.41††</w:t>
            </w:r>
          </w:p>
        </w:tc>
        <w:tc>
          <w:tcPr>
            <w:tcW w:type="dxa" w:w="156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56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96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bl>
    <w:p>
      <w:pPr>
        <w:spacing w:after="120" w:before="120" w:line="276"/>
      </w:pPr>
      <w:r>
        <w:rPr>
          <w:rFonts w:ascii="Times New Roman" w:cs="Times New Roman" w:eastAsia="Times New Roman" w:hAnsi="Times New Roman"/>
          <w:i/>
          <w:iCs/>
          <w:sz w:val="20"/>
          <w:szCs w:val="20"/>
        </w:rPr>
        <w:t xml:space="preserve">Note: (R8) Chow F-test tests coefficient equality between DM and EM subsamples. (R11) Oster δ bound is the degree of selection on unobservables relative to observables required to drive the coefficient to zero; δ &gt; 1 is the standard threshold. DM = MSCI Developed Markets. EM = MSCI Emerging Markets. † All values are illustrative placeholders.</w:t>
      </w:r>
    </w:p>
    <w:p>
      <w:pPr>
        <w:pStyle w:val="Heading1"/>
        <w:spacing w:after="180" w:before="360"/>
      </w:pPr>
      <w:r>
        <w:rPr>
          <w:rFonts w:ascii="Times New Roman" w:cs="Times New Roman" w:eastAsia="Times New Roman" w:hAnsi="Times New Roman"/>
          <w:b/>
          <w:bCs/>
          <w:sz w:val="28"/>
          <w:szCs w:val="28"/>
        </w:rPr>
        <w:t xml:space="preserve">VIII. Mechanisms and Heterogeneity</w:t>
      </w:r>
    </w:p>
    <w:p>
      <w:pPr>
        <w:pStyle w:val="Heading2"/>
        <w:spacing w:after="120" w:before="240"/>
      </w:pPr>
      <w:r>
        <w:rPr>
          <w:rFonts w:ascii="Times New Roman" w:cs="Times New Roman" w:eastAsia="Times New Roman" w:hAnsi="Times New Roman"/>
          <w:b/>
          <w:bCs/>
          <w:sz w:val="26"/>
          <w:szCs w:val="26"/>
        </w:rPr>
        <w:t xml:space="preserve">A. Event-Study Pre/Post Dynamics</w:t>
      </w:r>
    </w:p>
    <w:p>
      <w:pPr>
        <w:spacing w:after="120" w:before="120" w:line="276"/>
      </w:pPr>
      <w:r>
        <w:rPr>
          <w:rFonts w:ascii="Times New Roman" w:cs="Times New Roman" w:eastAsia="Times New Roman" w:hAnsi="Times New Roman"/>
          <w:sz w:val="24"/>
          <w:szCs w:val="24"/>
        </w:rPr>
        <w:t xml:space="preserve">Figure 1 (not shown — insert CS2021 event-study plot with event window −4 to +4) plots dynamic ATT estimates for CASH/TA. Pre-period estimates at −4 to −1 are jointly insignificant (F-test p = </w:t>
      </w:r>
      <w:r>
        <w:rPr>
          <w:rFonts w:ascii="Times New Roman" w:cs="Times New Roman" w:eastAsia="Times New Roman" w:hAnsi="Times New Roman"/>
          <w:i/>
          <w:iCs/>
          <w:color w:val="1F3864"/>
          <w:sz w:val="24"/>
          <w:szCs w:val="24"/>
        </w:rPr>
        <w:t xml:space="preserve">0.347††</w:t>
      </w:r>
      <w:r>
        <w:rPr>
          <w:rFonts w:ascii="Times New Roman" w:cs="Times New Roman" w:eastAsia="Times New Roman" w:hAnsi="Times New Roman"/>
          <w:sz w:val="24"/>
          <w:szCs w:val="24"/>
        </w:rPr>
        <w:t xml:space="preserve">). Cash accumulation begins at +2 years and peaks at +3 (ATT = </w:t>
      </w:r>
      <w:r>
        <w:rPr>
          <w:rFonts w:ascii="Times New Roman" w:cs="Times New Roman" w:eastAsia="Times New Roman" w:hAnsi="Times New Roman"/>
          <w:i/>
          <w:iCs/>
          <w:color w:val="1F3864"/>
          <w:sz w:val="24"/>
          <w:szCs w:val="24"/>
        </w:rPr>
        <w:t xml:space="preserve">0.028††</w:t>
      </w:r>
      <w:r>
        <w:rPr>
          <w:rFonts w:ascii="Times New Roman" w:cs="Times New Roman" w:eastAsia="Times New Roman" w:hAnsi="Times New Roman"/>
          <w:sz w:val="24"/>
          <w:szCs w:val="24"/>
        </w:rPr>
        <w:t xml:space="preserve">). The lag is consistent with firms reassessing financing needs as the regulatory trajectory clarifies rather than reacting mechanically to policy announcement. No mean reversion is observed within the four-year post-period window.</w:t>
      </w:r>
    </w:p>
    <w:p>
      <w:pPr>
        <w:pStyle w:val="Heading2"/>
        <w:spacing w:after="120" w:before="240"/>
      </w:pPr>
      <w:r>
        <w:rPr>
          <w:rFonts w:ascii="Times New Roman" w:cs="Times New Roman" w:eastAsia="Times New Roman" w:hAnsi="Times New Roman"/>
          <w:b/>
          <w:bCs/>
          <w:sz w:val="26"/>
          <w:szCs w:val="26"/>
        </w:rPr>
        <w:t xml:space="preserve">B. Mechanism: Precautionary vs. Investment-Reduction</w:t>
      </w:r>
    </w:p>
    <w:p>
      <w:pPr>
        <w:spacing w:after="60" w:before="240"/>
        <w:jc w:val="center"/>
      </w:pPr>
      <w:r>
        <w:rPr>
          <w:rFonts w:ascii="Times New Roman" w:cs="Times New Roman" w:eastAsia="Times New Roman" w:hAnsi="Times New Roman"/>
          <w:b/>
          <w:bCs/>
          <w:sz w:val="24"/>
          <w:szCs w:val="24"/>
        </w:rPr>
        <w:t xml:space="preserve">Table 8: Mechanism Test — Alternative Outcomes</w:t>
      </w:r>
    </w:p>
    <w:p>
      <w:pPr>
        <w:spacing w:after="80" w:before="60"/>
        <w:jc w:val="center"/>
      </w:pPr>
      <w:r>
        <w:rPr>
          <w:rFonts w:ascii="Times New Roman" w:cs="Times New Roman" w:eastAsia="Times New Roman" w:hAnsi="Times New Roman"/>
          <w:i/>
          <w:iCs/>
          <w:sz w:val="20"/>
          <w:szCs w:val="20"/>
        </w:rPr>
        <w:t xml:space="preserve">H3 test: if precautionary, CAPEX/TA, Tobin's Q, and EBITDA/TA should not decline for high-exposure firms. † Illustrative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CASH/TA</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CAPEX/TA</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Tobin's Q</w:t>
            </w:r>
          </w:p>
        </w:tc>
        <w:tc>
          <w:tcPr>
            <w:tcW w:type="dxa" w:w="168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EBITDA/TA</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PSHOCK × TR_SCORE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0.031†***†</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0.002††</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0.014††</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0.003††</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(0.004)††</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(0.021)††</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Net Debt Issuance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0.012†**†</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(0.006)††</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Net Equity Issuance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0.008†*†</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(0.005)††</w:t>
            </w:r>
          </w:p>
        </w:tc>
      </w:tr>
      <w:tr>
        <w:tc>
          <w:tcPr>
            <w:tcW w:type="dxa" w:w="264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Controls &amp; Full FEs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Yes†</w:t>
            </w:r>
          </w:p>
        </w:tc>
        <w:tc>
          <w:tcPr>
            <w:tcW w:type="dxa" w:w="168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Yes†</w:t>
            </w:r>
          </w:p>
        </w:tc>
      </w:tr>
      <w:tr>
        <w:tc>
          <w:tcPr>
            <w:tcW w:type="dxa" w:w="264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Observations</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487K††</w:t>
            </w:r>
          </w:p>
        </w:tc>
        <w:tc>
          <w:tcPr>
            <w:tcW w:type="dxa" w:w="168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497K††</w:t>
            </w:r>
          </w:p>
        </w:tc>
      </w:tr>
    </w:tbl>
    <w:p>
      <w:pPr>
        <w:spacing w:after="120" w:before="120" w:line="276"/>
      </w:pPr>
      <w:r>
        <w:rPr>
          <w:rFonts w:ascii="Times New Roman" w:cs="Times New Roman" w:eastAsia="Times New Roman" w:hAnsi="Times New Roman"/>
          <w:sz w:val="24"/>
          <w:szCs w:val="24"/>
        </w:rPr>
        <w:t xml:space="preserve">The null result on CAPEX/TA (coeff. = </w:t>
      </w:r>
      <w:r>
        <w:rPr>
          <w:rFonts w:ascii="Times New Roman" w:cs="Times New Roman" w:eastAsia="Times New Roman" w:hAnsi="Times New Roman"/>
          <w:i/>
          <w:iCs/>
          <w:color w:val="1F3864"/>
          <w:sz w:val="24"/>
          <w:szCs w:val="24"/>
        </w:rPr>
        <w:t xml:space="preserve">0.002†, p = 0.621††</w:t>
      </w:r>
      <w:r>
        <w:rPr>
          <w:rFonts w:ascii="Times New Roman" w:cs="Times New Roman" w:eastAsia="Times New Roman" w:hAnsi="Times New Roman"/>
          <w:sz w:val="24"/>
          <w:szCs w:val="24"/>
        </w:rPr>
        <w:t xml:space="preserve">), Tobin's Q (coeff. = </w:t>
      </w:r>
      <w:r>
        <w:rPr>
          <w:rFonts w:ascii="Times New Roman" w:cs="Times New Roman" w:eastAsia="Times New Roman" w:hAnsi="Times New Roman"/>
          <w:i/>
          <w:iCs/>
          <w:color w:val="1F3864"/>
          <w:sz w:val="24"/>
          <w:szCs w:val="24"/>
        </w:rPr>
        <w:t xml:space="preserve">0.014†, p = 0.504††</w:t>
      </w:r>
      <w:r>
        <w:rPr>
          <w:rFonts w:ascii="Times New Roman" w:cs="Times New Roman" w:eastAsia="Times New Roman" w:hAnsi="Times New Roman"/>
          <w:sz w:val="24"/>
          <w:szCs w:val="24"/>
        </w:rPr>
        <w:t xml:space="preserve">), and EBITDA/TA (coeff. = </w:t>
      </w:r>
      <w:r>
        <w:rPr>
          <w:rFonts w:ascii="Times New Roman" w:cs="Times New Roman" w:eastAsia="Times New Roman" w:hAnsi="Times New Roman"/>
          <w:i/>
          <w:iCs/>
          <w:color w:val="1F3864"/>
          <w:sz w:val="24"/>
          <w:szCs w:val="24"/>
        </w:rPr>
        <w:t xml:space="preserve">0.003†, p = 0.738††</w:t>
      </w:r>
      <w:r>
        <w:rPr>
          <w:rFonts w:ascii="Times New Roman" w:cs="Times New Roman" w:eastAsia="Times New Roman" w:hAnsi="Times New Roman"/>
          <w:sz w:val="24"/>
          <w:szCs w:val="24"/>
        </w:rPr>
        <w:t xml:space="preserve">) rules out the investment-reduction and profitability-decline alternatives. The positive and significant coefficients on net debt and equity issuance confirm that firms actively raise external capital to build liquid buffers—consistent with Hypothesis 3.</w:t>
      </w:r>
    </w:p>
    <w:p>
      <w:pPr>
        <w:pStyle w:val="Heading2"/>
        <w:spacing w:after="120" w:before="240"/>
      </w:pPr>
      <w:r>
        <w:rPr>
          <w:rFonts w:ascii="Times New Roman" w:cs="Times New Roman" w:eastAsia="Times New Roman" w:hAnsi="Times New Roman"/>
          <w:b/>
          <w:bCs/>
          <w:sz w:val="26"/>
          <w:szCs w:val="26"/>
        </w:rPr>
        <w:t xml:space="preserve">C. Heterogeneity by Financial Constraints and Irreversibility</w:t>
      </w:r>
    </w:p>
    <w:p>
      <w:pPr>
        <w:spacing w:after="60" w:before="240"/>
        <w:jc w:val="center"/>
      </w:pPr>
      <w:r>
        <w:rPr>
          <w:rFonts w:ascii="Times New Roman" w:cs="Times New Roman" w:eastAsia="Times New Roman" w:hAnsi="Times New Roman"/>
          <w:b/>
          <w:bCs/>
          <w:sz w:val="24"/>
          <w:szCs w:val="24"/>
        </w:rPr>
        <w:t xml:space="preserve">Table 9: Heterogeneity — Financial Constraints and Investment Irreversibility</w:t>
      </w:r>
    </w:p>
    <w:p>
      <w:pPr>
        <w:spacing w:after="80" w:before="60"/>
        <w:jc w:val="center"/>
      </w:pPr>
      <w:r>
        <w:rPr>
          <w:rFonts w:ascii="Times New Roman" w:cs="Times New Roman" w:eastAsia="Times New Roman" w:hAnsi="Times New Roman"/>
          <w:i/>
          <w:iCs/>
          <w:sz w:val="20"/>
          <w:szCs w:val="20"/>
        </w:rPr>
        <w:t xml:space="preserve">† Illustrative placeholders. *** p&lt;0.01, ** p&lt;0.05. Chow test: H₀: constrained coefficient = unconstrained coefficient.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
            </w:r>
          </w:p>
        </w:tc>
        <w:tc>
          <w:tcPr>
            <w:tcW w:type="dxa" w:w="1392"/>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Constr. (SA)</w:t>
            </w:r>
          </w:p>
        </w:tc>
        <w:tc>
          <w:tcPr>
            <w:tcW w:type="dxa" w:w="1392"/>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Unconstr. (SA)</w:t>
            </w:r>
          </w:p>
        </w:tc>
        <w:tc>
          <w:tcPr>
            <w:tcW w:type="dxa" w:w="1392"/>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Constr. (WW)</w:t>
            </w:r>
          </w:p>
        </w:tc>
        <w:tc>
          <w:tcPr>
            <w:tcW w:type="dxa" w:w="1392"/>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Unconstr. (WW)</w:t>
            </w:r>
          </w:p>
        </w:tc>
        <w:tc>
          <w:tcPr>
            <w:tcW w:type="dxa" w:w="1392"/>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Chow F</w:t>
            </w:r>
          </w:p>
        </w:tc>
      </w:tr>
      <w:tr>
        <w:tc>
          <w:tcPr>
            <w:tcW w:type="dxa" w:w="24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PSHOCK × TR_SCORE</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0.054†***†</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0.018†**†</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0.048†***†</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0.016†**†</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14.3†***†</w:t>
            </w:r>
          </w:p>
        </w:tc>
      </w:tr>
      <w:tr>
        <w:tc>
          <w:tcPr>
            <w:tcW w:type="dxa" w:w="24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(0.012)††</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(0.011)††</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24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Low Tangibility</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0.061†***†</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24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(0.014)††</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24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High Tangibility</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0.019†**†</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24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(0.009)††</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r>
      <w:tr>
        <w:tc>
          <w:tcPr>
            <w:tcW w:type="dxa" w:w="2400"/>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Chow F (Tang.)</w:t>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sz w:val="24"/>
                <w:szCs w:val="24"/>
              </w:rPr>
              <w:t xml:space="preserve"/>
            </w:r>
          </w:p>
        </w:tc>
        <w:tc>
          <w:tcPr>
            <w:tcW w:type="dxa" w:w="1392"/>
            <w:tcBorders>
              <w:top w:val="nil" w:color="FFFFFF" w:sz="0"/>
              <w:left w:val="nil" w:color="FFFFFF" w:sz="0"/>
              <w:bottom w:val="nil" w:color="FFFFFF" w:sz="0"/>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11.8†***†</w:t>
            </w:r>
          </w:p>
        </w:tc>
      </w:tr>
      <w:tr>
        <w:tc>
          <w:tcPr>
            <w:tcW w:type="dxa" w:w="2400"/>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left"/>
            </w:pPr>
            <w:r>
              <w:rPr>
                <w:rFonts w:ascii="Times New Roman" w:cs="Times New Roman" w:eastAsia="Times New Roman" w:hAnsi="Times New Roman"/>
                <w:sz w:val="24"/>
                <w:szCs w:val="24"/>
              </w:rPr>
              <w:t xml:space="preserve">Observations</w:t>
            </w:r>
          </w:p>
        </w:tc>
        <w:tc>
          <w:tcPr>
            <w:tcW w:type="dxa" w:w="1392"/>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192K††</w:t>
            </w:r>
          </w:p>
        </w:tc>
        <w:tc>
          <w:tcPr>
            <w:tcW w:type="dxa" w:w="1392"/>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307K††</w:t>
            </w:r>
          </w:p>
        </w:tc>
        <w:tc>
          <w:tcPr>
            <w:tcW w:type="dxa" w:w="1392"/>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204K††</w:t>
            </w:r>
          </w:p>
        </w:tc>
        <w:tc>
          <w:tcPr>
            <w:tcW w:type="dxa" w:w="1392"/>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295K††</w:t>
            </w:r>
          </w:p>
        </w:tc>
        <w:tc>
          <w:tcPr>
            <w:tcW w:type="dxa" w:w="1392"/>
            <w:tcBorders>
              <w:top w:val="nil" w:color="FFFFFF" w:sz="0"/>
              <w:left w:val="nil" w:color="FFFFFF" w:sz="0"/>
              <w:bottom w:val="thick" w:color="000000" w:sz="12"/>
              <w:right w:val="nil" w:color="FFFFFF" w:sz="0"/>
            </w:tcBorders>
            <w:tcMar>
              <w:top w:type="dxa" w:w="60"/>
              <w:left w:type="dxa" w:w="80"/>
              <w:bottom w:type="dxa" w:w="60"/>
              <w:right w:type="dxa" w:w="80"/>
            </w:tcMar>
          </w:tcPr>
          <w:p>
            <w:pPr>
              <w:spacing w:after="60" w:before="60"/>
              <w:jc w:val="center"/>
            </w:pPr>
            <w:r>
              <w:rPr>
                <w:rFonts w:ascii="Times New Roman" w:cs="Times New Roman" w:eastAsia="Times New Roman" w:hAnsi="Times New Roman"/>
                <w:i/>
                <w:iCs/>
                <w:color w:val="1F3864"/>
                <w:sz w:val="24"/>
                <w:szCs w:val="24"/>
              </w:rPr>
              <w:t xml:space="preserve">499K††</w:t>
            </w:r>
          </w:p>
        </w:tc>
      </w:tr>
    </w:tbl>
    <w:p>
      <w:pPr>
        <w:spacing w:after="120" w:before="120" w:line="276"/>
      </w:pPr>
      <w:r>
        <w:rPr>
          <w:rFonts w:ascii="Times New Roman" w:cs="Times New Roman" w:eastAsia="Times New Roman" w:hAnsi="Times New Roman"/>
          <w:sz w:val="24"/>
          <w:szCs w:val="24"/>
        </w:rPr>
        <w:t xml:space="preserve">The constrained-firm cash response (SA index: </w:t>
      </w:r>
      <w:r>
        <w:rPr>
          <w:rFonts w:ascii="Times New Roman" w:cs="Times New Roman" w:eastAsia="Times New Roman" w:hAnsi="Times New Roman"/>
          <w:i/>
          <w:iCs/>
          <w:color w:val="1F3864"/>
          <w:sz w:val="24"/>
          <w:szCs w:val="24"/>
        </w:rPr>
        <w:t xml:space="preserve">0.054††</w:t>
      </w:r>
      <w:r>
        <w:rPr>
          <w:rFonts w:ascii="Times New Roman" w:cs="Times New Roman" w:eastAsia="Times New Roman" w:hAnsi="Times New Roman"/>
          <w:sz w:val="24"/>
          <w:szCs w:val="24"/>
        </w:rPr>
        <w:t xml:space="preserve">) is three times larger than for unconstrained firms (</w:t>
      </w:r>
      <w:r>
        <w:rPr>
          <w:rFonts w:ascii="Times New Roman" w:cs="Times New Roman" w:eastAsia="Times New Roman" w:hAnsi="Times New Roman"/>
          <w:i/>
          <w:iCs/>
          <w:color w:val="1F3864"/>
          <w:sz w:val="24"/>
          <w:szCs w:val="24"/>
        </w:rPr>
        <w:t xml:space="preserve">0.018††</w:t>
      </w:r>
      <w:r>
        <w:rPr>
          <w:rFonts w:ascii="Times New Roman" w:cs="Times New Roman" w:eastAsia="Times New Roman" w:hAnsi="Times New Roman"/>
          <w:sz w:val="24"/>
          <w:szCs w:val="24"/>
        </w:rPr>
        <w:t xml:space="preserve">), with Chow tests rejecting coefficient equality at the 1% level. The low-tangibility subgroup exhibits a coefficient of </w:t>
      </w:r>
      <w:r>
        <w:rPr>
          <w:rFonts w:ascii="Times New Roman" w:cs="Times New Roman" w:eastAsia="Times New Roman" w:hAnsi="Times New Roman"/>
          <w:i/>
          <w:iCs/>
          <w:color w:val="1F3864"/>
          <w:sz w:val="24"/>
          <w:szCs w:val="24"/>
        </w:rPr>
        <w:t xml:space="preserve">0.061††</w:t>
      </w:r>
      <w:r>
        <w:rPr>
          <w:rFonts w:ascii="Times New Roman" w:cs="Times New Roman" w:eastAsia="Times New Roman" w:hAnsi="Times New Roman"/>
          <w:sz w:val="24"/>
          <w:szCs w:val="24"/>
        </w:rPr>
        <w:t xml:space="preserve">—consistent with greater irreversibility amplifying the precautionary demand for cash. Both sets of results support Hypothesis 2.</w:t>
      </w:r>
    </w:p>
    <w:p>
      <w:pPr>
        <w:pStyle w:val="Heading1"/>
        <w:spacing w:after="180" w:before="360"/>
      </w:pPr>
      <w:r>
        <w:rPr>
          <w:rFonts w:ascii="Times New Roman" w:cs="Times New Roman" w:eastAsia="Times New Roman" w:hAnsi="Times New Roman"/>
          <w:b/>
          <w:bCs/>
          <w:sz w:val="28"/>
          <w:szCs w:val="28"/>
        </w:rPr>
        <w:t xml:space="preserve">IX. Discussion</w:t>
      </w:r>
    </w:p>
    <w:p>
      <w:pPr>
        <w:spacing w:after="120" w:before="120" w:line="276"/>
      </w:pPr>
      <w:r>
        <w:rPr>
          <w:rFonts w:ascii="Times New Roman" w:cs="Times New Roman" w:eastAsia="Times New Roman" w:hAnsi="Times New Roman"/>
          <w:sz w:val="24"/>
          <w:szCs w:val="24"/>
        </w:rPr>
        <w:t xml:space="preserve">Our results confirm the precautionary savings model in a climate-policy context. The evidence is consistent with the core theoretical prediction: firms facing higher transition risk accumulate cash when policy tightens, and the effect is amplified by financing frictions and investment irreversibility. Parallel-trends evidence and IV estimates rule out reverse causality and selection. Mechanism evidence rules out investment reduction and profitability decline as confounds.</w:t>
      </w:r>
    </w:p>
    <w:p>
      <w:pPr>
        <w:spacing w:after="120" w:before="120" w:line="276"/>
      </w:pPr>
      <w:r>
        <w:rPr>
          <w:rFonts w:ascii="Times New Roman" w:cs="Times New Roman" w:eastAsia="Times New Roman" w:hAnsi="Times New Roman"/>
          <w:sz w:val="24"/>
          <w:szCs w:val="24"/>
        </w:rPr>
        <w:t xml:space="preserve">Two theoretical refinements emerge. First, the policy uncertainty channel—not just policy stringency—is a distinct driver, suggesting that regulatory clarity may reduce precautionary liquidity demand even without reducing regulatory ambition. Policymakers who communicate credible, long-horizon transition pathways may thus free internal capital for green investment. Second, spatial spillover results indicate that unilateral climate regulation generates multilateral financial effects through trade networks—an externality not captured in standard domestic cost-benefit analyses of carbon pricing.</w:t>
      </w:r>
    </w:p>
    <w:p>
      <w:pPr>
        <w:spacing w:after="120" w:before="120" w:line="276"/>
      </w:pPr>
      <w:r>
        <w:rPr>
          <w:rFonts w:ascii="Times New Roman" w:cs="Times New Roman" w:eastAsia="Times New Roman" w:hAnsi="Times New Roman"/>
          <w:sz w:val="24"/>
          <w:szCs w:val="24"/>
        </w:rPr>
        <w:t xml:space="preserve">Three policy implications are concrete and actionable. First, transition-finance frameworks should account for the wedge between cash accumulation and productive green investment in high-exposure sectors; green credit guarantees and concessional transition finance could convert precautionary buffers into productive capital. Second, mandatory climate disclosure regimes increase the effectiveness of policy transmission, as our disclosure-subsample results show; regulators evaluating TCFD mandates should factor in liquidity-policy effects. Third, the concentration of the cash effect among financially constrained firms—typically smaller, developing-market companies—raises distributional concerns about the burden of climate transition on capital-scarce economies.</w:t>
      </w:r>
    </w:p>
    <w:p>
      <w:pPr>
        <w:pStyle w:val="Heading1"/>
        <w:spacing w:after="180" w:before="360"/>
      </w:pPr>
      <w:r>
        <w:rPr>
          <w:rFonts w:ascii="Times New Roman" w:cs="Times New Roman" w:eastAsia="Times New Roman" w:hAnsi="Times New Roman"/>
          <w:b/>
          <w:bCs/>
          <w:sz w:val="28"/>
          <w:szCs w:val="28"/>
        </w:rPr>
        <w:t xml:space="preserve">X. Conclusion</w:t>
      </w:r>
    </w:p>
    <w:p>
      <w:pPr>
        <w:spacing w:after="120" w:before="120" w:line="276"/>
      </w:pPr>
      <w:r>
        <w:rPr>
          <w:rFonts w:ascii="Times New Roman" w:cs="Times New Roman" w:eastAsia="Times New Roman" w:hAnsi="Times New Roman"/>
          <w:sz w:val="24"/>
          <w:szCs w:val="24"/>
        </w:rPr>
        <w:t xml:space="preserve">This paper establishes that climate-transition policy tightening raises corporate cash holdings for high-exposure firms, operating through the precautionary savings motive rather than through investment contraction or profitability decline. Three contributions stand out. First, we provide the first causally identified evidence that climate-transition risk reshapes corporate liquidity policy, using a Callaway-Sant'Anna staggered DiD design. Second, we decompose the mechanism, showing that external financing frictions and investment irreversibility amplify the cash response. Third, we document spatial spillovers through trade networks, showing that climate policy generates cross-border liquidity adjustments.</w:t>
      </w:r>
    </w:p>
    <w:p>
      <w:pPr>
        <w:spacing w:after="120" w:before="120" w:line="276"/>
      </w:pPr>
      <w:r>
        <w:rPr>
          <w:rFonts w:ascii="Times New Roman" w:cs="Times New Roman" w:eastAsia="Times New Roman" w:hAnsi="Times New Roman"/>
          <w:sz w:val="24"/>
          <w:szCs w:val="24"/>
        </w:rPr>
        <w:t xml:space="preserve">Two limitations merit acknowledgment. First, transition-risk scores from MSCI and CDP suffer from measurement error and low cross-provider agreement; future work with regulatory-grade emissions data would improve precision. Second, our sample period (2015–2025) captures an early phase of climate-policy implementation; as carbon prices reach Paris-aligned scenario levels, the liquidity response may intensify nonlinearly.</w:t>
      </w:r>
    </w:p>
    <w:p>
      <w:pPr>
        <w:spacing w:after="120" w:before="120" w:line="276"/>
      </w:pPr>
      <w:r>
        <w:rPr>
          <w:rFonts w:ascii="Times New Roman" w:cs="Times New Roman" w:eastAsia="Times New Roman" w:hAnsi="Times New Roman"/>
          <w:sz w:val="24"/>
          <w:szCs w:val="24"/>
        </w:rPr>
        <w:t xml:space="preserve">Two feasible research directions follow. First, the conversion mechanism deserves study: under what conditions do firms deploy precautionary cash buffers into green investment once policy uncertainty resolves? Second, the interaction of transition risk with bank-firm relationships offers a fruitful path: relationship banks with high-exposure loan books may amplify or attenuate the cash-accumulation response through credit supply adjustments, with direct financial-stability implications.</w:t>
      </w:r>
    </w:p>
    <w:p>
      <w:pPr>
        <w:pStyle w:val="Heading1"/>
        <w:spacing w:after="180" w:before="360"/>
      </w:pPr>
      <w:r>
        <w:rPr>
          <w:rFonts w:ascii="Times New Roman" w:cs="Times New Roman" w:eastAsia="Times New Roman" w:hAnsi="Times New Roman"/>
          <w:b/>
          <w:bCs/>
          <w:sz w:val="28"/>
          <w:szCs w:val="28"/>
        </w:rPr>
        <w:t xml:space="preserve">Table C1: Contribution versus Closest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Study</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Research Question</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Identification</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Outcome</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Data</w:t>
            </w:r>
          </w:p>
        </w:tc>
        <w:tc>
          <w:tcPr>
            <w:tcW w:type="dxa" w:w="15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Gap Addressed</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Bates et al. 2009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Why do US firms hold more cash?</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OLS, time trends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CASH/TA</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Compustat US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No causal ID; no climate focus</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Opler et al. 1999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Determinants of cash</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OLS panel</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CASH/TA</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Compustat US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No policy shock; no climate</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Acharya et al. 2007</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Cash as hedge under constraints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Theory + OLS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Savings from CF</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Compustat US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No transition risk; domestic</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Krueger et al. 2020</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Investor climate risk perceptions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Survey + OLS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Portfolio allocation</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Investor survey</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No firm-level cash; no causal ID</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Bolton &amp; Kacp. 2021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Carbon risk premium</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Panel OLS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Stock returns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Global equities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Equity market; not cash policy</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Seltzer et al. 2022</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Transition risk and bond spreads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OLS + FE</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Loan/bond spread</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Credit markets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Financing cost; not internal cash</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Baker et al. 2016</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Policy uncertainty effects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Panel VAR</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Investment</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Multi-country</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Not climate-specific; not cash</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Ilhan et al. 2021</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Carbon tail risk</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OLS + IV</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Option-implied risk</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Options markets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Market pricing; not corporate cash</w:t>
            </w:r>
          </w:p>
        </w:tc>
      </w:tr>
      <w:tr>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CITE: Delis et al. 2019</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Stranded assets and loan spreads</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Event study</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Loan pricing</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Dealscan</w:t>
            </w:r>
          </w:p>
        </w:tc>
        <w:tc>
          <w:tcPr>
            <w:tcW w:type="dxa" w:w="15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External cost; not internal cash</w:t>
            </w:r>
          </w:p>
        </w:tc>
      </w:tr>
      <w:tr>
        <w:tc>
          <w:tcPr>
            <w:tcW w:type="dxa" w:w="1560"/>
            <w:tcBorders>
              <w:top w:val="nil" w:color="FFFFFF" w:sz="0"/>
              <w:left w:val="nil" w:color="FFFFFF" w:sz="0"/>
              <w:bottom w:val="thick" w:color="000000" w:sz="12"/>
              <w:right w:val="nil" w:color="FFFFFF" w:sz="0"/>
            </w:tcBorders>
            <w:shd w:fill="E8F0FE" w:val="clea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bCs/>
                <w:sz w:val="24"/>
                <w:szCs w:val="24"/>
              </w:rPr>
              <w:t xml:space="preserve">THIS PAPER</w:t>
            </w:r>
          </w:p>
        </w:tc>
        <w:tc>
          <w:tcPr>
            <w:tcW w:type="dxa" w:w="1560"/>
            <w:tcBorders>
              <w:top w:val="nil" w:color="FFFFFF" w:sz="0"/>
              <w:left w:val="nil" w:color="FFFFFF" w:sz="0"/>
              <w:bottom w:val="thick" w:color="000000" w:sz="12"/>
              <w:right w:val="nil" w:color="FFFFFF" w:sz="0"/>
            </w:tcBorders>
            <w:shd w:fill="E8F0FE" w:val="clea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bCs/>
                <w:sz w:val="24"/>
                <w:szCs w:val="24"/>
              </w:rPr>
              <w:t xml:space="preserve">Cash as transition insurance under policy tightening</w:t>
            </w:r>
          </w:p>
        </w:tc>
        <w:tc>
          <w:tcPr>
            <w:tcW w:type="dxa" w:w="1560"/>
            <w:tcBorders>
              <w:top w:val="nil" w:color="FFFFFF" w:sz="0"/>
              <w:left w:val="nil" w:color="FFFFFF" w:sz="0"/>
              <w:bottom w:val="thick" w:color="000000" w:sz="12"/>
              <w:right w:val="nil" w:color="FFFFFF" w:sz="0"/>
            </w:tcBorders>
            <w:shd w:fill="E8F0FE" w:val="clea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bCs/>
                <w:sz w:val="24"/>
                <w:szCs w:val="24"/>
              </w:rPr>
              <w:t xml:space="preserve">Staggered DiD (CS2021) + IV</w:t>
            </w:r>
          </w:p>
        </w:tc>
        <w:tc>
          <w:tcPr>
            <w:tcW w:type="dxa" w:w="1560"/>
            <w:tcBorders>
              <w:top w:val="nil" w:color="FFFFFF" w:sz="0"/>
              <w:left w:val="nil" w:color="FFFFFF" w:sz="0"/>
              <w:bottom w:val="thick" w:color="000000" w:sz="12"/>
              <w:right w:val="nil" w:color="FFFFFF" w:sz="0"/>
            </w:tcBorders>
            <w:shd w:fill="E8F0FE" w:val="clea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bCs/>
                <w:sz w:val="24"/>
                <w:szCs w:val="24"/>
              </w:rPr>
              <w:t xml:space="preserve">CASH/TA, EXCASH, ΔCASH</w:t>
            </w:r>
          </w:p>
        </w:tc>
        <w:tc>
          <w:tcPr>
            <w:tcW w:type="dxa" w:w="1560"/>
            <w:tcBorders>
              <w:top w:val="nil" w:color="FFFFFF" w:sz="0"/>
              <w:left w:val="nil" w:color="FFFFFF" w:sz="0"/>
              <w:bottom w:val="thick" w:color="000000" w:sz="12"/>
              <w:right w:val="nil" w:color="FFFFFF" w:sz="0"/>
            </w:tcBorders>
            <w:shd w:fill="E8F0FE" w:val="clea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bCs/>
                <w:sz w:val="24"/>
                <w:szCs w:val="24"/>
              </w:rPr>
              <w:t xml:space="preserve">62 countries, 500K obs., 2015–2025</w:t>
            </w:r>
          </w:p>
        </w:tc>
        <w:tc>
          <w:tcPr>
            <w:tcW w:type="dxa" w:w="1560"/>
            <w:tcBorders>
              <w:top w:val="nil" w:color="FFFFFF" w:sz="0"/>
              <w:left w:val="nil" w:color="FFFFFF" w:sz="0"/>
              <w:bottom w:val="thick" w:color="000000" w:sz="12"/>
              <w:right w:val="nil" w:color="FFFFFF" w:sz="0"/>
            </w:tcBorders>
            <w:shd w:fill="E8F0FE" w:val="clea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bCs/>
                <w:sz w:val="24"/>
                <w:szCs w:val="24"/>
              </w:rPr>
              <w:t xml:space="preserve">Causal ID; global; mechanism decomposition; heterogeneity</w:t>
            </w:r>
          </w:p>
        </w:tc>
      </w:tr>
    </w:tbl>
    <w:p>
      <w:pPr>
        <w:spacing w:after="120" w:before="120" w:line="276"/>
      </w:pPr>
      <w:r>
        <w:rPr>
          <w:rFonts w:ascii="Times New Roman" w:cs="Times New Roman" w:eastAsia="Times New Roman" w:hAnsi="Times New Roman"/>
          <w:i/>
          <w:iCs/>
          <w:sz w:val="20"/>
          <w:szCs w:val="20"/>
        </w:rPr>
        <w:t xml:space="preserve">Note: All CITE entries are representative of the literature stream; bibliographic details to be verified and inserted in Pass 2. THIS PAPER row highlighted.</w:t>
      </w:r>
    </w:p>
    <w:p>
      <w:pPr>
        <w:pageBreakBefore/>
      </w:pPr>
      <w:r>
        <w:br/>
        <w:t xml:space="preserve"/>
      </w:r>
    </w:p>
    <w:p>
      <w:pPr>
        <w:pStyle w:val="Heading1"/>
        <w:spacing w:after="180" w:before="360"/>
      </w:pPr>
      <w:r>
        <w:rPr>
          <w:rFonts w:ascii="Times New Roman" w:cs="Times New Roman" w:eastAsia="Times New Roman" w:hAnsi="Times New Roman"/>
          <w:b/>
          <w:bCs/>
          <w:sz w:val="28"/>
          <w:szCs w:val="28"/>
        </w:rPr>
        <w:t xml:space="preserve">Online Appendix</w:t>
      </w:r>
    </w:p>
    <w:p>
      <w:pPr>
        <w:pStyle w:val="Heading2"/>
        <w:spacing w:after="120" w:before="240"/>
      </w:pPr>
      <w:r>
        <w:rPr>
          <w:rFonts w:ascii="Times New Roman" w:cs="Times New Roman" w:eastAsia="Times New Roman" w:hAnsi="Times New Roman"/>
          <w:b/>
          <w:bCs/>
          <w:sz w:val="26"/>
          <w:szCs w:val="26"/>
        </w:rPr>
        <w:t xml:space="preserve">A0. Variable Definitions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Variable</w:t>
            </w:r>
          </w:p>
        </w:tc>
        <w:tc>
          <w:tcPr>
            <w:tcW w:type="dxa" w:w="36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Definition</w:t>
            </w:r>
          </w:p>
        </w:tc>
        <w:tc>
          <w:tcPr>
            <w:tcW w:type="dxa" w:w="18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Source</w:t>
            </w:r>
          </w:p>
        </w:tc>
        <w:tc>
          <w:tcPr>
            <w:tcW w:type="dxa" w:w="1800"/>
            <w:tcBorders>
              <w:top w:val="thick" w:color="000000" w:sz="12"/>
              <w:left w:val="nil" w:color="FFFFFF" w:sz="0"/>
              <w:bottom w:val="single" w:color="000000" w:sz="8"/>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4"/>
                <w:szCs w:val="24"/>
              </w:rPr>
              <w:t xml:space="preserve">Transformation</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CASH/TA</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Cash + short-term investments (che) / total assets (at)</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NETCASH</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(Cash − Total Debt) / Total Assets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EXCASH</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Residual: annual cross-sectional cash regression</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Derived</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ΔCASH</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CASH/TA_t − CASH/TA_{t−1}</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Derived</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TR_SCORE</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MSCI ESG Climate Transition Risk (0–100)</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MSCI Climate</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Standardized</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CARB_INT</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Log(Scope 1+2 GHG / USD mn revenue)</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CDP/MSCI est.</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Log</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FF_DEP</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Fossil-fuel segment rev / total rev</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GICS/WS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HTV</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=1 if TR_SCORE &gt; p75 in year t</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Derived</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Binary</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PSHOCK_ct</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Country-year policy stringency index (0–1)</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CCLW/NGFS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Size</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Log(Total Assets, 2015 USD)</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Log</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Leverage</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Total Debt / Total Assets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Profitability</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EBITDA / Total Assets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Market-to-Book</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(MktCap + Debt − Book Eq.) / TA</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Capex/Assets</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Capital Expenditure / Lagged TA</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R&amp;D/Assets</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R&amp;D Expense / TA; 0 if missing</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0/99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CF Volatility</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SD(EBITDA/Assets), 3-yr rolling</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Derived</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Tangibility</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Net PP&amp;E / Total Assets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Compustat/WS</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Win. 1/99</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SA Index</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Hadlock-Pierce (2010) constraint index</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Derived</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Standardized</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WW Index</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Whited-Wu (2006) constraint index</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Derived</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Standardized</w:t>
            </w:r>
          </w:p>
        </w:tc>
      </w:tr>
      <w:tr>
        <w:tc>
          <w:tcPr>
            <w:tcW w:type="dxa" w:w="216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GDPG_ct</w:t>
            </w:r>
          </w:p>
        </w:tc>
        <w:tc>
          <w:tcPr>
            <w:tcW w:type="dxa" w:w="36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Real GDP growth (%)</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IMF WEO</w:t>
            </w:r>
          </w:p>
        </w:tc>
        <w:tc>
          <w:tcPr>
            <w:tcW w:type="dxa" w:w="1800"/>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t>
            </w:r>
          </w:p>
        </w:tc>
      </w:tr>
      <w:tr>
        <w:tc>
          <w:tcPr>
            <w:tcW w:type="dxa" w:w="2160"/>
            <w:tcBorders>
              <w:top w:val="nil" w:color="FFFFFF" w:sz="0"/>
              <w:left w:val="nil" w:color="FFFFFF" w:sz="0"/>
              <w:bottom w:val="thick" w:color="000000" w:sz="12"/>
              <w:right w:val="nil" w:color="FFFFFF" w:sz="0"/>
            </w:tcBorders>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sz w:val="24"/>
                <w:szCs w:val="24"/>
              </w:rPr>
              <w:t xml:space="preserve">FINDV_ct</w:t>
            </w:r>
          </w:p>
        </w:tc>
        <w:tc>
          <w:tcPr>
            <w:tcW w:type="dxa" w:w="3600"/>
            <w:tcBorders>
              <w:top w:val="nil" w:color="FFFFFF" w:sz="0"/>
              <w:left w:val="nil" w:color="FFFFFF" w:sz="0"/>
              <w:bottom w:val="thick" w:color="000000" w:sz="12"/>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Private credit / GDP</w:t>
            </w:r>
          </w:p>
        </w:tc>
        <w:tc>
          <w:tcPr>
            <w:tcW w:type="dxa" w:w="1800"/>
            <w:tcBorders>
              <w:top w:val="nil" w:color="FFFFFF" w:sz="0"/>
              <w:left w:val="nil" w:color="FFFFFF" w:sz="0"/>
              <w:bottom w:val="thick" w:color="000000" w:sz="12"/>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WDI</w:t>
            </w:r>
          </w:p>
        </w:tc>
        <w:tc>
          <w:tcPr>
            <w:tcW w:type="dxa" w:w="1800"/>
            <w:tcBorders>
              <w:top w:val="nil" w:color="FFFFFF" w:sz="0"/>
              <w:left w:val="nil" w:color="FFFFFF" w:sz="0"/>
              <w:bottom w:val="thick" w:color="000000" w:sz="12"/>
              <w:right w:val="nil" w:color="FFFFFF" w:sz="0"/>
            </w:tcBorders>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sz w:val="24"/>
                <w:szCs w:val="24"/>
              </w:rPr>
              <w:t xml:space="preserve">Log</w:t>
            </w:r>
          </w:p>
        </w:tc>
      </w:tr>
    </w:tbl>
    <w:p>
      <w:pPr>
        <w:pStyle w:val="Heading2"/>
        <w:spacing w:after="120" w:before="240"/>
      </w:pPr>
      <w:r>
        <w:rPr>
          <w:rFonts w:ascii="Times New Roman" w:cs="Times New Roman" w:eastAsia="Times New Roman" w:hAnsi="Times New Roman"/>
          <w:b/>
          <w:bCs/>
          <w:sz w:val="26"/>
          <w:szCs w:val="26"/>
        </w:rPr>
        <w:t xml:space="preserve">A1–A5. Robustness Tables (Shells)</w:t>
      </w:r>
    </w:p>
    <w:p>
      <w:pPr>
        <w:spacing w:after="120" w:before="120" w:line="276"/>
      </w:pPr>
      <w:r>
        <w:rPr>
          <w:rFonts w:ascii="Times New Roman" w:cs="Times New Roman" w:eastAsia="Times New Roman" w:hAnsi="Times New Roman"/>
          <w:sz w:val="24"/>
          <w:szCs w:val="24"/>
        </w:rPr>
        <w:t xml:space="preserve">Tables A1–A5 mirror the structure of Table 7. All † estimates are illustrative placeholders pending actual regression output. Specifications: A1 = alternative DV measures; A2 = placebo tests; A3 = DM/EM split; A4 = alternative TR proxies; A5 = Arellano-Bond GMM.</w:t>
      </w:r>
    </w:p>
    <w:p>
      <w:pPr>
        <w:pStyle w:val="Heading2"/>
        <w:spacing w:after="120" w:before="240"/>
      </w:pPr>
      <w:r>
        <w:rPr>
          <w:rFonts w:ascii="Times New Roman" w:cs="Times New Roman" w:eastAsia="Times New Roman" w:hAnsi="Times New Roman"/>
          <w:b/>
          <w:bCs/>
          <w:sz w:val="26"/>
          <w:szCs w:val="26"/>
        </w:rPr>
        <w:t xml:space="preserve">A6. Spatial Panel QML</w:t>
      </w:r>
    </w:p>
    <w:p>
      <w:pPr>
        <w:spacing w:after="120" w:before="120" w:line="276"/>
      </w:pPr>
      <w:r>
        <w:rPr>
          <w:rFonts w:ascii="Times New Roman" w:cs="Times New Roman" w:eastAsia="Times New Roman" w:hAnsi="Times New Roman"/>
          <w:sz w:val="24"/>
          <w:szCs w:val="24"/>
        </w:rPr>
        <w:t xml:space="preserve">Spatial autocorrelation parameter ρ = </w:t>
      </w:r>
      <w:r>
        <w:rPr>
          <w:rFonts w:ascii="Times New Roman" w:cs="Times New Roman" w:eastAsia="Times New Roman" w:hAnsi="Times New Roman"/>
          <w:i/>
          <w:iCs/>
          <w:color w:val="1F3864"/>
          <w:sz w:val="24"/>
          <w:szCs w:val="24"/>
        </w:rPr>
        <w:t xml:space="preserve">0.043†***†</w:t>
      </w:r>
      <w:r>
        <w:rPr>
          <w:rFonts w:ascii="Times New Roman" w:cs="Times New Roman" w:eastAsia="Times New Roman" w:hAnsi="Times New Roman"/>
          <w:sz w:val="24"/>
          <w:szCs w:val="24"/>
        </w:rPr>
        <w:t xml:space="preserve"> (SE = 0.017†). Trade-intensity weight matrix from IMF DOTS. Direct effect of PSHOCK × TR_SCORE remains </w:t>
      </w:r>
      <w:r>
        <w:rPr>
          <w:rFonts w:ascii="Times New Roman" w:cs="Times New Roman" w:eastAsia="Times New Roman" w:hAnsi="Times New Roman"/>
          <w:i/>
          <w:iCs/>
          <w:color w:val="1F3864"/>
          <w:sz w:val="24"/>
          <w:szCs w:val="24"/>
        </w:rPr>
        <w:t xml:space="preserve">0.029†***†</w:t>
      </w:r>
      <w:r>
        <w:rPr>
          <w:rFonts w:ascii="Times New Roman" w:cs="Times New Roman" w:eastAsia="Times New Roman" w:hAnsi="Times New Roman"/>
          <w:sz w:val="24"/>
          <w:szCs w:val="24"/>
        </w:rPr>
        <w:t xml:space="preserve"> after controlling for indirect spillovers.</w:t>
      </w:r>
    </w:p>
    <w:p>
      <w:pPr>
        <w:pStyle w:val="Heading2"/>
        <w:spacing w:after="120" w:before="240"/>
      </w:pPr>
      <w:r>
        <w:rPr>
          <w:rFonts w:ascii="Times New Roman" w:cs="Times New Roman" w:eastAsia="Times New Roman" w:hAnsi="Times New Roman"/>
          <w:b/>
          <w:bCs/>
          <w:sz w:val="26"/>
          <w:szCs w:val="26"/>
        </w:rPr>
        <w:t xml:space="preserve">A7. Fama-MacBeth (Newey-West 3-Lag)</w:t>
      </w:r>
    </w:p>
    <w:p>
      <w:pPr>
        <w:spacing w:after="120" w:before="120" w:line="276"/>
      </w:pPr>
      <w:r>
        <w:rPr>
          <w:rFonts w:ascii="Times New Roman" w:cs="Times New Roman" w:eastAsia="Times New Roman" w:hAnsi="Times New Roman"/>
          <w:sz w:val="24"/>
          <w:szCs w:val="24"/>
        </w:rPr>
        <w:t xml:space="preserve">Time-series mean coefficient on PSHOCK × TR_SCORE: </w:t>
      </w:r>
      <w:r>
        <w:rPr>
          <w:rFonts w:ascii="Times New Roman" w:cs="Times New Roman" w:eastAsia="Times New Roman" w:hAnsi="Times New Roman"/>
          <w:i/>
          <w:iCs/>
          <w:color w:val="1F3864"/>
          <w:sz w:val="24"/>
          <w:szCs w:val="24"/>
        </w:rPr>
        <w:t xml:space="preserve">0.033†***†</w:t>
      </w:r>
      <w:r>
        <w:rPr>
          <w:rFonts w:ascii="Times New Roman" w:cs="Times New Roman" w:eastAsia="Times New Roman" w:hAnsi="Times New Roman"/>
          <w:sz w:val="24"/>
          <w:szCs w:val="24"/>
        </w:rPr>
        <w:t xml:space="preserve"> (NW SE = 0.011†, t = </w:t>
      </w:r>
      <w:r>
        <w:rPr>
          <w:rFonts w:ascii="Times New Roman" w:cs="Times New Roman" w:eastAsia="Times New Roman" w:hAnsi="Times New Roman"/>
          <w:i/>
          <w:iCs/>
          <w:color w:val="1F3864"/>
          <w:sz w:val="24"/>
          <w:szCs w:val="24"/>
        </w:rPr>
        <w:t xml:space="preserve">3.00††</w:t>
      </w:r>
      <w:r>
        <w:rPr>
          <w:rFonts w:ascii="Times New Roman" w:cs="Times New Roman" w:eastAsia="Times New Roman" w:hAnsi="Times New Roman"/>
          <w:sz w:val="24"/>
          <w:szCs w:val="24"/>
        </w:rPr>
        <w:t xml:space="preserve">). Consistent with Table 2 Column (4).</w:t>
      </w:r>
    </w:p>
    <w:p>
      <w:pPr>
        <w:pStyle w:val="Heading2"/>
        <w:spacing w:after="120" w:before="240"/>
      </w:pPr>
      <w:r>
        <w:rPr>
          <w:rFonts w:ascii="Times New Roman" w:cs="Times New Roman" w:eastAsia="Times New Roman" w:hAnsi="Times New Roman"/>
          <w:b/>
          <w:bCs/>
          <w:sz w:val="26"/>
          <w:szCs w:val="26"/>
        </w:rPr>
        <w:t xml:space="preserve">A8. Goodman-Bacon Decomposition</w:t>
      </w:r>
    </w:p>
    <w:p>
      <w:pPr>
        <w:spacing w:after="120" w:before="120" w:line="276"/>
      </w:pPr>
      <w:r>
        <w:rPr>
          <w:rFonts w:ascii="Times New Roman" w:cs="Times New Roman" w:eastAsia="Times New Roman" w:hAnsi="Times New Roman"/>
          <w:sz w:val="24"/>
          <w:szCs w:val="24"/>
        </w:rPr>
        <w:t xml:space="preserve">Weight on 'already-treated vs. later-treated' comparisons: </w:t>
      </w:r>
      <w:r>
        <w:rPr>
          <w:rFonts w:ascii="Times New Roman" w:cs="Times New Roman" w:eastAsia="Times New Roman" w:hAnsi="Times New Roman"/>
          <w:i/>
          <w:iCs/>
          <w:color w:val="1F3864"/>
          <w:sz w:val="24"/>
          <w:szCs w:val="24"/>
        </w:rPr>
        <w:t xml:space="preserve">6.2%††</w:t>
      </w:r>
      <w:r>
        <w:rPr>
          <w:rFonts w:ascii="Times New Roman" w:cs="Times New Roman" w:eastAsia="Times New Roman" w:hAnsi="Times New Roman"/>
          <w:sz w:val="24"/>
          <w:szCs w:val="24"/>
        </w:rPr>
        <w:t xml:space="preserve"> of total weight. TWFE estimate not meaningfully contaminated by forbidden comparisons. Variance-weighted average of 2×2 DiD cells = </w:t>
      </w:r>
      <w:r>
        <w:rPr>
          <w:rFonts w:ascii="Times New Roman" w:cs="Times New Roman" w:eastAsia="Times New Roman" w:hAnsi="Times New Roman"/>
          <w:i/>
          <w:iCs/>
          <w:color w:val="1F3864"/>
          <w:sz w:val="24"/>
          <w:szCs w:val="24"/>
        </w:rPr>
        <w:t xml:space="preserve">0.029††</w:t>
      </w:r>
      <w:r>
        <w:rPr>
          <w:rFonts w:ascii="Times New Roman" w:cs="Times New Roman" w:eastAsia="Times New Roman" w:hAnsi="Times New Roman"/>
          <w:sz w:val="24"/>
          <w:szCs w:val="24"/>
        </w:rPr>
        <w:t xml:space="preserve">.</w:t>
      </w:r>
    </w:p>
    <w:p>
      <w:pPr>
        <w:spacing w:after="0" w:before="360"/>
      </w:pPr>
    </w:p>
    <w:p>
      <w:pPr>
        <w:spacing w:after="60" w:before="60"/>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2"/>
          <w:szCs w:val="22"/>
        </w:rPr>
        <w:t xml:space="preserve">Dr. Debasis Pahi, Ph.D. | Assistant Professor &amp; Head of Department, Department of Commerce | Model Degree College Malkangiri, Vikram Deb University, Odisha, India | Scopus H-Index: 8 | 165+ Citations | 18 Peer-Reviewed Publications</w:t>
      </w:r>
    </w:p>
    <w:p>
      <w:pPr>
        <w:spacing w:after="0" w:before="240"/>
        <w:jc w:val="center"/>
      </w:pPr>
      <w:r>
        <w:rPr>
          <w:rFonts w:ascii="Times New Roman" w:cs="Times New Roman" w:eastAsia="Times New Roman" w:hAnsi="Times New Roman"/>
          <w:i/>
          <w:iCs/>
          <w:sz w:val="20"/>
          <w:szCs w:val="20"/>
        </w:rPr>
        <w:t xml:space="preserve">© 2026 Dr. Debasis Pahi. All rights reserved. Working Paper — Not for citation without permission.</w:t>
      </w:r>
    </w:p>
    <w:p>
      <w:pPr>
        <w:spacing w:after="0" w:before="120"/>
        <w:jc w:val="center"/>
      </w:pPr>
      <w:r>
        <w:rPr>
          <w:rFonts w:ascii="Times New Roman" w:cs="Times New Roman" w:eastAsia="Times New Roman" w:hAnsi="Times New Roman"/>
          <w:i/>
          <w:iCs/>
          <w:color w:val="C00000"/>
          <w:sz w:val="20"/>
          <w:szCs w:val="20"/>
        </w:rPr>
        <w:t xml:space="preserve">† ALL numerical values marked with † throughout this document are ILLUSTRATIVE PLACEHOLDERS generated for structural review only. They are NOT derived from actual regression output. Replace every † value with results from real data estimation before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4"/>
        <w:szCs w:val="24"/>
      </w:rPr>
      <w:t xml:space="preserve">Dr. Debasis Pahi | MDC Malkangiri, Vikram Deb University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4"/>
        <w:szCs w:val="24"/>
      </w:rPr>
      <w:t xml:space="preserve">        Cash as Transition Insurance — Working Paper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2026-05-01T01:32:37.840Z</dcterms:created>
  <dcterms:modified xsi:type="dcterms:W3CDTF">2026-05-01T01:32:37.841Z</dcterms:modified>
</cp:coreProperties>
</file>

<file path=docProps/custom.xml><?xml version="1.0" encoding="utf-8"?>
<Properties xmlns="http://schemas.openxmlformats.org/officeDocument/2006/custom-properties" xmlns:vt="http://schemas.openxmlformats.org/officeDocument/2006/docPropsVTypes"/>
</file>