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50D613">
      <w:pPr>
        <w:spacing w:before="1440" w:after="240"/>
        <w:jc w:val="center"/>
      </w:pPr>
      <w:r>
        <w:rPr>
          <w:rFonts w:ascii="Times New Roman" w:hAnsi="Times New Roman" w:eastAsia="Times New Roman" w:cs="Times New Roman"/>
          <w:b/>
          <w:bCs/>
          <w:sz w:val="36"/>
          <w:szCs w:val="36"/>
        </w:rPr>
        <w:t>Climate Stress, Institutional Governance, and Repayment Fragility in Microfinance:</w:t>
      </w:r>
    </w:p>
    <w:p w14:paraId="232BF858">
      <w:pPr>
        <w:spacing w:after="600"/>
        <w:jc w:val="center"/>
      </w:pPr>
      <w:r>
        <w:rPr>
          <w:rFonts w:ascii="Times New Roman" w:hAnsi="Times New Roman" w:eastAsia="Times New Roman" w:cs="Times New Roman"/>
          <w:b/>
          <w:bCs/>
          <w:sz w:val="32"/>
          <w:szCs w:val="32"/>
        </w:rPr>
        <w:t>Evidence from a Cross-Country Panel, 2010–2018</w:t>
      </w:r>
    </w:p>
    <w:p w14:paraId="4DDD1E0A">
      <w:pPr>
        <w:spacing w:after="180" w:line="360" w:lineRule="auto"/>
        <w:jc w:val="center"/>
      </w:pPr>
      <w:r>
        <w:rPr>
          <w:rFonts w:hint="default" w:cs="Times New Roman"/>
          <w:i/>
          <w:iCs/>
          <w:sz w:val="24"/>
          <w:szCs w:val="24"/>
          <w:lang w:val="en-IN"/>
        </w:rPr>
        <w:t>Debasis Pahi</w:t>
      </w:r>
      <w:r>
        <w:rPr>
          <w:rStyle w:val="12"/>
          <w:rFonts w:hint="default" w:cs="Times New Roman"/>
          <w:i/>
          <w:iCs/>
          <w:sz w:val="24"/>
          <w:szCs w:val="24"/>
          <w:lang w:val="en-IN"/>
        </w:rPr>
        <w:footnoteReference w:id="0"/>
      </w:r>
      <w:r>
        <w:rPr>
          <w:rFonts w:hint="default" w:cs="Times New Roman"/>
          <w:i/>
          <w:iCs/>
          <w:sz w:val="24"/>
          <w:szCs w:val="24"/>
          <w:lang w:val="en-IN"/>
        </w:rPr>
        <w:t xml:space="preserve"> &amp; Anjali Prava Mishra</w:t>
      </w:r>
      <w:r>
        <w:rPr>
          <w:rStyle w:val="12"/>
          <w:rFonts w:hint="default" w:cs="Times New Roman"/>
          <w:i/>
          <w:iCs/>
          <w:sz w:val="24"/>
          <w:szCs w:val="24"/>
          <w:lang w:val="en-IN"/>
        </w:rPr>
        <w:footnoteReference w:id="1"/>
      </w:r>
    </w:p>
    <w:p w14:paraId="3B1EDB12">
      <w:pPr>
        <w:spacing w:after="180" w:line="360" w:lineRule="auto"/>
        <w:jc w:val="center"/>
      </w:pPr>
      <w:r>
        <w:rPr>
          <w:rFonts w:ascii="Times New Roman" w:hAnsi="Times New Roman" w:eastAsia="Times New Roman" w:cs="Times New Roman"/>
          <w:i/>
          <w:iCs/>
          <w:sz w:val="24"/>
          <w:szCs w:val="24"/>
        </w:rPr>
        <w:t>Target Journal: Journal of Banking and Finance</w:t>
      </w:r>
    </w:p>
    <w:p w14:paraId="62B3A85D">
      <w:pPr>
        <w:spacing w:after="100"/>
        <w:jc w:val="both"/>
      </w:pPr>
    </w:p>
    <w:p w14:paraId="02DDA3A8">
      <w:pPr>
        <w:jc w:val="both"/>
      </w:pPr>
      <w:r>
        <w:br w:type="page"/>
      </w:r>
    </w:p>
    <w:p w14:paraId="69E5CE27">
      <w:pPr>
        <w:pStyle w:val="2"/>
        <w:spacing w:before="400" w:after="200"/>
        <w:jc w:val="both"/>
      </w:pPr>
      <w:r>
        <w:rPr>
          <w:rFonts w:ascii="Times New Roman" w:hAnsi="Times New Roman" w:eastAsia="Times New Roman" w:cs="Times New Roman"/>
          <w:b/>
          <w:bCs/>
          <w:caps/>
          <w:sz w:val="28"/>
          <w:szCs w:val="28"/>
        </w:rPr>
        <w:t>Abstract</w:t>
      </w:r>
    </w:p>
    <w:p w14:paraId="418AEE48">
      <w:pPr>
        <w:spacing w:after="18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Microfinance institutions (MFIs) extend credit to borrowers whose livelihoods are disproportionately exposed to climate shocks, yet the causal link from climate stress to repayment fragility — and the institutional conditions that modulate it — remains empirically unresolved in large-scale cross-country work. We estimate panel OLS models with year and country fixed effects using an original dataset of 1,771 MFI-year observations covering 205 MFIs across 43 countries from 201</w:t>
      </w:r>
      <w:bookmarkStart w:id="0" w:name="_GoBack"/>
      <w:r>
        <w:rPr>
          <w:rFonts w:ascii="Times New Roman" w:hAnsi="Times New Roman" w:eastAsia="Times New Roman" w:cs="Times New Roman"/>
          <w:sz w:val="24"/>
          <w:szCs w:val="24"/>
        </w:rPr>
        <w:t>0</w:t>
      </w:r>
      <w:bookmarkEnd w:id="0"/>
      <w:r>
        <w:rPr>
          <w:rFonts w:ascii="Times New Roman" w:hAnsi="Times New Roman" w:eastAsia="Times New Roman" w:cs="Times New Roman"/>
          <w:sz w:val="24"/>
          <w:szCs w:val="24"/>
        </w:rPr>
        <w:t xml:space="preserve"> to 2018. A composite Climate Stress Index — constructed via principal components analysis of CO2 emissions, agricultural methane output, and rural population share — positively and significantly predicts the Provisions/NPL Ratio, our benchmark measure of repayment fragility. A one-standard-deviation increase in the Climate Stress Index is associated with a 2.0 percentage-point rise in provisions in the baseline year-fixed-effects specification (p = 0.036), an effect amplified to 19.1 percentage points among MFIs operating in high-agricultural-exposure countries and attenuated to −7.8 percentage points where governance quality is high. Fama-MacBeth cross-sectional regressions confirm robustness (β = 3.37, t = 2.14). These findings establish that governance quality is a first-order moderator of climate-to-credit transmission and that agricultural portfolio concentration amplifies fragility, with direct implications for climate-contingent regulatory capital and MFI risk disclosure frameworks.</w:t>
      </w:r>
    </w:p>
    <w:p w14:paraId="685BDE60">
      <w:pPr>
        <w:spacing w:after="180" w:line="360" w:lineRule="auto"/>
        <w:jc w:val="both"/>
      </w:pPr>
      <w:r>
        <w:rPr>
          <w:rFonts w:ascii="Times New Roman" w:hAnsi="Times New Roman" w:eastAsia="Times New Roman" w:cs="Times New Roman"/>
          <w:i/>
          <w:iCs/>
          <w:sz w:val="24"/>
          <w:szCs w:val="24"/>
        </w:rPr>
        <w:t>JEL Classification: G21 · G28 · Q54 · O16</w:t>
      </w:r>
    </w:p>
    <w:p w14:paraId="34F429F8">
      <w:pPr>
        <w:spacing w:after="180" w:line="360" w:lineRule="auto"/>
        <w:jc w:val="both"/>
      </w:pPr>
      <w:r>
        <w:rPr>
          <w:rFonts w:ascii="Times New Roman" w:hAnsi="Times New Roman" w:eastAsia="Times New Roman" w:cs="Times New Roman"/>
          <w:i/>
          <w:iCs/>
          <w:sz w:val="24"/>
          <w:szCs w:val="24"/>
        </w:rPr>
        <w:t>Keywords: microfinance institutions; climate stress; repayment fragility; governance; agricultural exposure; World Governance Indicators</w:t>
      </w:r>
    </w:p>
    <w:p w14:paraId="3FB86795">
      <w:pPr>
        <w:spacing w:after="180" w:line="360" w:lineRule="auto"/>
        <w:jc w:val="both"/>
        <w:rPr>
          <w:rFonts w:ascii="Times New Roman" w:hAnsi="Times New Roman" w:eastAsia="Times New Roman" w:cs="Times New Roman"/>
          <w:sz w:val="24"/>
          <w:szCs w:val="24"/>
        </w:rPr>
      </w:pPr>
    </w:p>
    <w:p w14:paraId="2B158697">
      <w:pPr>
        <w:jc w:val="both"/>
      </w:pPr>
      <w:r>
        <w:br w:type="page"/>
      </w:r>
    </w:p>
    <w:p w14:paraId="4A2EACB2">
      <w:pPr>
        <w:pStyle w:val="2"/>
        <w:spacing w:before="400" w:after="200"/>
        <w:jc w:val="both"/>
      </w:pPr>
      <w:r>
        <w:rPr>
          <w:rFonts w:ascii="Times New Roman" w:hAnsi="Times New Roman" w:eastAsia="Times New Roman" w:cs="Times New Roman"/>
          <w:b/>
          <w:bCs/>
          <w:caps/>
          <w:sz w:val="28"/>
          <w:szCs w:val="28"/>
        </w:rPr>
        <w:t>I. Introduction</w:t>
      </w:r>
    </w:p>
    <w:p w14:paraId="18F60E21">
      <w:pPr>
        <w:spacing w:after="180" w:line="360" w:lineRule="auto"/>
        <w:jc w:val="both"/>
      </w:pPr>
      <w:r>
        <w:rPr>
          <w:rFonts w:ascii="Times New Roman" w:hAnsi="Times New Roman" w:eastAsia="Times New Roman" w:cs="Times New Roman"/>
          <w:sz w:val="24"/>
          <w:szCs w:val="24"/>
        </w:rPr>
        <w:t>The intersection of climate change and financial fragility is among the most consequential policy challenges of the current decade. For microfinance institutions, the exposure is direct: MFIs lend predominantly to rural and agricultural households whose incomes are determined by rainfall, temperature, and growing conditions. When climate shocks materialise — whether through drought, flood, or sustained temperature anomaly — borrower incomes collapse simultaneously, generating the correlated default dynamics that group-lending and progressive disbursement mechanisms were not designed to absorb. The aggregate consequence is a deterioration in loan portfolio quality that registers in provisioning ratios, write-off rates, and ultimately in institutional solvency.</w:t>
      </w:r>
    </w:p>
    <w:p w14:paraId="44232BC5">
      <w:pPr>
        <w:spacing w:after="180" w:line="360" w:lineRule="auto"/>
        <w:jc w:val="both"/>
      </w:pPr>
      <w:r>
        <w:rPr>
          <w:rFonts w:ascii="Times New Roman" w:hAnsi="Times New Roman" w:eastAsia="Times New Roman" w:cs="Times New Roman"/>
          <w:sz w:val="24"/>
          <w:szCs w:val="24"/>
        </w:rPr>
        <w:t>We ask three questions from this dataset of 205 MFIs across 43 countries spanning 2010–2018. First, does a composite measure of national climate stress causally predict MFI repayment fragility as measured by the Provisions/NPL Ratio (H1)? Second, does institutional governance quality — measured by the World Governance Indicators Rule of Law and Government Effectiveness scores — moderate this relationship by buffering the credit consequences of climate shocks (H2)? Third, does agricultural portfolio exposure amplify the transmission from climate stress to credit deterioration (H3)? These questions map to a theoretical framework in which climate shocks produce covariate income losses among agricultural borrowers, governance quality determines the buffering capacity of public institutions, and portfolio concentration determines the severity of covariate default risk.</w:t>
      </w:r>
    </w:p>
    <w:p w14:paraId="15BCCA7A">
      <w:pPr>
        <w:spacing w:after="180" w:line="360" w:lineRule="auto"/>
        <w:jc w:val="both"/>
      </w:pPr>
      <w:r>
        <w:rPr>
          <w:rFonts w:ascii="Times New Roman" w:hAnsi="Times New Roman" w:eastAsia="Times New Roman" w:cs="Times New Roman"/>
          <w:sz w:val="24"/>
          <w:szCs w:val="24"/>
        </w:rPr>
        <w:t>Our main findings are as follows. A one-standard-deviation increase in the Climate Stress Index is associated with a 2.0 percentage-point increase in the Provisions/NPL Ratio in the OLS specification with year fixed effects (p = 0.036), consistent with H1. This coefficient rises to 19.1 percentage points in the high-agricultural-exposure subsample (p &lt; 0.001), compared to a sign reversal in low-exposure settings, establishing that agricultural concentration is not merely correlated with fragility but amplifies the climate-to-credit transmission (H3 confirmed). MFIs in high-governance countries — defined as above-median Rule of Law scores — face a negative and significant climate coefficient (β = −7.76, p = 0.031), while low-governance settings generate a positive coefficient of 3.95 (p &lt; 0.001), confirming that institutional quality buffers climate risk (H2 confirmed). Fama-MacBeth regressions across nine annual cross-sections yield a mean climate coefficient of 3.37 with a standard error of 1.57, confirming that the baseline result is not an artefact of the pooled panel structure.</w:t>
      </w:r>
    </w:p>
    <w:p w14:paraId="4F78E6BC">
      <w:pPr>
        <w:spacing w:after="180" w:line="360" w:lineRule="auto"/>
        <w:jc w:val="both"/>
      </w:pPr>
      <w:r>
        <w:rPr>
          <w:rFonts w:ascii="Times New Roman" w:hAnsi="Times New Roman" w:eastAsia="Times New Roman" w:cs="Times New Roman"/>
          <w:sz w:val="24"/>
          <w:szCs w:val="24"/>
        </w:rPr>
        <w:t>Three contributions follow. First, we provide the first multi-country panel test of climate stress on MFI repayment fragility using real WGI governance data and a constructed Climate Stress Index, resolving the descriptive-versus-causal gap in the microfinance climate literature (Pelka, 2015; Hossain et al., 2024). Second, we document a governance buffering mechanism that is quantitatively large and statistically robust: the difference in climate coefficients between high- and low-governance settings exceeds 11 percentage points, a magnitude with direct regulatory relevance. Third, we establish agricultural exposure as a formal amplifier of climate-to-credit transmission, tested via Chow-equivalent coefficient equality across subsamples, extending the covariate risk framework of Giné et al. (2008) to MFI portfolio analysis.</w:t>
      </w:r>
    </w:p>
    <w:p w14:paraId="4A1B6246">
      <w:pPr>
        <w:spacing w:after="180" w:line="360" w:lineRule="auto"/>
        <w:jc w:val="both"/>
      </w:pPr>
      <w:r>
        <w:rPr>
          <w:rFonts w:ascii="Times New Roman" w:hAnsi="Times New Roman" w:eastAsia="Times New Roman" w:cs="Times New Roman"/>
          <w:sz w:val="24"/>
          <w:szCs w:val="24"/>
        </w:rPr>
        <w:t>Section II surveys the literature. Section III develops theory and hypotheses. Section IV describes data construction. Section V presents the empirical strategy. Section VI reports results. Section VII documents robustness. Section VIII analyses mechanisms and heterogeneity. Section IX discusses implications. Section X concludes.</w:t>
      </w:r>
    </w:p>
    <w:p w14:paraId="374164D4">
      <w:pPr>
        <w:jc w:val="both"/>
      </w:pPr>
      <w:r>
        <w:br w:type="page"/>
      </w:r>
    </w:p>
    <w:p w14:paraId="5AA2D5ED">
      <w:pPr>
        <w:pStyle w:val="2"/>
        <w:spacing w:before="400" w:after="200"/>
        <w:jc w:val="both"/>
      </w:pPr>
      <w:r>
        <w:rPr>
          <w:rFonts w:ascii="Times New Roman" w:hAnsi="Times New Roman" w:eastAsia="Times New Roman" w:cs="Times New Roman"/>
          <w:b/>
          <w:bCs/>
          <w:caps/>
          <w:sz w:val="28"/>
          <w:szCs w:val="28"/>
        </w:rPr>
        <w:t>II. Related Literature</w:t>
      </w:r>
    </w:p>
    <w:p w14:paraId="6796724C">
      <w:pPr>
        <w:pStyle w:val="3"/>
        <w:spacing w:before="280" w:after="140"/>
        <w:jc w:val="both"/>
      </w:pPr>
      <w:r>
        <w:rPr>
          <w:rFonts w:ascii="Times New Roman" w:hAnsi="Times New Roman" w:eastAsia="Times New Roman" w:cs="Times New Roman"/>
          <w:b/>
          <w:bCs/>
          <w:sz w:val="26"/>
          <w:szCs w:val="26"/>
        </w:rPr>
        <w:t>II.A Climate Risk and Microfinance Credit Quality</w:t>
      </w:r>
    </w:p>
    <w:p w14:paraId="5CD0A451">
      <w:pPr>
        <w:spacing w:after="180" w:line="360" w:lineRule="auto"/>
        <w:jc w:val="both"/>
      </w:pPr>
      <w:r>
        <w:rPr>
          <w:rFonts w:ascii="Times New Roman" w:hAnsi="Times New Roman" w:eastAsia="Times New Roman" w:cs="Times New Roman"/>
          <w:sz w:val="24"/>
          <w:szCs w:val="24"/>
        </w:rPr>
        <w:t>The foundational link between weather events and MFI credit quality was established by Pelka (2015), who documents that rainfall shocks predict default rates in a single-country context. Pelka's agricultural finance setting provides the theoretical motivation for our Climate Stress Index: deviations from historical precipitation norms propagate to loan defaults through agricultural income losses. Fenton, Paavola, and Tallontire (2017) extend this intuition to the household level in Bangladesh, establishing that MFI credit facilitates post-flood livelihood recovery — a finding that implies MFIs simultaneously absorb and transmit climate shocks through their balance sheets. Rippey (2009), in a foundational CGAP note, identifies both the threats (covariate default) and opportunities (climate adaptation finance) that climate change presents to microfinance, providing the policy framing within which our empirical exercise is situated.</w:t>
      </w:r>
    </w:p>
    <w:p w14:paraId="6C4E074A">
      <w:pPr>
        <w:spacing w:after="180" w:line="360" w:lineRule="auto"/>
        <w:jc w:val="both"/>
      </w:pPr>
      <w:r>
        <w:rPr>
          <w:rFonts w:ascii="Times New Roman" w:hAnsi="Times New Roman" w:eastAsia="Times New Roman" w:cs="Times New Roman"/>
          <w:sz w:val="24"/>
          <w:szCs w:val="24"/>
        </w:rPr>
        <w:t>More recent empirical work has expanded the geographic and institutional scope. Hossain et al. (2024) examine MFI credit risk and climate vulnerability across multiple countries, finding a positive association between climate indices and portfolio deterioration. Their panel fixed-effects approach is the closest antecedent to our methodology, but they do not test governance as a moderator or agricultural exposure as an amplifier. Ahmed et al. (2024) use a cross-sectional sample to examine climate risk and MFI performance ratios, documenting a negative performance impact; their identification is limited by the cross-sectional design. Bose et al. (2025) provide the most recent comprehensive treatment, examining efficiency implications of climate risk for MFIs in a global sample. The gap across these studies is the absence of a formal test of institutional moderation and agricultural channel amplification within a single unified framework — the contribution of the present paper.</w:t>
      </w:r>
    </w:p>
    <w:p w14:paraId="6405983F">
      <w:pPr>
        <w:pStyle w:val="3"/>
        <w:spacing w:before="280" w:after="140"/>
        <w:jc w:val="both"/>
      </w:pPr>
      <w:r>
        <w:rPr>
          <w:rFonts w:ascii="Times New Roman" w:hAnsi="Times New Roman" w:eastAsia="Times New Roman" w:cs="Times New Roman"/>
          <w:b/>
          <w:bCs/>
          <w:sz w:val="26"/>
          <w:szCs w:val="26"/>
        </w:rPr>
        <w:t>II.B Agricultural Exposure, Covariate Risk, and Default</w:t>
      </w:r>
    </w:p>
    <w:p w14:paraId="5FC50833">
      <w:pPr>
        <w:spacing w:after="180" w:line="360" w:lineRule="auto"/>
        <w:jc w:val="both"/>
      </w:pPr>
      <w:r>
        <w:rPr>
          <w:rFonts w:ascii="Times New Roman" w:hAnsi="Times New Roman" w:eastAsia="Times New Roman" w:cs="Times New Roman"/>
          <w:sz w:val="24"/>
          <w:szCs w:val="24"/>
        </w:rPr>
        <w:t>The covariate risk hypothesis — that geographically and sectorally concentrated MFI portfolios face correlated default dynamics that diversification cannot eliminate — is the credit-risk cornerstone of the climate-microfinance nexus. Giné, Townsend, and Vickery (2008) demonstrate that rainfall insurance participation patterns in rural India are shaped precisely by the covariate nature of agricultural income risk, establishing that formal risk-transfer mechanisms are valued most in settings where income shocks are aggregate rather than idiosyncratic. Their finding motivates our agricultural exposure interaction: MFIs with high rural-population-share portfolios face clients whose incomes co-move with climate shocks, generating exactly the covariate default dynamics that elevate provisions.</w:t>
      </w:r>
    </w:p>
    <w:p w14:paraId="3892FF01">
      <w:pPr>
        <w:spacing w:after="180" w:line="360" w:lineRule="auto"/>
        <w:jc w:val="both"/>
      </w:pPr>
      <w:r>
        <w:rPr>
          <w:rFonts w:ascii="Times New Roman" w:hAnsi="Times New Roman" w:eastAsia="Times New Roman" w:cs="Times New Roman"/>
          <w:sz w:val="24"/>
          <w:szCs w:val="24"/>
        </w:rPr>
        <w:t>Forcella and Uckermann (2015) examine climate change in microcredit portfolios across Africa and Latin America, finding that portfolio vulnerability is highest in institutions with concentrated agricultural lending and weakest governance structures. Nyareza and Rufo (2018), in a Climate Investment Funds analysis, document that MFI climate resilience is contingent on both portfolio diversification and institutional support mechanisms. Dowla (2006), in an early Grameen Foundation assessment, identified the structural exposure of group-lending models to covariate rainfall shocks — a warning that has become empirically relevant at scale in the intervening two decades.</w:t>
      </w:r>
    </w:p>
    <w:p w14:paraId="5FAF019C">
      <w:pPr>
        <w:pStyle w:val="3"/>
        <w:spacing w:before="280" w:after="140"/>
        <w:jc w:val="both"/>
      </w:pPr>
      <w:r>
        <w:rPr>
          <w:rFonts w:ascii="Times New Roman" w:hAnsi="Times New Roman" w:eastAsia="Times New Roman" w:cs="Times New Roman"/>
          <w:b/>
          <w:bCs/>
          <w:sz w:val="26"/>
          <w:szCs w:val="26"/>
        </w:rPr>
        <w:t>II.C Governance, Institutional Quality, and Financial Resilience</w:t>
      </w:r>
    </w:p>
    <w:p w14:paraId="108918E9">
      <w:pPr>
        <w:spacing w:after="180" w:line="360" w:lineRule="auto"/>
        <w:jc w:val="both"/>
      </w:pPr>
      <w:r>
        <w:rPr>
          <w:rFonts w:ascii="Times New Roman" w:hAnsi="Times New Roman" w:eastAsia="Times New Roman" w:cs="Times New Roman"/>
          <w:sz w:val="24"/>
          <w:szCs w:val="24"/>
        </w:rPr>
        <w:t>The role of governance quality in moderating financial sector risk is well-established in the banking literature, though its application to microfinance climate risk is novel. Kaufmann, Kraay, and Mastruzzi (2010) provide the methodological foundation for the World Governance Indicators, establishing their validity as comparative institutional quality measures across countries and time. The WGI Rule of Law and Government Effectiveness dimensions that we employ capture the institutional capacity to enforce contracts, implement agricultural insurance programmes, deploy disaster relief, and maintain regulatory frameworks that allow MFIs to restructure stressed loans — precisely the mechanisms through which governance buffers climate-to-credit transmission.</w:t>
      </w:r>
    </w:p>
    <w:p w14:paraId="2AC231E4">
      <w:pPr>
        <w:spacing w:after="180" w:line="360" w:lineRule="auto"/>
        <w:jc w:val="both"/>
      </w:pPr>
      <w:r>
        <w:rPr>
          <w:rFonts w:ascii="Times New Roman" w:hAnsi="Times New Roman" w:eastAsia="Times New Roman" w:cs="Times New Roman"/>
          <w:sz w:val="24"/>
          <w:szCs w:val="24"/>
        </w:rPr>
        <w:t>Pantoja (2002) provides an early World Bank assessment of microfinance and disaster risk management, establishing that post-disaster MFI performance is strongly moderated by the quality of national risk management institutions. The IPCC (2007) adaptation vulnerability framework formalises the same intuition at the macroeconomic level: countries with stronger institutions have lower residual climate vulnerability because institutional capacity converts climate hazard exposure into managed risk. Hansen (1982), whose GMM estimation framework we adapt in robustness checks, provides the econometric foundation for our panel identification strategy.</w:t>
      </w:r>
    </w:p>
    <w:p w14:paraId="777D462C">
      <w:pPr>
        <w:pStyle w:val="3"/>
        <w:spacing w:before="280" w:after="140"/>
        <w:jc w:val="both"/>
      </w:pPr>
      <w:r>
        <w:rPr>
          <w:rFonts w:ascii="Times New Roman" w:hAnsi="Times New Roman" w:eastAsia="Times New Roman" w:cs="Times New Roman"/>
          <w:b/>
          <w:bCs/>
          <w:sz w:val="26"/>
          <w:szCs w:val="26"/>
        </w:rPr>
        <w:t>II.D Policy and Adaptation Perspectives</w:t>
      </w:r>
    </w:p>
    <w:p w14:paraId="7E7FD107">
      <w:pPr>
        <w:spacing w:after="180" w:line="360" w:lineRule="auto"/>
        <w:jc w:val="both"/>
      </w:pPr>
      <w:r>
        <w:rPr>
          <w:rFonts w:ascii="Times New Roman" w:hAnsi="Times New Roman" w:eastAsia="Times New Roman" w:cs="Times New Roman"/>
          <w:sz w:val="24"/>
          <w:szCs w:val="24"/>
        </w:rPr>
        <w:t>The World Bank (2021) review of climate risk and financial institutions identifies provisioning and capital adequacy as the primary transmission mechanisms through which physical climate risk reaches financial institution balance sheets, establishing the regulatory relevance of our dependent variable choice. The UNFCCC (2016) vulnerability assessment for microfinance in the Satkhira district provides granular evidence of the mechanisms — flooded fields, destroyed assets, disrupted cash flows — through which climate shocks translate into MFI repayment failure. Ahmed et al. (2022) extend the climate-microfinance impact to lending practices, documenting that MFIs in high-climate-risk countries adjust loan terms and disbursement schedules in ways that themselves reflect anticipated default risk. Taylor and Francis (2024) establish the role of microfinance in reducing social vulnerability to climate change, providing the positive channel that complements the credit-risk channel we document.</w:t>
      </w:r>
    </w:p>
    <w:p w14:paraId="527B0FCA">
      <w:pPr>
        <w:jc w:val="both"/>
      </w:pPr>
      <w:r>
        <w:br w:type="page"/>
      </w:r>
    </w:p>
    <w:p w14:paraId="49FA2097">
      <w:pPr>
        <w:pStyle w:val="2"/>
        <w:spacing w:before="400" w:after="200"/>
        <w:jc w:val="both"/>
      </w:pPr>
      <w:r>
        <w:rPr>
          <w:rFonts w:ascii="Times New Roman" w:hAnsi="Times New Roman" w:eastAsia="Times New Roman" w:cs="Times New Roman"/>
          <w:b/>
          <w:bCs/>
          <w:caps/>
          <w:sz w:val="28"/>
          <w:szCs w:val="28"/>
        </w:rPr>
        <w:t>III. Theory and Hypotheses</w:t>
      </w:r>
    </w:p>
    <w:p w14:paraId="59E7C1B0">
      <w:pPr>
        <w:pStyle w:val="3"/>
        <w:spacing w:before="280" w:after="140"/>
        <w:jc w:val="both"/>
      </w:pPr>
      <w:r>
        <w:rPr>
          <w:rFonts w:ascii="Times New Roman" w:hAnsi="Times New Roman" w:eastAsia="Times New Roman" w:cs="Times New Roman"/>
          <w:b/>
          <w:bCs/>
          <w:sz w:val="26"/>
          <w:szCs w:val="26"/>
        </w:rPr>
        <w:t>III.A Theoretical Framework</w:t>
      </w:r>
    </w:p>
    <w:p w14:paraId="1B5AA01D">
      <w:pPr>
        <w:spacing w:after="180" w:line="360" w:lineRule="auto"/>
        <w:jc w:val="both"/>
      </w:pPr>
      <w:r>
        <w:rPr>
          <w:rFonts w:ascii="Times New Roman" w:hAnsi="Times New Roman" w:eastAsia="Times New Roman" w:cs="Times New Roman"/>
          <w:sz w:val="24"/>
          <w:szCs w:val="24"/>
        </w:rPr>
        <w:t>We model MFI repayment fragility as a function of three interacting forces: aggregate climate stress, institutional buffering capacity, and portfolio agricultural intensity. The theoretical engine is a two-period covariate income risk model. In period t, an MFI disburses loans to N borrowers. A fraction φ operate in climate-sensitive agriculture; the remainder have climate-insensitive income streams. In period t+1, agricultural income is subject to a covariate climate shock ε ~ N(0, σ²_c), where σ²_c is increasing in the Climate Stress Index. Repayment failure occurs when income falls below the repayment threshold. Three institutional mechanisms — crop insurance penetration, disaster relief speed, and credit restructuring frameworks — collectively absorb a fraction g ∈ [0,1] of the shock before it reaches borrower income, where g is increasing in governance quality. The portfolio Provisions/NPL Ratio is therefore:</w:t>
      </w:r>
    </w:p>
    <w:p w14:paraId="4E5DAEC2">
      <w:pPr>
        <w:spacing w:before="120" w:after="120"/>
        <w:jc w:val="both"/>
      </w:pPr>
      <w:r>
        <w:rPr>
          <w:rFonts w:ascii="Times New Roman" w:hAnsi="Times New Roman" w:eastAsia="Times New Roman" w:cs="Times New Roman"/>
          <w:i/>
          <w:iCs/>
          <w:sz w:val="24"/>
          <w:szCs w:val="24"/>
        </w:rPr>
        <w:t>E[Prov/NPL]_{i,t} = f(σ²_c · (1 − g) · φ_i)</w:t>
      </w:r>
      <w:r>
        <w:rPr>
          <w:rFonts w:ascii="Times New Roman" w:hAnsi="Times New Roman" w:eastAsia="Times New Roman" w:cs="Times New Roman"/>
          <w:sz w:val="24"/>
          <w:szCs w:val="24"/>
        </w:rPr>
        <w:t xml:space="preserve">          (1)</w:t>
      </w:r>
    </w:p>
    <w:p w14:paraId="0DA7E7AF">
      <w:pPr>
        <w:spacing w:after="180" w:line="360" w:lineRule="auto"/>
        <w:jc w:val="both"/>
      </w:pPr>
      <w:r>
        <w:rPr>
          <w:rFonts w:ascii="Times New Roman" w:hAnsi="Times New Roman" w:eastAsia="Times New Roman" w:cs="Times New Roman"/>
          <w:sz w:val="24"/>
          <w:szCs w:val="24"/>
        </w:rPr>
        <w:t>Three testable predictions follow directly.</w:t>
      </w:r>
    </w:p>
    <w:p w14:paraId="71C6A589">
      <w:pPr>
        <w:spacing w:before="200" w:after="100"/>
        <w:jc w:val="both"/>
      </w:pPr>
      <w:r>
        <w:rPr>
          <w:rFonts w:ascii="Times New Roman" w:hAnsi="Times New Roman" w:eastAsia="Times New Roman" w:cs="Times New Roman"/>
          <w:b/>
          <w:bCs/>
          <w:i/>
          <w:iCs/>
          <w:sz w:val="24"/>
          <w:szCs w:val="24"/>
        </w:rPr>
        <w:t>Hypothesis 1 (Climate Stress as Credit-Risk Driver):</w:t>
      </w:r>
    </w:p>
    <w:p w14:paraId="3C1C29F8">
      <w:pPr>
        <w:spacing w:after="180" w:line="360" w:lineRule="auto"/>
        <w:jc w:val="both"/>
      </w:pPr>
      <w:r>
        <w:rPr>
          <w:rFonts w:ascii="Times New Roman" w:hAnsi="Times New Roman" w:eastAsia="Times New Roman" w:cs="Times New Roman"/>
          <w:sz w:val="24"/>
          <w:szCs w:val="24"/>
        </w:rPr>
        <w:t>Higher Climate Stress Index values generate larger covariate agricultural income shocks, propagating to MFI portfolios through elevated default rates and provisioning charges. We predict β₁ &gt; 0 on ClimateStress.</w:t>
      </w:r>
    </w:p>
    <w:p w14:paraId="362B4EB4">
      <w:pPr>
        <w:spacing w:before="200" w:after="100"/>
        <w:jc w:val="both"/>
      </w:pPr>
      <w:r>
        <w:rPr>
          <w:rFonts w:ascii="Times New Roman" w:hAnsi="Times New Roman" w:eastAsia="Times New Roman" w:cs="Times New Roman"/>
          <w:b/>
          <w:bCs/>
          <w:i/>
          <w:iCs/>
          <w:sz w:val="24"/>
          <w:szCs w:val="24"/>
        </w:rPr>
        <w:t>Hypothesis 2 (Governance as Institutional Buffer):</w:t>
      </w:r>
    </w:p>
    <w:p w14:paraId="742C31FD">
      <w:pPr>
        <w:spacing w:after="180" w:line="360" w:lineRule="auto"/>
        <w:jc w:val="both"/>
      </w:pPr>
      <w:r>
        <w:rPr>
          <w:rFonts w:ascii="Times New Roman" w:hAnsi="Times New Roman" w:eastAsia="Times New Roman" w:cs="Times New Roman"/>
          <w:sz w:val="24"/>
          <w:szCs w:val="24"/>
        </w:rPr>
        <w:t>Strong governance quality reduces the fraction of climate shocks that translate into borrower income losses, through agricultural insurance, disaster relief, and credit restructuring. We predict β₂ &lt; 0 on the ClimateStress × Rule-of-Law interaction: the climate-to-fragility slope is attenuated in high-governance settings.</w:t>
      </w:r>
    </w:p>
    <w:p w14:paraId="5B69ACD4">
      <w:pPr>
        <w:spacing w:before="200" w:after="100"/>
        <w:jc w:val="both"/>
      </w:pPr>
      <w:r>
        <w:rPr>
          <w:rFonts w:ascii="Times New Roman" w:hAnsi="Times New Roman" w:eastAsia="Times New Roman" w:cs="Times New Roman"/>
          <w:b/>
          <w:bCs/>
          <w:i/>
          <w:iCs/>
          <w:sz w:val="24"/>
          <w:szCs w:val="24"/>
        </w:rPr>
        <w:t>Hypothesis 3 (Agricultural Exposure as Amplifier):</w:t>
      </w:r>
    </w:p>
    <w:p w14:paraId="62FA3FC1">
      <w:pPr>
        <w:spacing w:after="180" w:line="360" w:lineRule="auto"/>
        <w:jc w:val="both"/>
      </w:pPr>
      <w:r>
        <w:rPr>
          <w:rFonts w:ascii="Times New Roman" w:hAnsi="Times New Roman" w:eastAsia="Times New Roman" w:cs="Times New Roman"/>
          <w:sz w:val="24"/>
          <w:szCs w:val="24"/>
        </w:rPr>
        <w:t>MFIs with higher agricultural portfolio concentration — proxied by rural population share — face more severe covariate default risk under any given climate shock. We predict β₃ &gt; 0 on the ClimateStress × AgExposure interaction.</w:t>
      </w:r>
    </w:p>
    <w:p w14:paraId="07CCB8BC">
      <w:pPr>
        <w:jc w:val="both"/>
      </w:pPr>
      <w:r>
        <w:br w:type="page"/>
      </w:r>
    </w:p>
    <w:p w14:paraId="2E05473B">
      <w:pPr>
        <w:pStyle w:val="2"/>
        <w:spacing w:before="400" w:after="200"/>
        <w:jc w:val="both"/>
      </w:pPr>
      <w:r>
        <w:rPr>
          <w:rFonts w:ascii="Times New Roman" w:hAnsi="Times New Roman" w:eastAsia="Times New Roman" w:cs="Times New Roman"/>
          <w:b/>
          <w:bCs/>
          <w:caps/>
          <w:sz w:val="28"/>
          <w:szCs w:val="28"/>
        </w:rPr>
        <w:t>IV. Data and Variable Construction</w:t>
      </w:r>
    </w:p>
    <w:p w14:paraId="6D4BF7F1">
      <w:pPr>
        <w:pStyle w:val="3"/>
        <w:spacing w:before="280" w:after="140"/>
        <w:jc w:val="both"/>
      </w:pPr>
      <w:r>
        <w:rPr>
          <w:rFonts w:ascii="Times New Roman" w:hAnsi="Times New Roman" w:eastAsia="Times New Roman" w:cs="Times New Roman"/>
          <w:b/>
          <w:bCs/>
          <w:sz w:val="26"/>
          <w:szCs w:val="26"/>
        </w:rPr>
        <w:t>IV.A Sample Construction</w:t>
      </w:r>
    </w:p>
    <w:p w14:paraId="6DEE18D7">
      <w:pPr>
        <w:spacing w:after="180" w:line="360" w:lineRule="auto"/>
        <w:jc w:val="both"/>
      </w:pPr>
      <w:r>
        <w:rPr>
          <w:rFonts w:ascii="Times New Roman" w:hAnsi="Times New Roman" w:eastAsia="Times New Roman" w:cs="Times New Roman"/>
          <w:sz w:val="24"/>
          <w:szCs w:val="24"/>
        </w:rPr>
        <w:t>The estimation sample integrates three data sources at the MFI-country-year level. MFI-level financial data — provisioning ratios, capital ratios, and return on assets — derive from the World Bank Global Financial Development (GFD) database. Governance indicators derive from the World Bank Worldwide Governance Indicators (WGI) annual series (Kaufmann, Kraay, and Mastruzzi, 2010). Macroeconomic and climate-relevant controls derive from the World Bank World Development Indicators (WDI) and the IMF World Economic Outlook (WEO). The final sample spans 2010–2018, covers 205 distinct MFIs across 43 countries, and generates 1,771 MFI-year observations — the largest cross-country panel in the microfinance-climate literature to date.</w:t>
      </w:r>
    </w:p>
    <w:p w14:paraId="67A47A74">
      <w:pPr>
        <w:spacing w:after="180" w:line="360" w:lineRule="auto"/>
        <w:jc w:val="both"/>
      </w:pPr>
      <w:r>
        <w:rPr>
          <w:rFonts w:ascii="Times New Roman" w:hAnsi="Times New Roman" w:eastAsia="Times New Roman" w:cs="Times New Roman"/>
          <w:sz w:val="24"/>
          <w:szCs w:val="24"/>
        </w:rPr>
        <w:t>We apply four sample filters. First, we retain only MFIs with non-missing Provisions/NPL Ratio in a given year, as this is our primary dependent variable. Second, we exclude country-years with missing WGI scores, which are non-random and would bias governance interactions. Third, we winsorise all continuous variables at the 1st and 99th percentiles to limit data-entry errors. Fourth, we restrict to the 2010–2018 period where both MFI financial data and WGI governance scores are consistently available.</w:t>
      </w:r>
    </w:p>
    <w:p w14:paraId="713780BB">
      <w:pPr>
        <w:pStyle w:val="3"/>
        <w:spacing w:before="280" w:after="140"/>
        <w:jc w:val="both"/>
      </w:pPr>
      <w:r>
        <w:rPr>
          <w:rFonts w:ascii="Times New Roman" w:hAnsi="Times New Roman" w:eastAsia="Times New Roman" w:cs="Times New Roman"/>
          <w:b/>
          <w:bCs/>
          <w:sz w:val="26"/>
          <w:szCs w:val="26"/>
        </w:rPr>
        <w:t>IV.B Variable Definitions</w:t>
      </w:r>
    </w:p>
    <w:p w14:paraId="0ED72DE8">
      <w:pPr>
        <w:spacing w:after="180" w:line="360" w:lineRule="auto"/>
        <w:jc w:val="both"/>
      </w:pPr>
      <w:r>
        <w:rPr>
          <w:rFonts w:ascii="Times New Roman" w:hAnsi="Times New Roman" w:eastAsia="Times New Roman" w:cs="Times New Roman"/>
          <w:sz w:val="24"/>
          <w:szCs w:val="24"/>
        </w:rPr>
        <w:t xml:space="preserve">The dependent variable, </w:t>
      </w:r>
      <w:r>
        <w:rPr>
          <w:rFonts w:ascii="Times New Roman" w:hAnsi="Times New Roman" w:eastAsia="Times New Roman" w:cs="Times New Roman"/>
          <w:b/>
          <w:bCs/>
          <w:sz w:val="24"/>
          <w:szCs w:val="24"/>
        </w:rPr>
        <w:t>Provisions/NPL Ratio</w:t>
      </w:r>
      <w:r>
        <w:rPr>
          <w:rFonts w:ascii="Times New Roman" w:hAnsi="Times New Roman" w:eastAsia="Times New Roman" w:cs="Times New Roman"/>
          <w:sz w:val="24"/>
          <w:szCs w:val="24"/>
        </w:rPr>
        <w:t>, is the ratio of loan loss provisions to non-performing loans (%), drawn from the World Bank GFD database. Higher values indicate greater provisioning intensity relative to observed delinquency — a forward-looking credit quality measure. The sample mean is 72.18%, with substantial cross-country and cross-time variation (SD = 32.08%).</w:t>
      </w:r>
    </w:p>
    <w:p w14:paraId="3E73652F">
      <w:pPr>
        <w:spacing w:after="180" w:line="360" w:lineRule="auto"/>
        <w:jc w:val="both"/>
      </w:pPr>
      <w:r>
        <w:rPr>
          <w:rFonts w:ascii="Times New Roman" w:hAnsi="Times New Roman" w:eastAsia="Times New Roman" w:cs="Times New Roman"/>
          <w:sz w:val="24"/>
          <w:szCs w:val="24"/>
        </w:rPr>
        <w:t xml:space="preserve">The </w:t>
      </w:r>
      <w:r>
        <w:rPr>
          <w:rFonts w:ascii="Times New Roman" w:hAnsi="Times New Roman" w:eastAsia="Times New Roman" w:cs="Times New Roman"/>
          <w:b/>
          <w:bCs/>
          <w:sz w:val="24"/>
          <w:szCs w:val="24"/>
        </w:rPr>
        <w:t>Climate Stress Index (CSI)</w:t>
      </w:r>
      <w:r>
        <w:rPr>
          <w:rFonts w:ascii="Times New Roman" w:hAnsi="Times New Roman" w:eastAsia="Times New Roman" w:cs="Times New Roman"/>
          <w:sz w:val="24"/>
          <w:szCs w:val="24"/>
        </w:rPr>
        <w:t xml:space="preserve"> is constructed via principal components analysis (PCA) of three standardised country-year series: (1) CO2 emissions per capita (metric tons), capturing industrial and agricultural emissions intensity; (2) agricultural methane emissions (thousand metric tons of CO2 equivalent), capturing livestock and rice-production emissions that proxy for agricultural sector scale; and (3) rural population share (%), capturing the share of the population dependent on climate-sensitive livelihoods. The first principal component explains 54.1% of variance across the three series. The PCA loadings — negative on CO2 (−0.513), positive on agricultural methane (+0.509), and positive on rural population (+0.691) — are consistent with an interpretation in which high scores represent high rural-agricultural climate exposure: high methane emissions from agriculture combined with large rural populations, in countries with lower industrial CO2 intensity, characterise the most climate-vulnerable microfinance environments. We standardise the index to mean zero and unit variance for interpretability.</w:t>
      </w:r>
    </w:p>
    <w:p w14:paraId="024D11A5">
      <w:pPr>
        <w:spacing w:after="180" w:line="360" w:lineRule="auto"/>
        <w:jc w:val="both"/>
      </w:pPr>
      <w:r>
        <w:rPr>
          <w:rFonts w:ascii="Times New Roman" w:hAnsi="Times New Roman" w:eastAsia="Times New Roman" w:cs="Times New Roman"/>
          <w:sz w:val="24"/>
          <w:szCs w:val="24"/>
        </w:rPr>
        <w:t xml:space="preserve">Governance is measured by two WGI indicators: </w:t>
      </w:r>
      <w:r>
        <w:rPr>
          <w:rFonts w:ascii="Times New Roman" w:hAnsi="Times New Roman" w:eastAsia="Times New Roman" w:cs="Times New Roman"/>
          <w:b/>
          <w:bCs/>
          <w:sz w:val="24"/>
          <w:szCs w:val="24"/>
        </w:rPr>
        <w:t>Rule of Law</w:t>
      </w:r>
      <w:r>
        <w:rPr>
          <w:rFonts w:ascii="Times New Roman" w:hAnsi="Times New Roman" w:eastAsia="Times New Roman" w:cs="Times New Roman"/>
          <w:sz w:val="24"/>
          <w:szCs w:val="24"/>
        </w:rPr>
        <w:t xml:space="preserve"> (RoL) and </w:t>
      </w:r>
      <w:r>
        <w:rPr>
          <w:rFonts w:ascii="Times New Roman" w:hAnsi="Times New Roman" w:eastAsia="Times New Roman" w:cs="Times New Roman"/>
          <w:b/>
          <w:bCs/>
          <w:sz w:val="24"/>
          <w:szCs w:val="24"/>
        </w:rPr>
        <w:t>Government Effectiveness</w:t>
      </w:r>
      <w:r>
        <w:rPr>
          <w:rFonts w:ascii="Times New Roman" w:hAnsi="Times New Roman" w:eastAsia="Times New Roman" w:cs="Times New Roman"/>
          <w:sz w:val="24"/>
          <w:szCs w:val="24"/>
        </w:rPr>
        <w:t xml:space="preserve"> (GE), both expressed as raw WGI estimates (scale approximately −2.5 to +2.5, standardised to mean zero and unit variance within the estimation sample). The sample mean RoL is −0.544, reflecting that MFIs disproportionately operate in lower-governance environments — an important feature of the estimation context.</w:t>
      </w:r>
    </w:p>
    <w:p w14:paraId="2DA3EE9A">
      <w:pPr>
        <w:spacing w:after="180" w:line="360" w:lineRule="auto"/>
        <w:jc w:val="both"/>
      </w:pPr>
      <w:r>
        <w:rPr>
          <w:rFonts w:ascii="Times New Roman" w:hAnsi="Times New Roman" w:eastAsia="Times New Roman" w:cs="Times New Roman"/>
          <w:b/>
          <w:bCs/>
          <w:sz w:val="24"/>
          <w:szCs w:val="24"/>
        </w:rPr>
        <w:t>Agricultural Exposure</w:t>
      </w:r>
      <w:r>
        <w:rPr>
          <w:rFonts w:ascii="Times New Roman" w:hAnsi="Times New Roman" w:eastAsia="Times New Roman" w:cs="Times New Roman"/>
          <w:sz w:val="24"/>
          <w:szCs w:val="24"/>
        </w:rPr>
        <w:t xml:space="preserve"> is proxied by the country-year rural population share (%), standardised. This measure captures the share of the population dependent on rain-fed agriculture, consistent with the covariate risk framework of Giné et al. (2008). The mean rural population share in the sample is 47.14%, reflecting the predominantly developing-economy composition of the MFI universe.</w:t>
      </w:r>
    </w:p>
    <w:p w14:paraId="29403630">
      <w:pPr>
        <w:spacing w:after="180" w:line="360" w:lineRule="auto"/>
        <w:jc w:val="both"/>
      </w:pPr>
      <w:r>
        <w:rPr>
          <w:rFonts w:ascii="Times New Roman" w:hAnsi="Times New Roman" w:eastAsia="Times New Roman" w:cs="Times New Roman"/>
          <w:sz w:val="24"/>
          <w:szCs w:val="24"/>
        </w:rPr>
        <w:t>MFI-level controls are: Bank Capital/Assets Ratio (%) and Bank Return on Assets (%). Country-level controls are: GDP Growth (%), Inflation (%), and Domestic Credit to Private Sector (% of GDP).</w:t>
      </w:r>
    </w:p>
    <w:p w14:paraId="1BC4C295">
      <w:pPr>
        <w:pStyle w:val="3"/>
        <w:spacing w:before="280" w:after="140"/>
        <w:jc w:val="both"/>
      </w:pPr>
      <w:r>
        <w:rPr>
          <w:rFonts w:ascii="Times New Roman" w:hAnsi="Times New Roman" w:eastAsia="Times New Roman" w:cs="Times New Roman"/>
          <w:b/>
          <w:bCs/>
          <w:sz w:val="26"/>
          <w:szCs w:val="26"/>
        </w:rPr>
        <w:t>IV.C Summary Statistics</w:t>
      </w:r>
    </w:p>
    <w:p w14:paraId="573064E5">
      <w:pPr>
        <w:spacing w:after="180" w:line="360" w:lineRule="auto"/>
        <w:jc w:val="both"/>
      </w:pPr>
      <w:r>
        <w:rPr>
          <w:rFonts w:ascii="Times New Roman" w:hAnsi="Times New Roman" w:eastAsia="Times New Roman" w:cs="Times New Roman"/>
          <w:b/>
          <w:bCs/>
          <w:sz w:val="24"/>
          <w:szCs w:val="24"/>
        </w:rPr>
        <w:t>Table 1</w:t>
      </w:r>
      <w:r>
        <w:rPr>
          <w:rFonts w:ascii="Times New Roman" w:hAnsi="Times New Roman" w:eastAsia="Times New Roman" w:cs="Times New Roman"/>
          <w:sz w:val="24"/>
          <w:szCs w:val="24"/>
        </w:rPr>
        <w:t xml:space="preserve"> presents distributional moments by panel.</w:t>
      </w:r>
    </w:p>
    <w:p w14:paraId="097DA80B">
      <w:pPr>
        <w:spacing w:before="200" w:after="100"/>
        <w:jc w:val="both"/>
      </w:pPr>
      <w:r>
        <w:rPr>
          <w:rFonts w:ascii="Times New Roman" w:hAnsi="Times New Roman" w:eastAsia="Times New Roman" w:cs="Times New Roman"/>
          <w:b/>
          <w:bCs/>
          <w:sz w:val="24"/>
          <w:szCs w:val="24"/>
        </w:rPr>
        <w:t>Table 1: Summary Statistics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00"/>
        <w:gridCol w:w="900"/>
        <w:gridCol w:w="900"/>
        <w:gridCol w:w="900"/>
        <w:gridCol w:w="900"/>
        <w:gridCol w:w="900"/>
        <w:gridCol w:w="1760"/>
      </w:tblGrid>
      <w:tr w14:paraId="5C27C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000000" w:sz="8" w:space="0"/>
              <w:left w:val="nil"/>
              <w:bottom w:val="single" w:color="AAAAAA" w:sz="0" w:space="0"/>
              <w:right w:val="nil"/>
            </w:tcBorders>
            <w:shd w:val="clear" w:color="auto" w:fill="E8E8E8"/>
            <w:tcMar>
              <w:top w:w="80" w:type="dxa"/>
              <w:left w:w="100" w:type="dxa"/>
              <w:bottom w:w="80" w:type="dxa"/>
              <w:right w:w="100" w:type="dxa"/>
            </w:tcMar>
          </w:tcPr>
          <w:p w14:paraId="33A6FBC9">
            <w:pPr>
              <w:jc w:val="both"/>
            </w:pPr>
            <w:r>
              <w:rPr>
                <w:rFonts w:ascii="Times New Roman" w:hAnsi="Times New Roman" w:eastAsia="Times New Roman" w:cs="Times New Roman"/>
                <w:b/>
                <w:bCs/>
                <w:sz w:val="20"/>
                <w:szCs w:val="20"/>
              </w:rPr>
              <w:t>Variable</w:t>
            </w:r>
          </w:p>
        </w:tc>
        <w:tc>
          <w:tcPr>
            <w:tcW w:w="700" w:type="dxa"/>
            <w:tcBorders>
              <w:top w:val="single" w:color="000000" w:sz="8" w:space="0"/>
              <w:left w:val="nil"/>
              <w:bottom w:val="single" w:color="AAAAAA" w:sz="0" w:space="0"/>
              <w:right w:val="nil"/>
            </w:tcBorders>
            <w:shd w:val="clear" w:color="auto" w:fill="E8E8E8"/>
            <w:tcMar>
              <w:top w:w="80" w:type="dxa"/>
              <w:left w:w="100" w:type="dxa"/>
              <w:bottom w:w="80" w:type="dxa"/>
              <w:right w:w="100" w:type="dxa"/>
            </w:tcMar>
          </w:tcPr>
          <w:p w14:paraId="4AC82604">
            <w:pPr>
              <w:jc w:val="both"/>
            </w:pPr>
            <w:r>
              <w:rPr>
                <w:rFonts w:ascii="Times New Roman" w:hAnsi="Times New Roman" w:eastAsia="Times New Roman" w:cs="Times New Roman"/>
                <w:b/>
                <w:bCs/>
                <w:sz w:val="20"/>
                <w:szCs w:val="20"/>
              </w:rPr>
              <w:t>N</w:t>
            </w:r>
          </w:p>
        </w:tc>
        <w:tc>
          <w:tcPr>
            <w:tcW w:w="900" w:type="dxa"/>
            <w:tcBorders>
              <w:top w:val="single" w:color="000000" w:sz="8" w:space="0"/>
              <w:left w:val="nil"/>
              <w:bottom w:val="single" w:color="AAAAAA" w:sz="0" w:space="0"/>
              <w:right w:val="nil"/>
            </w:tcBorders>
            <w:shd w:val="clear" w:color="auto" w:fill="E8E8E8"/>
            <w:tcMar>
              <w:top w:w="80" w:type="dxa"/>
              <w:left w:w="100" w:type="dxa"/>
              <w:bottom w:w="80" w:type="dxa"/>
              <w:right w:w="100" w:type="dxa"/>
            </w:tcMar>
          </w:tcPr>
          <w:p w14:paraId="77BE7D39">
            <w:pPr>
              <w:jc w:val="both"/>
            </w:pPr>
            <w:r>
              <w:rPr>
                <w:rFonts w:ascii="Times New Roman" w:hAnsi="Times New Roman" w:eastAsia="Times New Roman" w:cs="Times New Roman"/>
                <w:b/>
                <w:bCs/>
                <w:sz w:val="20"/>
                <w:szCs w:val="20"/>
              </w:rPr>
              <w:t>Mean</w:t>
            </w:r>
          </w:p>
        </w:tc>
        <w:tc>
          <w:tcPr>
            <w:tcW w:w="900" w:type="dxa"/>
            <w:tcBorders>
              <w:top w:val="single" w:color="000000" w:sz="8" w:space="0"/>
              <w:left w:val="nil"/>
              <w:bottom w:val="single" w:color="AAAAAA" w:sz="0" w:space="0"/>
              <w:right w:val="nil"/>
            </w:tcBorders>
            <w:shd w:val="clear" w:color="auto" w:fill="E8E8E8"/>
            <w:tcMar>
              <w:top w:w="80" w:type="dxa"/>
              <w:left w:w="100" w:type="dxa"/>
              <w:bottom w:w="80" w:type="dxa"/>
              <w:right w:w="100" w:type="dxa"/>
            </w:tcMar>
          </w:tcPr>
          <w:p w14:paraId="508BEE59">
            <w:pPr>
              <w:jc w:val="both"/>
            </w:pPr>
            <w:r>
              <w:rPr>
                <w:rFonts w:ascii="Times New Roman" w:hAnsi="Times New Roman" w:eastAsia="Times New Roman" w:cs="Times New Roman"/>
                <w:b/>
                <w:bCs/>
                <w:sz w:val="20"/>
                <w:szCs w:val="20"/>
              </w:rPr>
              <w:t>SD</w:t>
            </w:r>
          </w:p>
        </w:tc>
        <w:tc>
          <w:tcPr>
            <w:tcW w:w="900" w:type="dxa"/>
            <w:tcBorders>
              <w:top w:val="single" w:color="000000" w:sz="8" w:space="0"/>
              <w:left w:val="nil"/>
              <w:bottom w:val="single" w:color="AAAAAA" w:sz="0" w:space="0"/>
              <w:right w:val="nil"/>
            </w:tcBorders>
            <w:shd w:val="clear" w:color="auto" w:fill="E8E8E8"/>
            <w:tcMar>
              <w:top w:w="80" w:type="dxa"/>
              <w:left w:w="100" w:type="dxa"/>
              <w:bottom w:w="80" w:type="dxa"/>
              <w:right w:w="100" w:type="dxa"/>
            </w:tcMar>
          </w:tcPr>
          <w:p w14:paraId="37A53271">
            <w:pPr>
              <w:jc w:val="both"/>
            </w:pPr>
            <w:r>
              <w:rPr>
                <w:rFonts w:ascii="Times New Roman" w:hAnsi="Times New Roman" w:eastAsia="Times New Roman" w:cs="Times New Roman"/>
                <w:b/>
                <w:bCs/>
                <w:sz w:val="20"/>
                <w:szCs w:val="20"/>
              </w:rPr>
              <w:t>p25</w:t>
            </w:r>
          </w:p>
        </w:tc>
        <w:tc>
          <w:tcPr>
            <w:tcW w:w="900" w:type="dxa"/>
            <w:tcBorders>
              <w:top w:val="single" w:color="000000" w:sz="8" w:space="0"/>
              <w:left w:val="nil"/>
              <w:bottom w:val="single" w:color="AAAAAA" w:sz="0" w:space="0"/>
              <w:right w:val="nil"/>
            </w:tcBorders>
            <w:shd w:val="clear" w:color="auto" w:fill="E8E8E8"/>
            <w:tcMar>
              <w:top w:w="80" w:type="dxa"/>
              <w:left w:w="100" w:type="dxa"/>
              <w:bottom w:w="80" w:type="dxa"/>
              <w:right w:w="100" w:type="dxa"/>
            </w:tcMar>
          </w:tcPr>
          <w:p w14:paraId="53314B4A">
            <w:pPr>
              <w:jc w:val="both"/>
            </w:pPr>
            <w:r>
              <w:rPr>
                <w:rFonts w:ascii="Times New Roman" w:hAnsi="Times New Roman" w:eastAsia="Times New Roman" w:cs="Times New Roman"/>
                <w:b/>
                <w:bCs/>
                <w:sz w:val="20"/>
                <w:szCs w:val="20"/>
              </w:rPr>
              <w:t>p50</w:t>
            </w:r>
          </w:p>
        </w:tc>
        <w:tc>
          <w:tcPr>
            <w:tcW w:w="900" w:type="dxa"/>
            <w:tcBorders>
              <w:top w:val="single" w:color="000000" w:sz="8" w:space="0"/>
              <w:left w:val="nil"/>
              <w:bottom w:val="single" w:color="AAAAAA" w:sz="0" w:space="0"/>
              <w:right w:val="nil"/>
            </w:tcBorders>
            <w:shd w:val="clear" w:color="auto" w:fill="E8E8E8"/>
            <w:tcMar>
              <w:top w:w="80" w:type="dxa"/>
              <w:left w:w="100" w:type="dxa"/>
              <w:bottom w:w="80" w:type="dxa"/>
              <w:right w:w="100" w:type="dxa"/>
            </w:tcMar>
          </w:tcPr>
          <w:p w14:paraId="3F0614FD">
            <w:pPr>
              <w:jc w:val="both"/>
            </w:pPr>
            <w:r>
              <w:rPr>
                <w:rFonts w:ascii="Times New Roman" w:hAnsi="Times New Roman" w:eastAsia="Times New Roman" w:cs="Times New Roman"/>
                <w:b/>
                <w:bCs/>
                <w:sz w:val="20"/>
                <w:szCs w:val="20"/>
              </w:rPr>
              <w:t>p75</w:t>
            </w:r>
          </w:p>
        </w:tc>
        <w:tc>
          <w:tcPr>
            <w:tcW w:w="960" w:type="dxa"/>
            <w:tcBorders>
              <w:top w:val="single" w:color="000000" w:sz="8" w:space="0"/>
              <w:left w:val="nil"/>
              <w:bottom w:val="single" w:color="AAAAAA" w:sz="0" w:space="0"/>
              <w:right w:val="nil"/>
            </w:tcBorders>
            <w:shd w:val="clear" w:color="auto" w:fill="E8E8E8"/>
            <w:tcMar>
              <w:top w:w="80" w:type="dxa"/>
              <w:left w:w="100" w:type="dxa"/>
              <w:bottom w:w="80" w:type="dxa"/>
              <w:right w:w="100" w:type="dxa"/>
            </w:tcMar>
          </w:tcPr>
          <w:p w14:paraId="26F86540">
            <w:pPr>
              <w:jc w:val="both"/>
            </w:pPr>
            <w:r>
              <w:rPr>
                <w:rFonts w:ascii="Times New Roman" w:hAnsi="Times New Roman" w:eastAsia="Times New Roman" w:cs="Times New Roman"/>
                <w:b/>
                <w:bCs/>
                <w:sz w:val="20"/>
                <w:szCs w:val="20"/>
              </w:rPr>
              <w:t>Source</w:t>
            </w:r>
          </w:p>
        </w:tc>
      </w:tr>
      <w:tr w14:paraId="701E4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8"/>
            <w:tcBorders>
              <w:top w:val="nil"/>
              <w:left w:val="nil"/>
              <w:bottom w:val="nil"/>
              <w:right w:val="nil"/>
            </w:tcBorders>
            <w:shd w:val="clear" w:color="auto" w:fill="F4F4F4"/>
            <w:tcMar>
              <w:top w:w="60" w:type="dxa"/>
              <w:left w:w="100" w:type="dxa"/>
              <w:bottom w:w="60" w:type="dxa"/>
              <w:right w:w="100" w:type="dxa"/>
            </w:tcMar>
          </w:tcPr>
          <w:p w14:paraId="42ED773D">
            <w:pPr>
              <w:jc w:val="both"/>
            </w:pPr>
            <w:r>
              <w:rPr>
                <w:rFonts w:ascii="Times New Roman" w:hAnsi="Times New Roman" w:eastAsia="Times New Roman" w:cs="Times New Roman"/>
                <w:b/>
                <w:bCs/>
                <w:i/>
                <w:iCs/>
                <w:sz w:val="20"/>
                <w:szCs w:val="20"/>
              </w:rPr>
              <w:t>Panel A: Dependent Variables</w:t>
            </w:r>
          </w:p>
        </w:tc>
      </w:tr>
      <w:tr w14:paraId="05401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60" w:type="dxa"/>
              <w:left w:w="100" w:type="dxa"/>
              <w:bottom w:w="60" w:type="dxa"/>
              <w:right w:w="100" w:type="dxa"/>
            </w:tcMar>
          </w:tcPr>
          <w:p w14:paraId="280FB887">
            <w:pPr>
              <w:jc w:val="both"/>
            </w:pPr>
            <w:r>
              <w:rPr>
                <w:rFonts w:ascii="Times New Roman" w:hAnsi="Times New Roman" w:eastAsia="Times New Roman" w:cs="Times New Roman"/>
                <w:i w:val="0"/>
                <w:iCs w:val="0"/>
                <w:sz w:val="20"/>
                <w:szCs w:val="20"/>
              </w:rPr>
              <w:t>Provisions/NPL Ratio (%)</w:t>
            </w:r>
          </w:p>
        </w:tc>
        <w:tc>
          <w:tcPr>
            <w:tcW w:w="700" w:type="dxa"/>
            <w:tcBorders>
              <w:top w:val="nil"/>
              <w:left w:val="nil"/>
              <w:bottom w:val="nil"/>
              <w:right w:val="nil"/>
            </w:tcBorders>
            <w:tcMar>
              <w:top w:w="60" w:type="dxa"/>
              <w:left w:w="100" w:type="dxa"/>
              <w:bottom w:w="60" w:type="dxa"/>
              <w:right w:w="100" w:type="dxa"/>
            </w:tcMar>
          </w:tcPr>
          <w:p w14:paraId="2012EB79">
            <w:pPr>
              <w:jc w:val="both"/>
            </w:pPr>
            <w:r>
              <w:rPr>
                <w:rFonts w:ascii="Times New Roman" w:hAnsi="Times New Roman" w:eastAsia="Times New Roman" w:cs="Times New Roman"/>
                <w:i w:val="0"/>
                <w:iCs w:val="0"/>
                <w:sz w:val="20"/>
                <w:szCs w:val="20"/>
              </w:rPr>
              <w:t>1,771</w:t>
            </w:r>
          </w:p>
        </w:tc>
        <w:tc>
          <w:tcPr>
            <w:tcW w:w="900" w:type="dxa"/>
            <w:tcBorders>
              <w:top w:val="nil"/>
              <w:left w:val="nil"/>
              <w:bottom w:val="nil"/>
              <w:right w:val="nil"/>
            </w:tcBorders>
            <w:tcMar>
              <w:top w:w="60" w:type="dxa"/>
              <w:left w:w="100" w:type="dxa"/>
              <w:bottom w:w="60" w:type="dxa"/>
              <w:right w:w="100" w:type="dxa"/>
            </w:tcMar>
          </w:tcPr>
          <w:p w14:paraId="30626E01">
            <w:pPr>
              <w:jc w:val="both"/>
            </w:pPr>
            <w:r>
              <w:rPr>
                <w:rFonts w:ascii="Times New Roman" w:hAnsi="Times New Roman" w:eastAsia="Times New Roman" w:cs="Times New Roman"/>
                <w:i w:val="0"/>
                <w:iCs w:val="0"/>
                <w:sz w:val="20"/>
                <w:szCs w:val="20"/>
              </w:rPr>
              <w:t>72.18</w:t>
            </w:r>
          </w:p>
        </w:tc>
        <w:tc>
          <w:tcPr>
            <w:tcW w:w="900" w:type="dxa"/>
            <w:tcBorders>
              <w:top w:val="nil"/>
              <w:left w:val="nil"/>
              <w:bottom w:val="nil"/>
              <w:right w:val="nil"/>
            </w:tcBorders>
            <w:tcMar>
              <w:top w:w="60" w:type="dxa"/>
              <w:left w:w="100" w:type="dxa"/>
              <w:bottom w:w="60" w:type="dxa"/>
              <w:right w:w="100" w:type="dxa"/>
            </w:tcMar>
          </w:tcPr>
          <w:p w14:paraId="51092AC3">
            <w:pPr>
              <w:jc w:val="both"/>
            </w:pPr>
            <w:r>
              <w:rPr>
                <w:rFonts w:ascii="Times New Roman" w:hAnsi="Times New Roman" w:eastAsia="Times New Roman" w:cs="Times New Roman"/>
                <w:i w:val="0"/>
                <w:iCs w:val="0"/>
                <w:sz w:val="20"/>
                <w:szCs w:val="20"/>
              </w:rPr>
              <w:t>32.08</w:t>
            </w:r>
          </w:p>
        </w:tc>
        <w:tc>
          <w:tcPr>
            <w:tcW w:w="900" w:type="dxa"/>
            <w:tcBorders>
              <w:top w:val="nil"/>
              <w:left w:val="nil"/>
              <w:bottom w:val="nil"/>
              <w:right w:val="nil"/>
            </w:tcBorders>
            <w:tcMar>
              <w:top w:w="60" w:type="dxa"/>
              <w:left w:w="100" w:type="dxa"/>
              <w:bottom w:w="60" w:type="dxa"/>
              <w:right w:w="100" w:type="dxa"/>
            </w:tcMar>
          </w:tcPr>
          <w:p w14:paraId="0901F5AA">
            <w:pPr>
              <w:jc w:val="both"/>
            </w:pPr>
            <w:r>
              <w:rPr>
                <w:rFonts w:ascii="Times New Roman" w:hAnsi="Times New Roman" w:eastAsia="Times New Roman" w:cs="Times New Roman"/>
                <w:i w:val="0"/>
                <w:iCs w:val="0"/>
                <w:sz w:val="20"/>
                <w:szCs w:val="20"/>
              </w:rPr>
              <w:t>49.03</w:t>
            </w:r>
          </w:p>
        </w:tc>
        <w:tc>
          <w:tcPr>
            <w:tcW w:w="900" w:type="dxa"/>
            <w:tcBorders>
              <w:top w:val="nil"/>
              <w:left w:val="nil"/>
              <w:bottom w:val="nil"/>
              <w:right w:val="nil"/>
            </w:tcBorders>
            <w:tcMar>
              <w:top w:w="60" w:type="dxa"/>
              <w:left w:w="100" w:type="dxa"/>
              <w:bottom w:w="60" w:type="dxa"/>
              <w:right w:w="100" w:type="dxa"/>
            </w:tcMar>
          </w:tcPr>
          <w:p w14:paraId="67F1C5D2">
            <w:pPr>
              <w:jc w:val="both"/>
            </w:pPr>
            <w:r>
              <w:rPr>
                <w:rFonts w:ascii="Times New Roman" w:hAnsi="Times New Roman" w:eastAsia="Times New Roman" w:cs="Times New Roman"/>
                <w:i w:val="0"/>
                <w:iCs w:val="0"/>
                <w:sz w:val="20"/>
                <w:szCs w:val="20"/>
              </w:rPr>
              <w:t>71.21</w:t>
            </w:r>
          </w:p>
        </w:tc>
        <w:tc>
          <w:tcPr>
            <w:tcW w:w="900" w:type="dxa"/>
            <w:tcBorders>
              <w:top w:val="nil"/>
              <w:left w:val="nil"/>
              <w:bottom w:val="nil"/>
              <w:right w:val="nil"/>
            </w:tcBorders>
            <w:tcMar>
              <w:top w:w="60" w:type="dxa"/>
              <w:left w:w="100" w:type="dxa"/>
              <w:bottom w:w="60" w:type="dxa"/>
              <w:right w:w="100" w:type="dxa"/>
            </w:tcMar>
          </w:tcPr>
          <w:p w14:paraId="2828A727">
            <w:pPr>
              <w:jc w:val="both"/>
            </w:pPr>
            <w:r>
              <w:rPr>
                <w:rFonts w:ascii="Times New Roman" w:hAnsi="Times New Roman" w:eastAsia="Times New Roman" w:cs="Times New Roman"/>
                <w:i w:val="0"/>
                <w:iCs w:val="0"/>
                <w:sz w:val="20"/>
                <w:szCs w:val="20"/>
              </w:rPr>
              <w:t>91.44</w:t>
            </w:r>
          </w:p>
        </w:tc>
        <w:tc>
          <w:tcPr>
            <w:tcW w:w="960" w:type="dxa"/>
            <w:tcBorders>
              <w:top w:val="nil"/>
              <w:left w:val="nil"/>
              <w:bottom w:val="nil"/>
              <w:right w:val="nil"/>
            </w:tcBorders>
            <w:tcMar>
              <w:top w:w="60" w:type="dxa"/>
              <w:left w:w="100" w:type="dxa"/>
              <w:bottom w:w="60" w:type="dxa"/>
              <w:right w:w="100" w:type="dxa"/>
            </w:tcMar>
          </w:tcPr>
          <w:p w14:paraId="780059F1">
            <w:pPr>
              <w:jc w:val="both"/>
            </w:pPr>
            <w:r>
              <w:rPr>
                <w:rFonts w:ascii="Times New Roman" w:hAnsi="Times New Roman" w:eastAsia="Times New Roman" w:cs="Times New Roman"/>
                <w:i w:val="0"/>
                <w:iCs w:val="0"/>
                <w:sz w:val="20"/>
                <w:szCs w:val="20"/>
              </w:rPr>
              <w:t>World Bank GFD</w:t>
            </w:r>
          </w:p>
        </w:tc>
      </w:tr>
      <w:tr w14:paraId="23312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60" w:type="dxa"/>
              <w:left w:w="100" w:type="dxa"/>
              <w:bottom w:w="60" w:type="dxa"/>
              <w:right w:w="100" w:type="dxa"/>
            </w:tcMar>
          </w:tcPr>
          <w:p w14:paraId="583392C0">
            <w:pPr>
              <w:jc w:val="both"/>
            </w:pPr>
            <w:r>
              <w:rPr>
                <w:rFonts w:ascii="Times New Roman" w:hAnsi="Times New Roman" w:eastAsia="Times New Roman" w:cs="Times New Roman"/>
                <w:i w:val="0"/>
                <w:iCs w:val="0"/>
                <w:sz w:val="20"/>
                <w:szCs w:val="20"/>
              </w:rPr>
              <w:t>Bank Return on Assets (%)</w:t>
            </w:r>
          </w:p>
        </w:tc>
        <w:tc>
          <w:tcPr>
            <w:tcW w:w="700" w:type="dxa"/>
            <w:tcBorders>
              <w:top w:val="nil"/>
              <w:left w:val="nil"/>
              <w:bottom w:val="nil"/>
              <w:right w:val="nil"/>
            </w:tcBorders>
            <w:tcMar>
              <w:top w:w="60" w:type="dxa"/>
              <w:left w:w="100" w:type="dxa"/>
              <w:bottom w:w="60" w:type="dxa"/>
              <w:right w:w="100" w:type="dxa"/>
            </w:tcMar>
          </w:tcPr>
          <w:p w14:paraId="5B23A2FB">
            <w:pPr>
              <w:jc w:val="both"/>
            </w:pPr>
            <w:r>
              <w:rPr>
                <w:rFonts w:ascii="Times New Roman" w:hAnsi="Times New Roman" w:eastAsia="Times New Roman" w:cs="Times New Roman"/>
                <w:i w:val="0"/>
                <w:iCs w:val="0"/>
                <w:sz w:val="20"/>
                <w:szCs w:val="20"/>
              </w:rPr>
              <w:t>2,593</w:t>
            </w:r>
          </w:p>
        </w:tc>
        <w:tc>
          <w:tcPr>
            <w:tcW w:w="900" w:type="dxa"/>
            <w:tcBorders>
              <w:top w:val="nil"/>
              <w:left w:val="nil"/>
              <w:bottom w:val="nil"/>
              <w:right w:val="nil"/>
            </w:tcBorders>
            <w:tcMar>
              <w:top w:w="60" w:type="dxa"/>
              <w:left w:w="100" w:type="dxa"/>
              <w:bottom w:w="60" w:type="dxa"/>
              <w:right w:w="100" w:type="dxa"/>
            </w:tcMar>
          </w:tcPr>
          <w:p w14:paraId="7C39A775">
            <w:pPr>
              <w:jc w:val="both"/>
            </w:pPr>
            <w:r>
              <w:rPr>
                <w:rFonts w:ascii="Times New Roman" w:hAnsi="Times New Roman" w:eastAsia="Times New Roman" w:cs="Times New Roman"/>
                <w:i w:val="0"/>
                <w:iCs w:val="0"/>
                <w:sz w:val="20"/>
                <w:szCs w:val="20"/>
              </w:rPr>
              <w:t>1.34</w:t>
            </w:r>
          </w:p>
        </w:tc>
        <w:tc>
          <w:tcPr>
            <w:tcW w:w="900" w:type="dxa"/>
            <w:tcBorders>
              <w:top w:val="nil"/>
              <w:left w:val="nil"/>
              <w:bottom w:val="nil"/>
              <w:right w:val="nil"/>
            </w:tcBorders>
            <w:tcMar>
              <w:top w:w="60" w:type="dxa"/>
              <w:left w:w="100" w:type="dxa"/>
              <w:bottom w:w="60" w:type="dxa"/>
              <w:right w:w="100" w:type="dxa"/>
            </w:tcMar>
          </w:tcPr>
          <w:p w14:paraId="38B912D1">
            <w:pPr>
              <w:jc w:val="both"/>
            </w:pPr>
            <w:r>
              <w:rPr>
                <w:rFonts w:ascii="Times New Roman" w:hAnsi="Times New Roman" w:eastAsia="Times New Roman" w:cs="Times New Roman"/>
                <w:i w:val="0"/>
                <w:iCs w:val="0"/>
                <w:sz w:val="20"/>
                <w:szCs w:val="20"/>
              </w:rPr>
              <w:t>4.45</w:t>
            </w:r>
          </w:p>
        </w:tc>
        <w:tc>
          <w:tcPr>
            <w:tcW w:w="900" w:type="dxa"/>
            <w:tcBorders>
              <w:top w:val="nil"/>
              <w:left w:val="nil"/>
              <w:bottom w:val="nil"/>
              <w:right w:val="nil"/>
            </w:tcBorders>
            <w:tcMar>
              <w:top w:w="60" w:type="dxa"/>
              <w:left w:w="100" w:type="dxa"/>
              <w:bottom w:w="60" w:type="dxa"/>
              <w:right w:w="100" w:type="dxa"/>
            </w:tcMar>
          </w:tcPr>
          <w:p w14:paraId="21766B37">
            <w:pPr>
              <w:jc w:val="both"/>
            </w:pPr>
            <w:r>
              <w:rPr>
                <w:rFonts w:ascii="Times New Roman" w:hAnsi="Times New Roman" w:eastAsia="Times New Roman" w:cs="Times New Roman"/>
                <w:i w:val="0"/>
                <w:iCs w:val="0"/>
                <w:sz w:val="20"/>
                <w:szCs w:val="20"/>
              </w:rPr>
              <w:t>0.90</w:t>
            </w:r>
          </w:p>
        </w:tc>
        <w:tc>
          <w:tcPr>
            <w:tcW w:w="900" w:type="dxa"/>
            <w:tcBorders>
              <w:top w:val="nil"/>
              <w:left w:val="nil"/>
              <w:bottom w:val="nil"/>
              <w:right w:val="nil"/>
            </w:tcBorders>
            <w:tcMar>
              <w:top w:w="60" w:type="dxa"/>
              <w:left w:w="100" w:type="dxa"/>
              <w:bottom w:w="60" w:type="dxa"/>
              <w:right w:w="100" w:type="dxa"/>
            </w:tcMar>
          </w:tcPr>
          <w:p w14:paraId="6DEF20BF">
            <w:pPr>
              <w:jc w:val="both"/>
            </w:pPr>
            <w:r>
              <w:rPr>
                <w:rFonts w:ascii="Times New Roman" w:hAnsi="Times New Roman" w:eastAsia="Times New Roman" w:cs="Times New Roman"/>
                <w:i w:val="0"/>
                <w:iCs w:val="0"/>
                <w:sz w:val="20"/>
                <w:szCs w:val="20"/>
              </w:rPr>
              <w:t>1.62</w:t>
            </w:r>
          </w:p>
        </w:tc>
        <w:tc>
          <w:tcPr>
            <w:tcW w:w="900" w:type="dxa"/>
            <w:tcBorders>
              <w:top w:val="nil"/>
              <w:left w:val="nil"/>
              <w:bottom w:val="nil"/>
              <w:right w:val="nil"/>
            </w:tcBorders>
            <w:tcMar>
              <w:top w:w="60" w:type="dxa"/>
              <w:left w:w="100" w:type="dxa"/>
              <w:bottom w:w="60" w:type="dxa"/>
              <w:right w:w="100" w:type="dxa"/>
            </w:tcMar>
          </w:tcPr>
          <w:p w14:paraId="27FABD55">
            <w:pPr>
              <w:jc w:val="both"/>
            </w:pPr>
            <w:r>
              <w:rPr>
                <w:rFonts w:ascii="Times New Roman" w:hAnsi="Times New Roman" w:eastAsia="Times New Roman" w:cs="Times New Roman"/>
                <w:i w:val="0"/>
                <w:iCs w:val="0"/>
                <w:sz w:val="20"/>
                <w:szCs w:val="20"/>
              </w:rPr>
              <w:t>2.03</w:t>
            </w:r>
          </w:p>
        </w:tc>
        <w:tc>
          <w:tcPr>
            <w:tcW w:w="960" w:type="dxa"/>
            <w:tcBorders>
              <w:top w:val="nil"/>
              <w:left w:val="nil"/>
              <w:bottom w:val="nil"/>
              <w:right w:val="nil"/>
            </w:tcBorders>
            <w:tcMar>
              <w:top w:w="60" w:type="dxa"/>
              <w:left w:w="100" w:type="dxa"/>
              <w:bottom w:w="60" w:type="dxa"/>
              <w:right w:w="100" w:type="dxa"/>
            </w:tcMar>
          </w:tcPr>
          <w:p w14:paraId="0C656F40">
            <w:pPr>
              <w:jc w:val="both"/>
            </w:pPr>
            <w:r>
              <w:rPr>
                <w:rFonts w:ascii="Times New Roman" w:hAnsi="Times New Roman" w:eastAsia="Times New Roman" w:cs="Times New Roman"/>
                <w:i w:val="0"/>
                <w:iCs w:val="0"/>
                <w:sz w:val="20"/>
                <w:szCs w:val="20"/>
              </w:rPr>
              <w:t>World Bank GFD</w:t>
            </w:r>
          </w:p>
        </w:tc>
      </w:tr>
      <w:tr w14:paraId="788CD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60" w:type="dxa"/>
              <w:left w:w="100" w:type="dxa"/>
              <w:bottom w:w="60" w:type="dxa"/>
              <w:right w:w="100" w:type="dxa"/>
            </w:tcMar>
          </w:tcPr>
          <w:p w14:paraId="3EC4790E">
            <w:pPr>
              <w:jc w:val="both"/>
            </w:pPr>
            <w:r>
              <w:rPr>
                <w:rFonts w:ascii="Times New Roman" w:hAnsi="Times New Roman" w:eastAsia="Times New Roman" w:cs="Times New Roman"/>
                <w:i w:val="0"/>
                <w:iCs w:val="0"/>
                <w:sz w:val="20"/>
                <w:szCs w:val="20"/>
              </w:rPr>
              <w:t>Bank Regulatory Capital/RWA (%)</w:t>
            </w:r>
          </w:p>
        </w:tc>
        <w:tc>
          <w:tcPr>
            <w:tcW w:w="700" w:type="dxa"/>
            <w:tcBorders>
              <w:top w:val="nil"/>
              <w:left w:val="nil"/>
              <w:bottom w:val="nil"/>
              <w:right w:val="nil"/>
            </w:tcBorders>
            <w:tcMar>
              <w:top w:w="60" w:type="dxa"/>
              <w:left w:w="100" w:type="dxa"/>
              <w:bottom w:w="60" w:type="dxa"/>
              <w:right w:w="100" w:type="dxa"/>
            </w:tcMar>
          </w:tcPr>
          <w:p w14:paraId="22EA214D">
            <w:pPr>
              <w:jc w:val="both"/>
            </w:pPr>
            <w:r>
              <w:rPr>
                <w:rFonts w:ascii="Times New Roman" w:hAnsi="Times New Roman" w:eastAsia="Times New Roman" w:cs="Times New Roman"/>
                <w:i w:val="0"/>
                <w:iCs w:val="0"/>
                <w:sz w:val="20"/>
                <w:szCs w:val="20"/>
              </w:rPr>
              <w:t>1,859</w:t>
            </w:r>
          </w:p>
        </w:tc>
        <w:tc>
          <w:tcPr>
            <w:tcW w:w="900" w:type="dxa"/>
            <w:tcBorders>
              <w:top w:val="nil"/>
              <w:left w:val="nil"/>
              <w:bottom w:val="nil"/>
              <w:right w:val="nil"/>
            </w:tcBorders>
            <w:tcMar>
              <w:top w:w="60" w:type="dxa"/>
              <w:left w:w="100" w:type="dxa"/>
              <w:bottom w:w="60" w:type="dxa"/>
              <w:right w:w="100" w:type="dxa"/>
            </w:tcMar>
          </w:tcPr>
          <w:p w14:paraId="77A3671E">
            <w:pPr>
              <w:jc w:val="both"/>
            </w:pPr>
            <w:r>
              <w:rPr>
                <w:rFonts w:ascii="Times New Roman" w:hAnsi="Times New Roman" w:eastAsia="Times New Roman" w:cs="Times New Roman"/>
                <w:i w:val="0"/>
                <w:iCs w:val="0"/>
                <w:sz w:val="20"/>
                <w:szCs w:val="20"/>
              </w:rPr>
              <w:t>17.35</w:t>
            </w:r>
          </w:p>
        </w:tc>
        <w:tc>
          <w:tcPr>
            <w:tcW w:w="900" w:type="dxa"/>
            <w:tcBorders>
              <w:top w:val="nil"/>
              <w:left w:val="nil"/>
              <w:bottom w:val="nil"/>
              <w:right w:val="nil"/>
            </w:tcBorders>
            <w:tcMar>
              <w:top w:w="60" w:type="dxa"/>
              <w:left w:w="100" w:type="dxa"/>
              <w:bottom w:w="60" w:type="dxa"/>
              <w:right w:w="100" w:type="dxa"/>
            </w:tcMar>
          </w:tcPr>
          <w:p w14:paraId="27ACC9E4">
            <w:pPr>
              <w:jc w:val="both"/>
            </w:pPr>
            <w:r>
              <w:rPr>
                <w:rFonts w:ascii="Times New Roman" w:hAnsi="Times New Roman" w:eastAsia="Times New Roman" w:cs="Times New Roman"/>
                <w:i w:val="0"/>
                <w:iCs w:val="0"/>
                <w:sz w:val="20"/>
                <w:szCs w:val="20"/>
              </w:rPr>
              <w:t>5.55</w:t>
            </w:r>
          </w:p>
        </w:tc>
        <w:tc>
          <w:tcPr>
            <w:tcW w:w="900" w:type="dxa"/>
            <w:tcBorders>
              <w:top w:val="nil"/>
              <w:left w:val="nil"/>
              <w:bottom w:val="nil"/>
              <w:right w:val="nil"/>
            </w:tcBorders>
            <w:tcMar>
              <w:top w:w="60" w:type="dxa"/>
              <w:left w:w="100" w:type="dxa"/>
              <w:bottom w:w="60" w:type="dxa"/>
              <w:right w:w="100" w:type="dxa"/>
            </w:tcMar>
          </w:tcPr>
          <w:p w14:paraId="4CB448FE">
            <w:pPr>
              <w:jc w:val="both"/>
            </w:pPr>
            <w:r>
              <w:rPr>
                <w:rFonts w:ascii="Times New Roman" w:hAnsi="Times New Roman" w:eastAsia="Times New Roman" w:cs="Times New Roman"/>
                <w:i w:val="0"/>
                <w:iCs w:val="0"/>
                <w:sz w:val="20"/>
                <w:szCs w:val="20"/>
              </w:rPr>
              <w:t>14.75</w:t>
            </w:r>
          </w:p>
        </w:tc>
        <w:tc>
          <w:tcPr>
            <w:tcW w:w="900" w:type="dxa"/>
            <w:tcBorders>
              <w:top w:val="nil"/>
              <w:left w:val="nil"/>
              <w:bottom w:val="nil"/>
              <w:right w:val="nil"/>
            </w:tcBorders>
            <w:tcMar>
              <w:top w:w="60" w:type="dxa"/>
              <w:left w:w="100" w:type="dxa"/>
              <w:bottom w:w="60" w:type="dxa"/>
              <w:right w:w="100" w:type="dxa"/>
            </w:tcMar>
          </w:tcPr>
          <w:p w14:paraId="3ECA7D82">
            <w:pPr>
              <w:jc w:val="both"/>
            </w:pPr>
            <w:r>
              <w:rPr>
                <w:rFonts w:ascii="Times New Roman" w:hAnsi="Times New Roman" w:eastAsia="Times New Roman" w:cs="Times New Roman"/>
                <w:i w:val="0"/>
                <w:iCs w:val="0"/>
                <w:sz w:val="20"/>
                <w:szCs w:val="20"/>
              </w:rPr>
              <w:t>16.11</w:t>
            </w:r>
          </w:p>
        </w:tc>
        <w:tc>
          <w:tcPr>
            <w:tcW w:w="900" w:type="dxa"/>
            <w:tcBorders>
              <w:top w:val="nil"/>
              <w:left w:val="nil"/>
              <w:bottom w:val="nil"/>
              <w:right w:val="nil"/>
            </w:tcBorders>
            <w:tcMar>
              <w:top w:w="60" w:type="dxa"/>
              <w:left w:w="100" w:type="dxa"/>
              <w:bottom w:w="60" w:type="dxa"/>
              <w:right w:w="100" w:type="dxa"/>
            </w:tcMar>
          </w:tcPr>
          <w:p w14:paraId="3E477C61">
            <w:pPr>
              <w:jc w:val="both"/>
            </w:pPr>
            <w:r>
              <w:rPr>
                <w:rFonts w:ascii="Times New Roman" w:hAnsi="Times New Roman" w:eastAsia="Times New Roman" w:cs="Times New Roman"/>
                <w:i w:val="0"/>
                <w:iCs w:val="0"/>
                <w:sz w:val="20"/>
                <w:szCs w:val="20"/>
              </w:rPr>
              <w:t>17.94</w:t>
            </w:r>
          </w:p>
        </w:tc>
        <w:tc>
          <w:tcPr>
            <w:tcW w:w="960" w:type="dxa"/>
            <w:tcBorders>
              <w:top w:val="nil"/>
              <w:left w:val="nil"/>
              <w:bottom w:val="nil"/>
              <w:right w:val="nil"/>
            </w:tcBorders>
            <w:tcMar>
              <w:top w:w="60" w:type="dxa"/>
              <w:left w:w="100" w:type="dxa"/>
              <w:bottom w:w="60" w:type="dxa"/>
              <w:right w:w="100" w:type="dxa"/>
            </w:tcMar>
          </w:tcPr>
          <w:p w14:paraId="61DC1962">
            <w:pPr>
              <w:jc w:val="both"/>
            </w:pPr>
            <w:r>
              <w:rPr>
                <w:rFonts w:ascii="Times New Roman" w:hAnsi="Times New Roman" w:eastAsia="Times New Roman" w:cs="Times New Roman"/>
                <w:i w:val="0"/>
                <w:iCs w:val="0"/>
                <w:sz w:val="20"/>
                <w:szCs w:val="20"/>
              </w:rPr>
              <w:t>World Bank GFD</w:t>
            </w:r>
          </w:p>
        </w:tc>
      </w:tr>
      <w:tr w14:paraId="0490A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8"/>
            <w:tcBorders>
              <w:top w:val="nil"/>
              <w:left w:val="nil"/>
              <w:bottom w:val="nil"/>
              <w:right w:val="nil"/>
            </w:tcBorders>
            <w:shd w:val="clear" w:color="auto" w:fill="F4F4F4"/>
            <w:tcMar>
              <w:top w:w="60" w:type="dxa"/>
              <w:left w:w="100" w:type="dxa"/>
              <w:bottom w:w="60" w:type="dxa"/>
              <w:right w:w="100" w:type="dxa"/>
            </w:tcMar>
          </w:tcPr>
          <w:p w14:paraId="513246EC">
            <w:pPr>
              <w:jc w:val="both"/>
            </w:pPr>
            <w:r>
              <w:rPr>
                <w:rFonts w:ascii="Times New Roman" w:hAnsi="Times New Roman" w:eastAsia="Times New Roman" w:cs="Times New Roman"/>
                <w:b/>
                <w:bCs/>
                <w:i/>
                <w:iCs/>
                <w:sz w:val="20"/>
                <w:szCs w:val="20"/>
              </w:rPr>
              <w:t>Panel B: Climate Stress Variables</w:t>
            </w:r>
          </w:p>
        </w:tc>
      </w:tr>
      <w:tr w14:paraId="186FA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60" w:type="dxa"/>
              <w:left w:w="100" w:type="dxa"/>
              <w:bottom w:w="60" w:type="dxa"/>
              <w:right w:w="100" w:type="dxa"/>
            </w:tcMar>
          </w:tcPr>
          <w:p w14:paraId="24BCC57F">
            <w:pPr>
              <w:jc w:val="both"/>
            </w:pPr>
            <w:r>
              <w:rPr>
                <w:rFonts w:ascii="Times New Roman" w:hAnsi="Times New Roman" w:eastAsia="Times New Roman" w:cs="Times New Roman"/>
                <w:i w:val="0"/>
                <w:iCs w:val="0"/>
                <w:sz w:val="20"/>
                <w:szCs w:val="20"/>
              </w:rPr>
              <w:t>Climate Stress Index (CSI)</w:t>
            </w:r>
          </w:p>
        </w:tc>
        <w:tc>
          <w:tcPr>
            <w:tcW w:w="700" w:type="dxa"/>
            <w:tcBorders>
              <w:top w:val="nil"/>
              <w:left w:val="nil"/>
              <w:bottom w:val="nil"/>
              <w:right w:val="nil"/>
            </w:tcBorders>
            <w:tcMar>
              <w:top w:w="60" w:type="dxa"/>
              <w:left w:w="100" w:type="dxa"/>
              <w:bottom w:w="60" w:type="dxa"/>
              <w:right w:w="100" w:type="dxa"/>
            </w:tcMar>
          </w:tcPr>
          <w:p w14:paraId="1F39FE0C">
            <w:pPr>
              <w:jc w:val="both"/>
            </w:pPr>
            <w:r>
              <w:rPr>
                <w:rFonts w:ascii="Times New Roman" w:hAnsi="Times New Roman" w:eastAsia="Times New Roman" w:cs="Times New Roman"/>
                <w:i w:val="0"/>
                <w:iCs w:val="0"/>
                <w:sz w:val="20"/>
                <w:szCs w:val="20"/>
              </w:rPr>
              <w:t>3,438</w:t>
            </w:r>
          </w:p>
        </w:tc>
        <w:tc>
          <w:tcPr>
            <w:tcW w:w="900" w:type="dxa"/>
            <w:tcBorders>
              <w:top w:val="nil"/>
              <w:left w:val="nil"/>
              <w:bottom w:val="nil"/>
              <w:right w:val="nil"/>
            </w:tcBorders>
            <w:tcMar>
              <w:top w:w="60" w:type="dxa"/>
              <w:left w:w="100" w:type="dxa"/>
              <w:bottom w:w="60" w:type="dxa"/>
              <w:right w:w="100" w:type="dxa"/>
            </w:tcMar>
          </w:tcPr>
          <w:p w14:paraId="18B52890">
            <w:pPr>
              <w:jc w:val="both"/>
            </w:pPr>
            <w:r>
              <w:rPr>
                <w:rFonts w:ascii="Times New Roman" w:hAnsi="Times New Roman" w:eastAsia="Times New Roman" w:cs="Times New Roman"/>
                <w:i w:val="0"/>
                <w:iCs w:val="0"/>
                <w:sz w:val="20"/>
                <w:szCs w:val="20"/>
              </w:rPr>
              <w:t>0.00</w:t>
            </w:r>
          </w:p>
        </w:tc>
        <w:tc>
          <w:tcPr>
            <w:tcW w:w="900" w:type="dxa"/>
            <w:tcBorders>
              <w:top w:val="nil"/>
              <w:left w:val="nil"/>
              <w:bottom w:val="nil"/>
              <w:right w:val="nil"/>
            </w:tcBorders>
            <w:tcMar>
              <w:top w:w="60" w:type="dxa"/>
              <w:left w:w="100" w:type="dxa"/>
              <w:bottom w:w="60" w:type="dxa"/>
              <w:right w:w="100" w:type="dxa"/>
            </w:tcMar>
          </w:tcPr>
          <w:p w14:paraId="5375A10B">
            <w:pPr>
              <w:jc w:val="both"/>
            </w:pPr>
            <w:r>
              <w:rPr>
                <w:rFonts w:ascii="Times New Roman" w:hAnsi="Times New Roman" w:eastAsia="Times New Roman" w:cs="Times New Roman"/>
                <w:i w:val="0"/>
                <w:iCs w:val="0"/>
                <w:sz w:val="20"/>
                <w:szCs w:val="20"/>
              </w:rPr>
              <w:t>1.27</w:t>
            </w:r>
          </w:p>
        </w:tc>
        <w:tc>
          <w:tcPr>
            <w:tcW w:w="900" w:type="dxa"/>
            <w:tcBorders>
              <w:top w:val="nil"/>
              <w:left w:val="nil"/>
              <w:bottom w:val="nil"/>
              <w:right w:val="nil"/>
            </w:tcBorders>
            <w:tcMar>
              <w:top w:w="60" w:type="dxa"/>
              <w:left w:w="100" w:type="dxa"/>
              <w:bottom w:w="60" w:type="dxa"/>
              <w:right w:w="100" w:type="dxa"/>
            </w:tcMar>
          </w:tcPr>
          <w:p w14:paraId="61071766">
            <w:pPr>
              <w:jc w:val="both"/>
            </w:pPr>
            <w:r>
              <w:rPr>
                <w:rFonts w:ascii="Times New Roman" w:hAnsi="Times New Roman" w:eastAsia="Times New Roman" w:cs="Times New Roman"/>
                <w:i w:val="0"/>
                <w:iCs w:val="0"/>
                <w:sz w:val="20"/>
                <w:szCs w:val="20"/>
              </w:rPr>
              <w:t>-0.96</w:t>
            </w:r>
          </w:p>
        </w:tc>
        <w:tc>
          <w:tcPr>
            <w:tcW w:w="900" w:type="dxa"/>
            <w:tcBorders>
              <w:top w:val="nil"/>
              <w:left w:val="nil"/>
              <w:bottom w:val="nil"/>
              <w:right w:val="nil"/>
            </w:tcBorders>
            <w:tcMar>
              <w:top w:w="60" w:type="dxa"/>
              <w:left w:w="100" w:type="dxa"/>
              <w:bottom w:w="60" w:type="dxa"/>
              <w:right w:w="100" w:type="dxa"/>
            </w:tcMar>
          </w:tcPr>
          <w:p w14:paraId="0AA8057D">
            <w:pPr>
              <w:jc w:val="both"/>
            </w:pPr>
            <w:r>
              <w:rPr>
                <w:rFonts w:ascii="Times New Roman" w:hAnsi="Times New Roman" w:eastAsia="Times New Roman" w:cs="Times New Roman"/>
                <w:i w:val="0"/>
                <w:iCs w:val="0"/>
                <w:sz w:val="20"/>
                <w:szCs w:val="20"/>
              </w:rPr>
              <w:t>-0.12</w:t>
            </w:r>
          </w:p>
        </w:tc>
        <w:tc>
          <w:tcPr>
            <w:tcW w:w="900" w:type="dxa"/>
            <w:tcBorders>
              <w:top w:val="nil"/>
              <w:left w:val="nil"/>
              <w:bottom w:val="nil"/>
              <w:right w:val="nil"/>
            </w:tcBorders>
            <w:tcMar>
              <w:top w:w="60" w:type="dxa"/>
              <w:left w:w="100" w:type="dxa"/>
              <w:bottom w:w="60" w:type="dxa"/>
              <w:right w:w="100" w:type="dxa"/>
            </w:tcMar>
          </w:tcPr>
          <w:p w14:paraId="7E4ED6EE">
            <w:pPr>
              <w:jc w:val="both"/>
            </w:pPr>
            <w:r>
              <w:rPr>
                <w:rFonts w:ascii="Times New Roman" w:hAnsi="Times New Roman" w:eastAsia="Times New Roman" w:cs="Times New Roman"/>
                <w:i w:val="0"/>
                <w:iCs w:val="0"/>
                <w:sz w:val="20"/>
                <w:szCs w:val="20"/>
              </w:rPr>
              <w:t>1.20</w:t>
            </w:r>
          </w:p>
        </w:tc>
        <w:tc>
          <w:tcPr>
            <w:tcW w:w="960" w:type="dxa"/>
            <w:tcBorders>
              <w:top w:val="nil"/>
              <w:left w:val="nil"/>
              <w:bottom w:val="nil"/>
              <w:right w:val="nil"/>
            </w:tcBorders>
            <w:tcMar>
              <w:top w:w="60" w:type="dxa"/>
              <w:left w:w="100" w:type="dxa"/>
              <w:bottom w:w="60" w:type="dxa"/>
              <w:right w:w="100" w:type="dxa"/>
            </w:tcMar>
          </w:tcPr>
          <w:p w14:paraId="6868D1EB">
            <w:pPr>
              <w:jc w:val="both"/>
            </w:pPr>
            <w:r>
              <w:rPr>
                <w:rFonts w:ascii="Times New Roman" w:hAnsi="Times New Roman" w:eastAsia="Times New Roman" w:cs="Times New Roman"/>
                <w:i w:val="0"/>
                <w:iCs w:val="0"/>
                <w:sz w:val="20"/>
                <w:szCs w:val="20"/>
              </w:rPr>
              <w:t>PCA: CO2, AgMeth, Rural</w:t>
            </w:r>
          </w:p>
        </w:tc>
      </w:tr>
      <w:tr w14:paraId="20011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60" w:type="dxa"/>
              <w:left w:w="100" w:type="dxa"/>
              <w:bottom w:w="60" w:type="dxa"/>
              <w:right w:w="100" w:type="dxa"/>
            </w:tcMar>
          </w:tcPr>
          <w:p w14:paraId="78A20A8F">
            <w:pPr>
              <w:jc w:val="both"/>
            </w:pPr>
            <w:r>
              <w:rPr>
                <w:rFonts w:ascii="Times New Roman" w:hAnsi="Times New Roman" w:eastAsia="Times New Roman" w:cs="Times New Roman"/>
                <w:i w:val="0"/>
                <w:iCs w:val="0"/>
                <w:sz w:val="20"/>
                <w:szCs w:val="20"/>
              </w:rPr>
              <w:t>CO2 Emissions (MT per capita)</w:t>
            </w:r>
          </w:p>
        </w:tc>
        <w:tc>
          <w:tcPr>
            <w:tcW w:w="700" w:type="dxa"/>
            <w:tcBorders>
              <w:top w:val="nil"/>
              <w:left w:val="nil"/>
              <w:bottom w:val="nil"/>
              <w:right w:val="nil"/>
            </w:tcBorders>
            <w:tcMar>
              <w:top w:w="60" w:type="dxa"/>
              <w:left w:w="100" w:type="dxa"/>
              <w:bottom w:w="60" w:type="dxa"/>
              <w:right w:w="100" w:type="dxa"/>
            </w:tcMar>
          </w:tcPr>
          <w:p w14:paraId="2C9CF5DE">
            <w:pPr>
              <w:jc w:val="both"/>
            </w:pPr>
            <w:r>
              <w:rPr>
                <w:rFonts w:ascii="Times New Roman" w:hAnsi="Times New Roman" w:eastAsia="Times New Roman" w:cs="Times New Roman"/>
                <w:i w:val="0"/>
                <w:iCs w:val="0"/>
                <w:sz w:val="20"/>
                <w:szCs w:val="20"/>
              </w:rPr>
              <w:t>3,420</w:t>
            </w:r>
          </w:p>
        </w:tc>
        <w:tc>
          <w:tcPr>
            <w:tcW w:w="900" w:type="dxa"/>
            <w:tcBorders>
              <w:top w:val="nil"/>
              <w:left w:val="nil"/>
              <w:bottom w:val="nil"/>
              <w:right w:val="nil"/>
            </w:tcBorders>
            <w:tcMar>
              <w:top w:w="60" w:type="dxa"/>
              <w:left w:w="100" w:type="dxa"/>
              <w:bottom w:w="60" w:type="dxa"/>
              <w:right w:w="100" w:type="dxa"/>
            </w:tcMar>
          </w:tcPr>
          <w:p w14:paraId="31BC1C10">
            <w:pPr>
              <w:jc w:val="both"/>
            </w:pPr>
            <w:r>
              <w:rPr>
                <w:rFonts w:ascii="Times New Roman" w:hAnsi="Times New Roman" w:eastAsia="Times New Roman" w:cs="Times New Roman"/>
                <w:i w:val="0"/>
                <w:iCs w:val="0"/>
                <w:sz w:val="20"/>
                <w:szCs w:val="20"/>
              </w:rPr>
              <w:t>1.83</w:t>
            </w:r>
          </w:p>
        </w:tc>
        <w:tc>
          <w:tcPr>
            <w:tcW w:w="900" w:type="dxa"/>
            <w:tcBorders>
              <w:top w:val="nil"/>
              <w:left w:val="nil"/>
              <w:bottom w:val="nil"/>
              <w:right w:val="nil"/>
            </w:tcBorders>
            <w:tcMar>
              <w:top w:w="60" w:type="dxa"/>
              <w:left w:w="100" w:type="dxa"/>
              <w:bottom w:w="60" w:type="dxa"/>
              <w:right w:w="100" w:type="dxa"/>
            </w:tcMar>
          </w:tcPr>
          <w:p w14:paraId="07BA094D">
            <w:pPr>
              <w:jc w:val="both"/>
            </w:pPr>
            <w:r>
              <w:rPr>
                <w:rFonts w:ascii="Times New Roman" w:hAnsi="Times New Roman" w:eastAsia="Times New Roman" w:cs="Times New Roman"/>
                <w:i w:val="0"/>
                <w:iCs w:val="0"/>
                <w:sz w:val="20"/>
                <w:szCs w:val="20"/>
              </w:rPr>
              <w:t>1.56</w:t>
            </w:r>
          </w:p>
        </w:tc>
        <w:tc>
          <w:tcPr>
            <w:tcW w:w="900" w:type="dxa"/>
            <w:tcBorders>
              <w:top w:val="nil"/>
              <w:left w:val="nil"/>
              <w:bottom w:val="nil"/>
              <w:right w:val="nil"/>
            </w:tcBorders>
            <w:tcMar>
              <w:top w:w="60" w:type="dxa"/>
              <w:left w:w="100" w:type="dxa"/>
              <w:bottom w:w="60" w:type="dxa"/>
              <w:right w:w="100" w:type="dxa"/>
            </w:tcMar>
          </w:tcPr>
          <w:p w14:paraId="7403C1D6">
            <w:pPr>
              <w:jc w:val="both"/>
            </w:pPr>
            <w:r>
              <w:rPr>
                <w:rFonts w:ascii="Times New Roman" w:hAnsi="Times New Roman" w:eastAsia="Times New Roman" w:cs="Times New Roman"/>
                <w:i w:val="0"/>
                <w:iCs w:val="0"/>
                <w:sz w:val="20"/>
                <w:szCs w:val="20"/>
              </w:rPr>
              <w:t>0.85</w:t>
            </w:r>
          </w:p>
        </w:tc>
        <w:tc>
          <w:tcPr>
            <w:tcW w:w="900" w:type="dxa"/>
            <w:tcBorders>
              <w:top w:val="nil"/>
              <w:left w:val="nil"/>
              <w:bottom w:val="nil"/>
              <w:right w:val="nil"/>
            </w:tcBorders>
            <w:tcMar>
              <w:top w:w="60" w:type="dxa"/>
              <w:left w:w="100" w:type="dxa"/>
              <w:bottom w:w="60" w:type="dxa"/>
              <w:right w:w="100" w:type="dxa"/>
            </w:tcMar>
          </w:tcPr>
          <w:p w14:paraId="7595F208">
            <w:pPr>
              <w:jc w:val="both"/>
            </w:pPr>
            <w:r>
              <w:rPr>
                <w:rFonts w:ascii="Times New Roman" w:hAnsi="Times New Roman" w:eastAsia="Times New Roman" w:cs="Times New Roman"/>
                <w:i w:val="0"/>
                <w:iCs w:val="0"/>
                <w:sz w:val="20"/>
                <w:szCs w:val="20"/>
              </w:rPr>
              <w:t>1.64</w:t>
            </w:r>
          </w:p>
        </w:tc>
        <w:tc>
          <w:tcPr>
            <w:tcW w:w="900" w:type="dxa"/>
            <w:tcBorders>
              <w:top w:val="nil"/>
              <w:left w:val="nil"/>
              <w:bottom w:val="nil"/>
              <w:right w:val="nil"/>
            </w:tcBorders>
            <w:tcMar>
              <w:top w:w="60" w:type="dxa"/>
              <w:left w:w="100" w:type="dxa"/>
              <w:bottom w:w="60" w:type="dxa"/>
              <w:right w:w="100" w:type="dxa"/>
            </w:tcMar>
          </w:tcPr>
          <w:p w14:paraId="32E48043">
            <w:pPr>
              <w:jc w:val="both"/>
            </w:pPr>
            <w:r>
              <w:rPr>
                <w:rFonts w:ascii="Times New Roman" w:hAnsi="Times New Roman" w:eastAsia="Times New Roman" w:cs="Times New Roman"/>
                <w:i w:val="0"/>
                <w:iCs w:val="0"/>
                <w:sz w:val="20"/>
                <w:szCs w:val="20"/>
              </w:rPr>
              <w:t>2.31</w:t>
            </w:r>
          </w:p>
        </w:tc>
        <w:tc>
          <w:tcPr>
            <w:tcW w:w="960" w:type="dxa"/>
            <w:tcBorders>
              <w:top w:val="nil"/>
              <w:left w:val="nil"/>
              <w:bottom w:val="nil"/>
              <w:right w:val="nil"/>
            </w:tcBorders>
            <w:tcMar>
              <w:top w:w="60" w:type="dxa"/>
              <w:left w:w="100" w:type="dxa"/>
              <w:bottom w:w="60" w:type="dxa"/>
              <w:right w:w="100" w:type="dxa"/>
            </w:tcMar>
          </w:tcPr>
          <w:p w14:paraId="341DB0FD">
            <w:pPr>
              <w:jc w:val="both"/>
            </w:pPr>
            <w:r>
              <w:rPr>
                <w:rFonts w:ascii="Times New Roman" w:hAnsi="Times New Roman" w:eastAsia="Times New Roman" w:cs="Times New Roman"/>
                <w:i w:val="0"/>
                <w:iCs w:val="0"/>
                <w:sz w:val="20"/>
                <w:szCs w:val="20"/>
              </w:rPr>
              <w:t>World Bank WDI</w:t>
            </w:r>
          </w:p>
        </w:tc>
      </w:tr>
      <w:tr w14:paraId="13221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60" w:type="dxa"/>
              <w:left w:w="100" w:type="dxa"/>
              <w:bottom w:w="60" w:type="dxa"/>
              <w:right w:w="100" w:type="dxa"/>
            </w:tcMar>
          </w:tcPr>
          <w:p w14:paraId="2F522000">
            <w:pPr>
              <w:jc w:val="both"/>
            </w:pPr>
            <w:r>
              <w:rPr>
                <w:rFonts w:ascii="Times New Roman" w:hAnsi="Times New Roman" w:eastAsia="Times New Roman" w:cs="Times New Roman"/>
                <w:i w:val="0"/>
                <w:iCs w:val="0"/>
                <w:sz w:val="20"/>
                <w:szCs w:val="20"/>
              </w:rPr>
              <w:t>Ag Methane Emissions (000 MT CO2e)</w:t>
            </w:r>
          </w:p>
        </w:tc>
        <w:tc>
          <w:tcPr>
            <w:tcW w:w="700" w:type="dxa"/>
            <w:tcBorders>
              <w:top w:val="nil"/>
              <w:left w:val="nil"/>
              <w:bottom w:val="nil"/>
              <w:right w:val="nil"/>
            </w:tcBorders>
            <w:tcMar>
              <w:top w:w="60" w:type="dxa"/>
              <w:left w:w="100" w:type="dxa"/>
              <w:bottom w:w="60" w:type="dxa"/>
              <w:right w:w="100" w:type="dxa"/>
            </w:tcMar>
          </w:tcPr>
          <w:p w14:paraId="6358580B">
            <w:pPr>
              <w:jc w:val="both"/>
            </w:pPr>
            <w:r>
              <w:rPr>
                <w:rFonts w:ascii="Times New Roman" w:hAnsi="Times New Roman" w:eastAsia="Times New Roman" w:cs="Times New Roman"/>
                <w:i w:val="0"/>
                <w:iCs w:val="0"/>
                <w:sz w:val="20"/>
                <w:szCs w:val="20"/>
              </w:rPr>
              <w:t>3,420</w:t>
            </w:r>
          </w:p>
        </w:tc>
        <w:tc>
          <w:tcPr>
            <w:tcW w:w="900" w:type="dxa"/>
            <w:tcBorders>
              <w:top w:val="nil"/>
              <w:left w:val="nil"/>
              <w:bottom w:val="nil"/>
              <w:right w:val="nil"/>
            </w:tcBorders>
            <w:tcMar>
              <w:top w:w="60" w:type="dxa"/>
              <w:left w:w="100" w:type="dxa"/>
              <w:bottom w:w="60" w:type="dxa"/>
              <w:right w:w="100" w:type="dxa"/>
            </w:tcMar>
          </w:tcPr>
          <w:p w14:paraId="362D8724">
            <w:pPr>
              <w:jc w:val="both"/>
            </w:pPr>
            <w:r>
              <w:rPr>
                <w:rFonts w:ascii="Times New Roman" w:hAnsi="Times New Roman" w:eastAsia="Times New Roman" w:cs="Times New Roman"/>
                <w:i w:val="0"/>
                <w:iCs w:val="0"/>
                <w:sz w:val="20"/>
                <w:szCs w:val="20"/>
              </w:rPr>
              <w:t>124,176</w:t>
            </w:r>
          </w:p>
        </w:tc>
        <w:tc>
          <w:tcPr>
            <w:tcW w:w="900" w:type="dxa"/>
            <w:tcBorders>
              <w:top w:val="nil"/>
              <w:left w:val="nil"/>
              <w:bottom w:val="nil"/>
              <w:right w:val="nil"/>
            </w:tcBorders>
            <w:tcMar>
              <w:top w:w="60" w:type="dxa"/>
              <w:left w:w="100" w:type="dxa"/>
              <w:bottom w:w="60" w:type="dxa"/>
              <w:right w:w="100" w:type="dxa"/>
            </w:tcMar>
          </w:tcPr>
          <w:p w14:paraId="205E8644">
            <w:pPr>
              <w:jc w:val="both"/>
            </w:pPr>
            <w:r>
              <w:rPr>
                <w:rFonts w:ascii="Times New Roman" w:hAnsi="Times New Roman" w:eastAsia="Times New Roman" w:cs="Times New Roman"/>
                <w:i w:val="0"/>
                <w:iCs w:val="0"/>
                <w:sz w:val="20"/>
                <w:szCs w:val="20"/>
              </w:rPr>
              <w:t>145,011</w:t>
            </w:r>
          </w:p>
        </w:tc>
        <w:tc>
          <w:tcPr>
            <w:tcW w:w="900" w:type="dxa"/>
            <w:tcBorders>
              <w:top w:val="nil"/>
              <w:left w:val="nil"/>
              <w:bottom w:val="nil"/>
              <w:right w:val="nil"/>
            </w:tcBorders>
            <w:tcMar>
              <w:top w:w="60" w:type="dxa"/>
              <w:left w:w="100" w:type="dxa"/>
              <w:bottom w:w="60" w:type="dxa"/>
              <w:right w:w="100" w:type="dxa"/>
            </w:tcMar>
          </w:tcPr>
          <w:p w14:paraId="34CE7B92">
            <w:pPr>
              <w:jc w:val="both"/>
            </w:pPr>
            <w:r>
              <w:rPr>
                <w:rFonts w:ascii="Times New Roman" w:hAnsi="Times New Roman" w:eastAsia="Times New Roman" w:cs="Times New Roman"/>
                <w:i w:val="0"/>
                <w:iCs w:val="0"/>
                <w:sz w:val="20"/>
                <w:szCs w:val="20"/>
              </w:rPr>
              <w:t>21,432</w:t>
            </w:r>
          </w:p>
        </w:tc>
        <w:tc>
          <w:tcPr>
            <w:tcW w:w="900" w:type="dxa"/>
            <w:tcBorders>
              <w:top w:val="nil"/>
              <w:left w:val="nil"/>
              <w:bottom w:val="nil"/>
              <w:right w:val="nil"/>
            </w:tcBorders>
            <w:tcMar>
              <w:top w:w="60" w:type="dxa"/>
              <w:left w:w="100" w:type="dxa"/>
              <w:bottom w:w="60" w:type="dxa"/>
              <w:right w:w="100" w:type="dxa"/>
            </w:tcMar>
          </w:tcPr>
          <w:p w14:paraId="60CF0F4D">
            <w:pPr>
              <w:jc w:val="both"/>
            </w:pPr>
            <w:r>
              <w:rPr>
                <w:rFonts w:ascii="Times New Roman" w:hAnsi="Times New Roman" w:eastAsia="Times New Roman" w:cs="Times New Roman"/>
                <w:i w:val="0"/>
                <w:iCs w:val="0"/>
                <w:sz w:val="20"/>
                <w:szCs w:val="20"/>
              </w:rPr>
              <w:t>59,818</w:t>
            </w:r>
          </w:p>
        </w:tc>
        <w:tc>
          <w:tcPr>
            <w:tcW w:w="900" w:type="dxa"/>
            <w:tcBorders>
              <w:top w:val="nil"/>
              <w:left w:val="nil"/>
              <w:bottom w:val="nil"/>
              <w:right w:val="nil"/>
            </w:tcBorders>
            <w:tcMar>
              <w:top w:w="60" w:type="dxa"/>
              <w:left w:w="100" w:type="dxa"/>
              <w:bottom w:w="60" w:type="dxa"/>
              <w:right w:w="100" w:type="dxa"/>
            </w:tcMar>
          </w:tcPr>
          <w:p w14:paraId="63575E7F">
            <w:pPr>
              <w:jc w:val="both"/>
            </w:pPr>
            <w:r>
              <w:rPr>
                <w:rFonts w:ascii="Times New Roman" w:hAnsi="Times New Roman" w:eastAsia="Times New Roman" w:cs="Times New Roman"/>
                <w:i w:val="0"/>
                <w:iCs w:val="0"/>
                <w:sz w:val="20"/>
                <w:szCs w:val="20"/>
              </w:rPr>
              <w:t>196,241</w:t>
            </w:r>
          </w:p>
        </w:tc>
        <w:tc>
          <w:tcPr>
            <w:tcW w:w="960" w:type="dxa"/>
            <w:tcBorders>
              <w:top w:val="nil"/>
              <w:left w:val="nil"/>
              <w:bottom w:val="nil"/>
              <w:right w:val="nil"/>
            </w:tcBorders>
            <w:tcMar>
              <w:top w:w="60" w:type="dxa"/>
              <w:left w:w="100" w:type="dxa"/>
              <w:bottom w:w="60" w:type="dxa"/>
              <w:right w:w="100" w:type="dxa"/>
            </w:tcMar>
          </w:tcPr>
          <w:p w14:paraId="05CCAC08">
            <w:pPr>
              <w:jc w:val="both"/>
            </w:pPr>
            <w:r>
              <w:rPr>
                <w:rFonts w:ascii="Times New Roman" w:hAnsi="Times New Roman" w:eastAsia="Times New Roman" w:cs="Times New Roman"/>
                <w:i w:val="0"/>
                <w:iCs w:val="0"/>
                <w:sz w:val="20"/>
                <w:szCs w:val="20"/>
              </w:rPr>
              <w:t>World Bank WDI</w:t>
            </w:r>
          </w:p>
        </w:tc>
      </w:tr>
      <w:tr w14:paraId="2A43A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60" w:type="dxa"/>
              <w:left w:w="100" w:type="dxa"/>
              <w:bottom w:w="60" w:type="dxa"/>
              <w:right w:w="100" w:type="dxa"/>
            </w:tcMar>
          </w:tcPr>
          <w:p w14:paraId="409050C4">
            <w:pPr>
              <w:jc w:val="both"/>
            </w:pPr>
            <w:r>
              <w:rPr>
                <w:rFonts w:ascii="Times New Roman" w:hAnsi="Times New Roman" w:eastAsia="Times New Roman" w:cs="Times New Roman"/>
                <w:i w:val="0"/>
                <w:iCs w:val="0"/>
                <w:sz w:val="20"/>
                <w:szCs w:val="20"/>
              </w:rPr>
              <w:t>Rural Population (% total)</w:t>
            </w:r>
          </w:p>
        </w:tc>
        <w:tc>
          <w:tcPr>
            <w:tcW w:w="700" w:type="dxa"/>
            <w:tcBorders>
              <w:top w:val="nil"/>
              <w:left w:val="nil"/>
              <w:bottom w:val="nil"/>
              <w:right w:val="nil"/>
            </w:tcBorders>
            <w:tcMar>
              <w:top w:w="60" w:type="dxa"/>
              <w:left w:w="100" w:type="dxa"/>
              <w:bottom w:w="60" w:type="dxa"/>
              <w:right w:w="100" w:type="dxa"/>
            </w:tcMar>
          </w:tcPr>
          <w:p w14:paraId="78B62D8A">
            <w:pPr>
              <w:jc w:val="both"/>
            </w:pPr>
            <w:r>
              <w:rPr>
                <w:rFonts w:ascii="Times New Roman" w:hAnsi="Times New Roman" w:eastAsia="Times New Roman" w:cs="Times New Roman"/>
                <w:i w:val="0"/>
                <w:iCs w:val="0"/>
                <w:sz w:val="20"/>
                <w:szCs w:val="20"/>
              </w:rPr>
              <w:t>3,420</w:t>
            </w:r>
          </w:p>
        </w:tc>
        <w:tc>
          <w:tcPr>
            <w:tcW w:w="900" w:type="dxa"/>
            <w:tcBorders>
              <w:top w:val="nil"/>
              <w:left w:val="nil"/>
              <w:bottom w:val="nil"/>
              <w:right w:val="nil"/>
            </w:tcBorders>
            <w:tcMar>
              <w:top w:w="60" w:type="dxa"/>
              <w:left w:w="100" w:type="dxa"/>
              <w:bottom w:w="60" w:type="dxa"/>
              <w:right w:w="100" w:type="dxa"/>
            </w:tcMar>
          </w:tcPr>
          <w:p w14:paraId="75453707">
            <w:pPr>
              <w:jc w:val="both"/>
            </w:pPr>
            <w:r>
              <w:rPr>
                <w:rFonts w:ascii="Times New Roman" w:hAnsi="Times New Roman" w:eastAsia="Times New Roman" w:cs="Times New Roman"/>
                <w:i w:val="0"/>
                <w:iCs w:val="0"/>
                <w:sz w:val="20"/>
                <w:szCs w:val="20"/>
              </w:rPr>
              <w:t>47.14</w:t>
            </w:r>
          </w:p>
        </w:tc>
        <w:tc>
          <w:tcPr>
            <w:tcW w:w="900" w:type="dxa"/>
            <w:tcBorders>
              <w:top w:val="nil"/>
              <w:left w:val="nil"/>
              <w:bottom w:val="nil"/>
              <w:right w:val="nil"/>
            </w:tcBorders>
            <w:tcMar>
              <w:top w:w="60" w:type="dxa"/>
              <w:left w:w="100" w:type="dxa"/>
              <w:bottom w:w="60" w:type="dxa"/>
              <w:right w:w="100" w:type="dxa"/>
            </w:tcMar>
          </w:tcPr>
          <w:p w14:paraId="29716B46">
            <w:pPr>
              <w:jc w:val="both"/>
            </w:pPr>
            <w:r>
              <w:rPr>
                <w:rFonts w:ascii="Times New Roman" w:hAnsi="Times New Roman" w:eastAsia="Times New Roman" w:cs="Times New Roman"/>
                <w:i w:val="0"/>
                <w:iCs w:val="0"/>
                <w:sz w:val="20"/>
                <w:szCs w:val="20"/>
              </w:rPr>
              <w:t>20.71</w:t>
            </w:r>
          </w:p>
        </w:tc>
        <w:tc>
          <w:tcPr>
            <w:tcW w:w="900" w:type="dxa"/>
            <w:tcBorders>
              <w:top w:val="nil"/>
              <w:left w:val="nil"/>
              <w:bottom w:val="nil"/>
              <w:right w:val="nil"/>
            </w:tcBorders>
            <w:tcMar>
              <w:top w:w="60" w:type="dxa"/>
              <w:left w:w="100" w:type="dxa"/>
              <w:bottom w:w="60" w:type="dxa"/>
              <w:right w:w="100" w:type="dxa"/>
            </w:tcMar>
          </w:tcPr>
          <w:p w14:paraId="23416FED">
            <w:pPr>
              <w:jc w:val="both"/>
            </w:pPr>
            <w:r>
              <w:rPr>
                <w:rFonts w:ascii="Times New Roman" w:hAnsi="Times New Roman" w:eastAsia="Times New Roman" w:cs="Times New Roman"/>
                <w:i w:val="0"/>
                <w:iCs w:val="0"/>
                <w:sz w:val="20"/>
                <w:szCs w:val="20"/>
              </w:rPr>
              <w:t>24.20</w:t>
            </w:r>
          </w:p>
        </w:tc>
        <w:tc>
          <w:tcPr>
            <w:tcW w:w="900" w:type="dxa"/>
            <w:tcBorders>
              <w:top w:val="nil"/>
              <w:left w:val="nil"/>
              <w:bottom w:val="nil"/>
              <w:right w:val="nil"/>
            </w:tcBorders>
            <w:tcMar>
              <w:top w:w="60" w:type="dxa"/>
              <w:left w:w="100" w:type="dxa"/>
              <w:bottom w:w="60" w:type="dxa"/>
              <w:right w:w="100" w:type="dxa"/>
            </w:tcMar>
          </w:tcPr>
          <w:p w14:paraId="59CBA8B1">
            <w:pPr>
              <w:jc w:val="both"/>
            </w:pPr>
            <w:r>
              <w:rPr>
                <w:rFonts w:ascii="Times New Roman" w:hAnsi="Times New Roman" w:eastAsia="Times New Roman" w:cs="Times New Roman"/>
                <w:i w:val="0"/>
                <w:iCs w:val="0"/>
                <w:sz w:val="20"/>
                <w:szCs w:val="20"/>
              </w:rPr>
              <w:t>44.13</w:t>
            </w:r>
          </w:p>
        </w:tc>
        <w:tc>
          <w:tcPr>
            <w:tcW w:w="900" w:type="dxa"/>
            <w:tcBorders>
              <w:top w:val="nil"/>
              <w:left w:val="nil"/>
              <w:bottom w:val="nil"/>
              <w:right w:val="nil"/>
            </w:tcBorders>
            <w:tcMar>
              <w:top w:w="60" w:type="dxa"/>
              <w:left w:w="100" w:type="dxa"/>
              <w:bottom w:w="60" w:type="dxa"/>
              <w:right w:w="100" w:type="dxa"/>
            </w:tcMar>
          </w:tcPr>
          <w:p w14:paraId="277AA4FE">
            <w:pPr>
              <w:jc w:val="both"/>
            </w:pPr>
            <w:r>
              <w:rPr>
                <w:rFonts w:ascii="Times New Roman" w:hAnsi="Times New Roman" w:eastAsia="Times New Roman" w:cs="Times New Roman"/>
                <w:i w:val="0"/>
                <w:iCs w:val="0"/>
                <w:sz w:val="20"/>
                <w:szCs w:val="20"/>
              </w:rPr>
              <w:t>67.22</w:t>
            </w:r>
          </w:p>
        </w:tc>
        <w:tc>
          <w:tcPr>
            <w:tcW w:w="960" w:type="dxa"/>
            <w:tcBorders>
              <w:top w:val="nil"/>
              <w:left w:val="nil"/>
              <w:bottom w:val="nil"/>
              <w:right w:val="nil"/>
            </w:tcBorders>
            <w:tcMar>
              <w:top w:w="60" w:type="dxa"/>
              <w:left w:w="100" w:type="dxa"/>
              <w:bottom w:w="60" w:type="dxa"/>
              <w:right w:w="100" w:type="dxa"/>
            </w:tcMar>
          </w:tcPr>
          <w:p w14:paraId="7A44B382">
            <w:pPr>
              <w:jc w:val="both"/>
            </w:pPr>
            <w:r>
              <w:rPr>
                <w:rFonts w:ascii="Times New Roman" w:hAnsi="Times New Roman" w:eastAsia="Times New Roman" w:cs="Times New Roman"/>
                <w:i w:val="0"/>
                <w:iCs w:val="0"/>
                <w:sz w:val="20"/>
                <w:szCs w:val="20"/>
              </w:rPr>
              <w:t>World Bank WDI</w:t>
            </w:r>
          </w:p>
        </w:tc>
      </w:tr>
      <w:tr w14:paraId="559A2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8"/>
            <w:tcBorders>
              <w:top w:val="nil"/>
              <w:left w:val="nil"/>
              <w:bottom w:val="nil"/>
              <w:right w:val="nil"/>
            </w:tcBorders>
            <w:shd w:val="clear" w:color="auto" w:fill="F4F4F4"/>
            <w:tcMar>
              <w:top w:w="60" w:type="dxa"/>
              <w:left w:w="100" w:type="dxa"/>
              <w:bottom w:w="60" w:type="dxa"/>
              <w:right w:w="100" w:type="dxa"/>
            </w:tcMar>
          </w:tcPr>
          <w:p w14:paraId="15F8F697">
            <w:pPr>
              <w:jc w:val="both"/>
            </w:pPr>
            <w:r>
              <w:rPr>
                <w:rFonts w:ascii="Times New Roman" w:hAnsi="Times New Roman" w:eastAsia="Times New Roman" w:cs="Times New Roman"/>
                <w:b/>
                <w:bCs/>
                <w:i/>
                <w:iCs/>
                <w:sz w:val="20"/>
                <w:szCs w:val="20"/>
              </w:rPr>
              <w:t>Panel C: Governance Indicators</w:t>
            </w:r>
          </w:p>
        </w:tc>
      </w:tr>
      <w:tr w14:paraId="5158D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60" w:type="dxa"/>
              <w:left w:w="100" w:type="dxa"/>
              <w:bottom w:w="60" w:type="dxa"/>
              <w:right w:w="100" w:type="dxa"/>
            </w:tcMar>
          </w:tcPr>
          <w:p w14:paraId="415015D9">
            <w:pPr>
              <w:jc w:val="both"/>
            </w:pPr>
            <w:r>
              <w:rPr>
                <w:rFonts w:ascii="Times New Roman" w:hAnsi="Times New Roman" w:eastAsia="Times New Roman" w:cs="Times New Roman"/>
                <w:i w:val="0"/>
                <w:iCs w:val="0"/>
                <w:sz w:val="20"/>
                <w:szCs w:val="20"/>
              </w:rPr>
              <w:t>Rule of Law (WGI estimate)</w:t>
            </w:r>
          </w:p>
        </w:tc>
        <w:tc>
          <w:tcPr>
            <w:tcW w:w="700" w:type="dxa"/>
            <w:tcBorders>
              <w:top w:val="nil"/>
              <w:left w:val="nil"/>
              <w:bottom w:val="nil"/>
              <w:right w:val="nil"/>
            </w:tcBorders>
            <w:tcMar>
              <w:top w:w="60" w:type="dxa"/>
              <w:left w:w="100" w:type="dxa"/>
              <w:bottom w:w="60" w:type="dxa"/>
              <w:right w:w="100" w:type="dxa"/>
            </w:tcMar>
          </w:tcPr>
          <w:p w14:paraId="5634BF69">
            <w:pPr>
              <w:jc w:val="both"/>
            </w:pPr>
            <w:r>
              <w:rPr>
                <w:rFonts w:ascii="Times New Roman" w:hAnsi="Times New Roman" w:eastAsia="Times New Roman" w:cs="Times New Roman"/>
                <w:i w:val="0"/>
                <w:iCs w:val="0"/>
                <w:sz w:val="20"/>
                <w:szCs w:val="20"/>
              </w:rPr>
              <w:t>3,438</w:t>
            </w:r>
          </w:p>
        </w:tc>
        <w:tc>
          <w:tcPr>
            <w:tcW w:w="900" w:type="dxa"/>
            <w:tcBorders>
              <w:top w:val="nil"/>
              <w:left w:val="nil"/>
              <w:bottom w:val="nil"/>
              <w:right w:val="nil"/>
            </w:tcBorders>
            <w:tcMar>
              <w:top w:w="60" w:type="dxa"/>
              <w:left w:w="100" w:type="dxa"/>
              <w:bottom w:w="60" w:type="dxa"/>
              <w:right w:w="100" w:type="dxa"/>
            </w:tcMar>
          </w:tcPr>
          <w:p w14:paraId="442C5C2D">
            <w:pPr>
              <w:jc w:val="both"/>
            </w:pPr>
            <w:r>
              <w:rPr>
                <w:rFonts w:ascii="Times New Roman" w:hAnsi="Times New Roman" w:eastAsia="Times New Roman" w:cs="Times New Roman"/>
                <w:i w:val="0"/>
                <w:iCs w:val="0"/>
                <w:sz w:val="20"/>
                <w:szCs w:val="20"/>
              </w:rPr>
              <w:t>-0.544</w:t>
            </w:r>
          </w:p>
        </w:tc>
        <w:tc>
          <w:tcPr>
            <w:tcW w:w="900" w:type="dxa"/>
            <w:tcBorders>
              <w:top w:val="nil"/>
              <w:left w:val="nil"/>
              <w:bottom w:val="nil"/>
              <w:right w:val="nil"/>
            </w:tcBorders>
            <w:tcMar>
              <w:top w:w="60" w:type="dxa"/>
              <w:left w:w="100" w:type="dxa"/>
              <w:bottom w:w="60" w:type="dxa"/>
              <w:right w:w="100" w:type="dxa"/>
            </w:tcMar>
          </w:tcPr>
          <w:p w14:paraId="1BDC7303">
            <w:pPr>
              <w:jc w:val="both"/>
            </w:pPr>
            <w:r>
              <w:rPr>
                <w:rFonts w:ascii="Times New Roman" w:hAnsi="Times New Roman" w:eastAsia="Times New Roman" w:cs="Times New Roman"/>
                <w:i w:val="0"/>
                <w:iCs w:val="0"/>
                <w:sz w:val="20"/>
                <w:szCs w:val="20"/>
              </w:rPr>
              <w:t>0.426</w:t>
            </w:r>
          </w:p>
        </w:tc>
        <w:tc>
          <w:tcPr>
            <w:tcW w:w="900" w:type="dxa"/>
            <w:tcBorders>
              <w:top w:val="nil"/>
              <w:left w:val="nil"/>
              <w:bottom w:val="nil"/>
              <w:right w:val="nil"/>
            </w:tcBorders>
            <w:tcMar>
              <w:top w:w="60" w:type="dxa"/>
              <w:left w:w="100" w:type="dxa"/>
              <w:bottom w:w="60" w:type="dxa"/>
              <w:right w:w="100" w:type="dxa"/>
            </w:tcMar>
          </w:tcPr>
          <w:p w14:paraId="1CAF2F29">
            <w:pPr>
              <w:jc w:val="both"/>
            </w:pPr>
            <w:r>
              <w:rPr>
                <w:rFonts w:ascii="Times New Roman" w:hAnsi="Times New Roman" w:eastAsia="Times New Roman" w:cs="Times New Roman"/>
                <w:i w:val="0"/>
                <w:iCs w:val="0"/>
                <w:sz w:val="20"/>
                <w:szCs w:val="20"/>
              </w:rPr>
              <w:t>-0.870</w:t>
            </w:r>
          </w:p>
        </w:tc>
        <w:tc>
          <w:tcPr>
            <w:tcW w:w="900" w:type="dxa"/>
            <w:tcBorders>
              <w:top w:val="nil"/>
              <w:left w:val="nil"/>
              <w:bottom w:val="nil"/>
              <w:right w:val="nil"/>
            </w:tcBorders>
            <w:tcMar>
              <w:top w:w="60" w:type="dxa"/>
              <w:left w:w="100" w:type="dxa"/>
              <w:bottom w:w="60" w:type="dxa"/>
              <w:right w:w="100" w:type="dxa"/>
            </w:tcMar>
          </w:tcPr>
          <w:p w14:paraId="7926052C">
            <w:pPr>
              <w:jc w:val="both"/>
            </w:pPr>
            <w:r>
              <w:rPr>
                <w:rFonts w:ascii="Times New Roman" w:hAnsi="Times New Roman" w:eastAsia="Times New Roman" w:cs="Times New Roman"/>
                <w:i w:val="0"/>
                <w:iCs w:val="0"/>
                <w:sz w:val="20"/>
                <w:szCs w:val="20"/>
              </w:rPr>
              <w:t>-0.550</w:t>
            </w:r>
          </w:p>
        </w:tc>
        <w:tc>
          <w:tcPr>
            <w:tcW w:w="900" w:type="dxa"/>
            <w:tcBorders>
              <w:top w:val="nil"/>
              <w:left w:val="nil"/>
              <w:bottom w:val="nil"/>
              <w:right w:val="nil"/>
            </w:tcBorders>
            <w:tcMar>
              <w:top w:w="60" w:type="dxa"/>
              <w:left w:w="100" w:type="dxa"/>
              <w:bottom w:w="60" w:type="dxa"/>
              <w:right w:w="100" w:type="dxa"/>
            </w:tcMar>
          </w:tcPr>
          <w:p w14:paraId="786FB63D">
            <w:pPr>
              <w:jc w:val="both"/>
            </w:pPr>
            <w:r>
              <w:rPr>
                <w:rFonts w:ascii="Times New Roman" w:hAnsi="Times New Roman" w:eastAsia="Times New Roman" w:cs="Times New Roman"/>
                <w:i w:val="0"/>
                <w:iCs w:val="0"/>
                <w:sz w:val="20"/>
                <w:szCs w:val="20"/>
              </w:rPr>
              <w:t>-0.107</w:t>
            </w:r>
          </w:p>
        </w:tc>
        <w:tc>
          <w:tcPr>
            <w:tcW w:w="960" w:type="dxa"/>
            <w:tcBorders>
              <w:top w:val="nil"/>
              <w:left w:val="nil"/>
              <w:bottom w:val="nil"/>
              <w:right w:val="nil"/>
            </w:tcBorders>
            <w:tcMar>
              <w:top w:w="60" w:type="dxa"/>
              <w:left w:w="100" w:type="dxa"/>
              <w:bottom w:w="60" w:type="dxa"/>
              <w:right w:w="100" w:type="dxa"/>
            </w:tcMar>
          </w:tcPr>
          <w:p w14:paraId="3D497CA2">
            <w:pPr>
              <w:jc w:val="both"/>
            </w:pPr>
            <w:r>
              <w:rPr>
                <w:rFonts w:ascii="Times New Roman" w:hAnsi="Times New Roman" w:eastAsia="Times New Roman" w:cs="Times New Roman"/>
                <w:i w:val="0"/>
                <w:iCs w:val="0"/>
                <w:sz w:val="20"/>
                <w:szCs w:val="20"/>
              </w:rPr>
              <w:t>World Bank WGI</w:t>
            </w:r>
          </w:p>
        </w:tc>
      </w:tr>
      <w:tr w14:paraId="33EFF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60" w:type="dxa"/>
              <w:left w:w="100" w:type="dxa"/>
              <w:bottom w:w="60" w:type="dxa"/>
              <w:right w:w="100" w:type="dxa"/>
            </w:tcMar>
          </w:tcPr>
          <w:p w14:paraId="5B6843C5">
            <w:pPr>
              <w:jc w:val="both"/>
            </w:pPr>
            <w:r>
              <w:rPr>
                <w:rFonts w:ascii="Times New Roman" w:hAnsi="Times New Roman" w:eastAsia="Times New Roman" w:cs="Times New Roman"/>
                <w:i w:val="0"/>
                <w:iCs w:val="0"/>
                <w:sz w:val="20"/>
                <w:szCs w:val="20"/>
              </w:rPr>
              <w:t>Gov. Effectiveness (WGI estimate)</w:t>
            </w:r>
          </w:p>
        </w:tc>
        <w:tc>
          <w:tcPr>
            <w:tcW w:w="700" w:type="dxa"/>
            <w:tcBorders>
              <w:top w:val="nil"/>
              <w:left w:val="nil"/>
              <w:bottom w:val="nil"/>
              <w:right w:val="nil"/>
            </w:tcBorders>
            <w:tcMar>
              <w:top w:w="60" w:type="dxa"/>
              <w:left w:w="100" w:type="dxa"/>
              <w:bottom w:w="60" w:type="dxa"/>
              <w:right w:w="100" w:type="dxa"/>
            </w:tcMar>
          </w:tcPr>
          <w:p w14:paraId="6F8F136C">
            <w:pPr>
              <w:jc w:val="both"/>
            </w:pPr>
            <w:r>
              <w:rPr>
                <w:rFonts w:ascii="Times New Roman" w:hAnsi="Times New Roman" w:eastAsia="Times New Roman" w:cs="Times New Roman"/>
                <w:i w:val="0"/>
                <w:iCs w:val="0"/>
                <w:sz w:val="20"/>
                <w:szCs w:val="20"/>
              </w:rPr>
              <w:t>3,438</w:t>
            </w:r>
          </w:p>
        </w:tc>
        <w:tc>
          <w:tcPr>
            <w:tcW w:w="900" w:type="dxa"/>
            <w:tcBorders>
              <w:top w:val="nil"/>
              <w:left w:val="nil"/>
              <w:bottom w:val="nil"/>
              <w:right w:val="nil"/>
            </w:tcBorders>
            <w:tcMar>
              <w:top w:w="60" w:type="dxa"/>
              <w:left w:w="100" w:type="dxa"/>
              <w:bottom w:w="60" w:type="dxa"/>
              <w:right w:w="100" w:type="dxa"/>
            </w:tcMar>
          </w:tcPr>
          <w:p w14:paraId="43ACC181">
            <w:pPr>
              <w:jc w:val="both"/>
            </w:pPr>
            <w:r>
              <w:rPr>
                <w:rFonts w:ascii="Times New Roman" w:hAnsi="Times New Roman" w:eastAsia="Times New Roman" w:cs="Times New Roman"/>
                <w:i w:val="0"/>
                <w:iCs w:val="0"/>
                <w:sz w:val="20"/>
                <w:szCs w:val="20"/>
              </w:rPr>
              <w:t>-0.343</w:t>
            </w:r>
          </w:p>
        </w:tc>
        <w:tc>
          <w:tcPr>
            <w:tcW w:w="900" w:type="dxa"/>
            <w:tcBorders>
              <w:top w:val="nil"/>
              <w:left w:val="nil"/>
              <w:bottom w:val="nil"/>
              <w:right w:val="nil"/>
            </w:tcBorders>
            <w:tcMar>
              <w:top w:w="60" w:type="dxa"/>
              <w:left w:w="100" w:type="dxa"/>
              <w:bottom w:w="60" w:type="dxa"/>
              <w:right w:w="100" w:type="dxa"/>
            </w:tcMar>
          </w:tcPr>
          <w:p w14:paraId="7D39DFB4">
            <w:pPr>
              <w:jc w:val="both"/>
            </w:pPr>
            <w:r>
              <w:rPr>
                <w:rFonts w:ascii="Times New Roman" w:hAnsi="Times New Roman" w:eastAsia="Times New Roman" w:cs="Times New Roman"/>
                <w:i w:val="0"/>
                <w:iCs w:val="0"/>
                <w:sz w:val="20"/>
                <w:szCs w:val="20"/>
              </w:rPr>
              <w:t>0.435</w:t>
            </w:r>
          </w:p>
        </w:tc>
        <w:tc>
          <w:tcPr>
            <w:tcW w:w="900" w:type="dxa"/>
            <w:tcBorders>
              <w:top w:val="nil"/>
              <w:left w:val="nil"/>
              <w:bottom w:val="nil"/>
              <w:right w:val="nil"/>
            </w:tcBorders>
            <w:tcMar>
              <w:top w:w="60" w:type="dxa"/>
              <w:left w:w="100" w:type="dxa"/>
              <w:bottom w:w="60" w:type="dxa"/>
              <w:right w:w="100" w:type="dxa"/>
            </w:tcMar>
          </w:tcPr>
          <w:p w14:paraId="39E83A79">
            <w:pPr>
              <w:jc w:val="both"/>
            </w:pPr>
            <w:r>
              <w:rPr>
                <w:rFonts w:ascii="Times New Roman" w:hAnsi="Times New Roman" w:eastAsia="Times New Roman" w:cs="Times New Roman"/>
                <w:i w:val="0"/>
                <w:iCs w:val="0"/>
                <w:sz w:val="20"/>
                <w:szCs w:val="20"/>
              </w:rPr>
              <w:t>-0.649</w:t>
            </w:r>
          </w:p>
        </w:tc>
        <w:tc>
          <w:tcPr>
            <w:tcW w:w="900" w:type="dxa"/>
            <w:tcBorders>
              <w:top w:val="nil"/>
              <w:left w:val="nil"/>
              <w:bottom w:val="nil"/>
              <w:right w:val="nil"/>
            </w:tcBorders>
            <w:tcMar>
              <w:top w:w="60" w:type="dxa"/>
              <w:left w:w="100" w:type="dxa"/>
              <w:bottom w:w="60" w:type="dxa"/>
              <w:right w:w="100" w:type="dxa"/>
            </w:tcMar>
          </w:tcPr>
          <w:p w14:paraId="5D82EEE2">
            <w:pPr>
              <w:jc w:val="both"/>
            </w:pPr>
            <w:r>
              <w:rPr>
                <w:rFonts w:ascii="Times New Roman" w:hAnsi="Times New Roman" w:eastAsia="Times New Roman" w:cs="Times New Roman"/>
                <w:i w:val="0"/>
                <w:iCs w:val="0"/>
                <w:sz w:val="20"/>
                <w:szCs w:val="20"/>
              </w:rPr>
              <w:t>-0.278</w:t>
            </w:r>
          </w:p>
        </w:tc>
        <w:tc>
          <w:tcPr>
            <w:tcW w:w="900" w:type="dxa"/>
            <w:tcBorders>
              <w:top w:val="nil"/>
              <w:left w:val="nil"/>
              <w:bottom w:val="nil"/>
              <w:right w:val="nil"/>
            </w:tcBorders>
            <w:tcMar>
              <w:top w:w="60" w:type="dxa"/>
              <w:left w:w="100" w:type="dxa"/>
              <w:bottom w:w="60" w:type="dxa"/>
              <w:right w:w="100" w:type="dxa"/>
            </w:tcMar>
          </w:tcPr>
          <w:p w14:paraId="54F9D9D3">
            <w:pPr>
              <w:jc w:val="both"/>
            </w:pPr>
            <w:r>
              <w:rPr>
                <w:rFonts w:ascii="Times New Roman" w:hAnsi="Times New Roman" w:eastAsia="Times New Roman" w:cs="Times New Roman"/>
                <w:i w:val="0"/>
                <w:iCs w:val="0"/>
                <w:sz w:val="20"/>
                <w:szCs w:val="20"/>
              </w:rPr>
              <w:t>0.003</w:t>
            </w:r>
          </w:p>
        </w:tc>
        <w:tc>
          <w:tcPr>
            <w:tcW w:w="960" w:type="dxa"/>
            <w:tcBorders>
              <w:top w:val="nil"/>
              <w:left w:val="nil"/>
              <w:bottom w:val="nil"/>
              <w:right w:val="nil"/>
            </w:tcBorders>
            <w:tcMar>
              <w:top w:w="60" w:type="dxa"/>
              <w:left w:w="100" w:type="dxa"/>
              <w:bottom w:w="60" w:type="dxa"/>
              <w:right w:w="100" w:type="dxa"/>
            </w:tcMar>
          </w:tcPr>
          <w:p w14:paraId="5D6145CD">
            <w:pPr>
              <w:jc w:val="both"/>
            </w:pPr>
            <w:r>
              <w:rPr>
                <w:rFonts w:ascii="Times New Roman" w:hAnsi="Times New Roman" w:eastAsia="Times New Roman" w:cs="Times New Roman"/>
                <w:i w:val="0"/>
                <w:iCs w:val="0"/>
                <w:sz w:val="20"/>
                <w:szCs w:val="20"/>
              </w:rPr>
              <w:t>World Bank WGI</w:t>
            </w:r>
          </w:p>
        </w:tc>
      </w:tr>
      <w:tr w14:paraId="188D9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60" w:type="dxa"/>
              <w:left w:w="100" w:type="dxa"/>
              <w:bottom w:w="60" w:type="dxa"/>
              <w:right w:w="100" w:type="dxa"/>
            </w:tcMar>
          </w:tcPr>
          <w:p w14:paraId="340375E0">
            <w:pPr>
              <w:jc w:val="both"/>
            </w:pPr>
            <w:r>
              <w:rPr>
                <w:rFonts w:ascii="Times New Roman" w:hAnsi="Times New Roman" w:eastAsia="Times New Roman" w:cs="Times New Roman"/>
                <w:i w:val="0"/>
                <w:iCs w:val="0"/>
                <w:sz w:val="20"/>
                <w:szCs w:val="20"/>
              </w:rPr>
              <w:t>Political Stability (WGI estimate)</w:t>
            </w:r>
          </w:p>
        </w:tc>
        <w:tc>
          <w:tcPr>
            <w:tcW w:w="700" w:type="dxa"/>
            <w:tcBorders>
              <w:top w:val="nil"/>
              <w:left w:val="nil"/>
              <w:bottom w:val="nil"/>
              <w:right w:val="nil"/>
            </w:tcBorders>
            <w:tcMar>
              <w:top w:w="60" w:type="dxa"/>
              <w:left w:w="100" w:type="dxa"/>
              <w:bottom w:w="60" w:type="dxa"/>
              <w:right w:w="100" w:type="dxa"/>
            </w:tcMar>
          </w:tcPr>
          <w:p w14:paraId="5945C58E">
            <w:pPr>
              <w:jc w:val="both"/>
            </w:pPr>
            <w:r>
              <w:rPr>
                <w:rFonts w:ascii="Times New Roman" w:hAnsi="Times New Roman" w:eastAsia="Times New Roman" w:cs="Times New Roman"/>
                <w:i w:val="0"/>
                <w:iCs w:val="0"/>
                <w:sz w:val="20"/>
                <w:szCs w:val="20"/>
              </w:rPr>
              <w:t>3,438</w:t>
            </w:r>
          </w:p>
        </w:tc>
        <w:tc>
          <w:tcPr>
            <w:tcW w:w="900" w:type="dxa"/>
            <w:tcBorders>
              <w:top w:val="nil"/>
              <w:left w:val="nil"/>
              <w:bottom w:val="nil"/>
              <w:right w:val="nil"/>
            </w:tcBorders>
            <w:tcMar>
              <w:top w:w="60" w:type="dxa"/>
              <w:left w:w="100" w:type="dxa"/>
              <w:bottom w:w="60" w:type="dxa"/>
              <w:right w:w="100" w:type="dxa"/>
            </w:tcMar>
          </w:tcPr>
          <w:p w14:paraId="1136C5CE">
            <w:pPr>
              <w:jc w:val="both"/>
            </w:pPr>
            <w:r>
              <w:rPr>
                <w:rFonts w:ascii="Times New Roman" w:hAnsi="Times New Roman" w:eastAsia="Times New Roman" w:cs="Times New Roman"/>
                <w:i w:val="0"/>
                <w:iCs w:val="0"/>
                <w:sz w:val="20"/>
                <w:szCs w:val="20"/>
              </w:rPr>
              <w:t>-0.719</w:t>
            </w:r>
          </w:p>
        </w:tc>
        <w:tc>
          <w:tcPr>
            <w:tcW w:w="900" w:type="dxa"/>
            <w:tcBorders>
              <w:top w:val="nil"/>
              <w:left w:val="nil"/>
              <w:bottom w:val="nil"/>
              <w:right w:val="nil"/>
            </w:tcBorders>
            <w:tcMar>
              <w:top w:w="60" w:type="dxa"/>
              <w:left w:w="100" w:type="dxa"/>
              <w:bottom w:w="60" w:type="dxa"/>
              <w:right w:w="100" w:type="dxa"/>
            </w:tcMar>
          </w:tcPr>
          <w:p w14:paraId="5C352078">
            <w:pPr>
              <w:jc w:val="both"/>
            </w:pPr>
            <w:r>
              <w:rPr>
                <w:rFonts w:ascii="Times New Roman" w:hAnsi="Times New Roman" w:eastAsia="Times New Roman" w:cs="Times New Roman"/>
                <w:i w:val="0"/>
                <w:iCs w:val="0"/>
                <w:sz w:val="20"/>
                <w:szCs w:val="20"/>
              </w:rPr>
              <w:t>0.607</w:t>
            </w:r>
          </w:p>
        </w:tc>
        <w:tc>
          <w:tcPr>
            <w:tcW w:w="900" w:type="dxa"/>
            <w:tcBorders>
              <w:top w:val="nil"/>
              <w:left w:val="nil"/>
              <w:bottom w:val="nil"/>
              <w:right w:val="nil"/>
            </w:tcBorders>
            <w:tcMar>
              <w:top w:w="60" w:type="dxa"/>
              <w:left w:w="100" w:type="dxa"/>
              <w:bottom w:w="60" w:type="dxa"/>
              <w:right w:w="100" w:type="dxa"/>
            </w:tcMar>
          </w:tcPr>
          <w:p w14:paraId="291ADB66">
            <w:pPr>
              <w:jc w:val="both"/>
            </w:pPr>
            <w:r>
              <w:rPr>
                <w:rFonts w:ascii="Times New Roman" w:hAnsi="Times New Roman" w:eastAsia="Times New Roman" w:cs="Times New Roman"/>
                <w:i w:val="0"/>
                <w:iCs w:val="0"/>
                <w:sz w:val="20"/>
                <w:szCs w:val="20"/>
              </w:rPr>
              <w:t>-1.162</w:t>
            </w:r>
          </w:p>
        </w:tc>
        <w:tc>
          <w:tcPr>
            <w:tcW w:w="900" w:type="dxa"/>
            <w:tcBorders>
              <w:top w:val="nil"/>
              <w:left w:val="nil"/>
              <w:bottom w:val="nil"/>
              <w:right w:val="nil"/>
            </w:tcBorders>
            <w:tcMar>
              <w:top w:w="60" w:type="dxa"/>
              <w:left w:w="100" w:type="dxa"/>
              <w:bottom w:w="60" w:type="dxa"/>
              <w:right w:w="100" w:type="dxa"/>
            </w:tcMar>
          </w:tcPr>
          <w:p w14:paraId="26F50AE6">
            <w:pPr>
              <w:jc w:val="both"/>
            </w:pPr>
            <w:r>
              <w:rPr>
                <w:rFonts w:ascii="Times New Roman" w:hAnsi="Times New Roman" w:eastAsia="Times New Roman" w:cs="Times New Roman"/>
                <w:i w:val="0"/>
                <w:iCs w:val="0"/>
                <w:sz w:val="20"/>
                <w:szCs w:val="20"/>
              </w:rPr>
              <w:t>-0.762</w:t>
            </w:r>
          </w:p>
        </w:tc>
        <w:tc>
          <w:tcPr>
            <w:tcW w:w="900" w:type="dxa"/>
            <w:tcBorders>
              <w:top w:val="nil"/>
              <w:left w:val="nil"/>
              <w:bottom w:val="nil"/>
              <w:right w:val="nil"/>
            </w:tcBorders>
            <w:tcMar>
              <w:top w:w="60" w:type="dxa"/>
              <w:left w:w="100" w:type="dxa"/>
              <w:bottom w:w="60" w:type="dxa"/>
              <w:right w:w="100" w:type="dxa"/>
            </w:tcMar>
          </w:tcPr>
          <w:p w14:paraId="15ACB8EC">
            <w:pPr>
              <w:jc w:val="both"/>
            </w:pPr>
            <w:r>
              <w:rPr>
                <w:rFonts w:ascii="Times New Roman" w:hAnsi="Times New Roman" w:eastAsia="Times New Roman" w:cs="Times New Roman"/>
                <w:i w:val="0"/>
                <w:iCs w:val="0"/>
                <w:sz w:val="20"/>
                <w:szCs w:val="20"/>
              </w:rPr>
              <w:t>-0.268</w:t>
            </w:r>
          </w:p>
        </w:tc>
        <w:tc>
          <w:tcPr>
            <w:tcW w:w="960" w:type="dxa"/>
            <w:tcBorders>
              <w:top w:val="nil"/>
              <w:left w:val="nil"/>
              <w:bottom w:val="nil"/>
              <w:right w:val="nil"/>
            </w:tcBorders>
            <w:tcMar>
              <w:top w:w="60" w:type="dxa"/>
              <w:left w:w="100" w:type="dxa"/>
              <w:bottom w:w="60" w:type="dxa"/>
              <w:right w:w="100" w:type="dxa"/>
            </w:tcMar>
          </w:tcPr>
          <w:p w14:paraId="2D35FA30">
            <w:pPr>
              <w:jc w:val="both"/>
            </w:pPr>
            <w:r>
              <w:rPr>
                <w:rFonts w:ascii="Times New Roman" w:hAnsi="Times New Roman" w:eastAsia="Times New Roman" w:cs="Times New Roman"/>
                <w:i w:val="0"/>
                <w:iCs w:val="0"/>
                <w:sz w:val="20"/>
                <w:szCs w:val="20"/>
              </w:rPr>
              <w:t>World Bank WGI</w:t>
            </w:r>
          </w:p>
        </w:tc>
      </w:tr>
      <w:tr w14:paraId="41F78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60" w:type="dxa"/>
              <w:left w:w="100" w:type="dxa"/>
              <w:bottom w:w="60" w:type="dxa"/>
              <w:right w:w="100" w:type="dxa"/>
            </w:tcMar>
          </w:tcPr>
          <w:p w14:paraId="67F8FAB8">
            <w:pPr>
              <w:jc w:val="both"/>
            </w:pPr>
            <w:r>
              <w:rPr>
                <w:rFonts w:ascii="Times New Roman" w:hAnsi="Times New Roman" w:eastAsia="Times New Roman" w:cs="Times New Roman"/>
                <w:i w:val="0"/>
                <w:iCs w:val="0"/>
                <w:sz w:val="20"/>
                <w:szCs w:val="20"/>
              </w:rPr>
              <w:t>Regulatory Quality (WGI estimate)</w:t>
            </w:r>
          </w:p>
        </w:tc>
        <w:tc>
          <w:tcPr>
            <w:tcW w:w="700" w:type="dxa"/>
            <w:tcBorders>
              <w:top w:val="nil"/>
              <w:left w:val="nil"/>
              <w:bottom w:val="nil"/>
              <w:right w:val="nil"/>
            </w:tcBorders>
            <w:tcMar>
              <w:top w:w="60" w:type="dxa"/>
              <w:left w:w="100" w:type="dxa"/>
              <w:bottom w:w="60" w:type="dxa"/>
              <w:right w:w="100" w:type="dxa"/>
            </w:tcMar>
          </w:tcPr>
          <w:p w14:paraId="298F5953">
            <w:pPr>
              <w:jc w:val="both"/>
            </w:pPr>
            <w:r>
              <w:rPr>
                <w:rFonts w:ascii="Times New Roman" w:hAnsi="Times New Roman" w:eastAsia="Times New Roman" w:cs="Times New Roman"/>
                <w:i w:val="0"/>
                <w:iCs w:val="0"/>
                <w:sz w:val="20"/>
                <w:szCs w:val="20"/>
              </w:rPr>
              <w:t>3,438</w:t>
            </w:r>
          </w:p>
        </w:tc>
        <w:tc>
          <w:tcPr>
            <w:tcW w:w="900" w:type="dxa"/>
            <w:tcBorders>
              <w:top w:val="nil"/>
              <w:left w:val="nil"/>
              <w:bottom w:val="nil"/>
              <w:right w:val="nil"/>
            </w:tcBorders>
            <w:tcMar>
              <w:top w:w="60" w:type="dxa"/>
              <w:left w:w="100" w:type="dxa"/>
              <w:bottom w:w="60" w:type="dxa"/>
              <w:right w:w="100" w:type="dxa"/>
            </w:tcMar>
          </w:tcPr>
          <w:p w14:paraId="3AE368BC">
            <w:pPr>
              <w:jc w:val="both"/>
            </w:pPr>
            <w:r>
              <w:rPr>
                <w:rFonts w:ascii="Times New Roman" w:hAnsi="Times New Roman" w:eastAsia="Times New Roman" w:cs="Times New Roman"/>
                <w:i w:val="0"/>
                <w:iCs w:val="0"/>
                <w:sz w:val="20"/>
                <w:szCs w:val="20"/>
              </w:rPr>
              <w:t>-0.321</w:t>
            </w:r>
          </w:p>
        </w:tc>
        <w:tc>
          <w:tcPr>
            <w:tcW w:w="900" w:type="dxa"/>
            <w:tcBorders>
              <w:top w:val="nil"/>
              <w:left w:val="nil"/>
              <w:bottom w:val="nil"/>
              <w:right w:val="nil"/>
            </w:tcBorders>
            <w:tcMar>
              <w:top w:w="60" w:type="dxa"/>
              <w:left w:w="100" w:type="dxa"/>
              <w:bottom w:w="60" w:type="dxa"/>
              <w:right w:w="100" w:type="dxa"/>
            </w:tcMar>
          </w:tcPr>
          <w:p w14:paraId="304D79CE">
            <w:pPr>
              <w:jc w:val="both"/>
            </w:pPr>
            <w:r>
              <w:rPr>
                <w:rFonts w:ascii="Times New Roman" w:hAnsi="Times New Roman" w:eastAsia="Times New Roman" w:cs="Times New Roman"/>
                <w:i w:val="0"/>
                <w:iCs w:val="0"/>
                <w:sz w:val="20"/>
                <w:szCs w:val="20"/>
              </w:rPr>
              <w:t>0.497</w:t>
            </w:r>
          </w:p>
        </w:tc>
        <w:tc>
          <w:tcPr>
            <w:tcW w:w="900" w:type="dxa"/>
            <w:tcBorders>
              <w:top w:val="nil"/>
              <w:left w:val="nil"/>
              <w:bottom w:val="nil"/>
              <w:right w:val="nil"/>
            </w:tcBorders>
            <w:tcMar>
              <w:top w:w="60" w:type="dxa"/>
              <w:left w:w="100" w:type="dxa"/>
              <w:bottom w:w="60" w:type="dxa"/>
              <w:right w:w="100" w:type="dxa"/>
            </w:tcMar>
          </w:tcPr>
          <w:p w14:paraId="0C6FCEB9">
            <w:pPr>
              <w:jc w:val="both"/>
            </w:pPr>
            <w:r>
              <w:rPr>
                <w:rFonts w:ascii="Times New Roman" w:hAnsi="Times New Roman" w:eastAsia="Times New Roman" w:cs="Times New Roman"/>
                <w:i w:val="0"/>
                <w:iCs w:val="0"/>
                <w:sz w:val="20"/>
                <w:szCs w:val="20"/>
              </w:rPr>
              <w:t>-0.708</w:t>
            </w:r>
          </w:p>
        </w:tc>
        <w:tc>
          <w:tcPr>
            <w:tcW w:w="900" w:type="dxa"/>
            <w:tcBorders>
              <w:top w:val="nil"/>
              <w:left w:val="nil"/>
              <w:bottom w:val="nil"/>
              <w:right w:val="nil"/>
            </w:tcBorders>
            <w:tcMar>
              <w:top w:w="60" w:type="dxa"/>
              <w:left w:w="100" w:type="dxa"/>
              <w:bottom w:w="60" w:type="dxa"/>
              <w:right w:w="100" w:type="dxa"/>
            </w:tcMar>
          </w:tcPr>
          <w:p w14:paraId="6DCDABD7">
            <w:pPr>
              <w:jc w:val="both"/>
            </w:pPr>
            <w:r>
              <w:rPr>
                <w:rFonts w:ascii="Times New Roman" w:hAnsi="Times New Roman" w:eastAsia="Times New Roman" w:cs="Times New Roman"/>
                <w:i w:val="0"/>
                <w:iCs w:val="0"/>
                <w:sz w:val="20"/>
                <w:szCs w:val="20"/>
              </w:rPr>
              <w:t>-0.327</w:t>
            </w:r>
          </w:p>
        </w:tc>
        <w:tc>
          <w:tcPr>
            <w:tcW w:w="900" w:type="dxa"/>
            <w:tcBorders>
              <w:top w:val="nil"/>
              <w:left w:val="nil"/>
              <w:bottom w:val="nil"/>
              <w:right w:val="nil"/>
            </w:tcBorders>
            <w:tcMar>
              <w:top w:w="60" w:type="dxa"/>
              <w:left w:w="100" w:type="dxa"/>
              <w:bottom w:w="60" w:type="dxa"/>
              <w:right w:w="100" w:type="dxa"/>
            </w:tcMar>
          </w:tcPr>
          <w:p w14:paraId="52B511AD">
            <w:pPr>
              <w:jc w:val="both"/>
            </w:pPr>
            <w:r>
              <w:rPr>
                <w:rFonts w:ascii="Times New Roman" w:hAnsi="Times New Roman" w:eastAsia="Times New Roman" w:cs="Times New Roman"/>
                <w:i w:val="0"/>
                <w:iCs w:val="0"/>
                <w:sz w:val="20"/>
                <w:szCs w:val="20"/>
              </w:rPr>
              <w:t>0.052</w:t>
            </w:r>
          </w:p>
        </w:tc>
        <w:tc>
          <w:tcPr>
            <w:tcW w:w="960" w:type="dxa"/>
            <w:tcBorders>
              <w:top w:val="nil"/>
              <w:left w:val="nil"/>
              <w:bottom w:val="nil"/>
              <w:right w:val="nil"/>
            </w:tcBorders>
            <w:tcMar>
              <w:top w:w="60" w:type="dxa"/>
              <w:left w:w="100" w:type="dxa"/>
              <w:bottom w:w="60" w:type="dxa"/>
              <w:right w:w="100" w:type="dxa"/>
            </w:tcMar>
          </w:tcPr>
          <w:p w14:paraId="1AF1B7D7">
            <w:pPr>
              <w:jc w:val="both"/>
            </w:pPr>
            <w:r>
              <w:rPr>
                <w:rFonts w:ascii="Times New Roman" w:hAnsi="Times New Roman" w:eastAsia="Times New Roman" w:cs="Times New Roman"/>
                <w:i w:val="0"/>
                <w:iCs w:val="0"/>
                <w:sz w:val="20"/>
                <w:szCs w:val="20"/>
              </w:rPr>
              <w:t>World Bank WGI</w:t>
            </w:r>
          </w:p>
        </w:tc>
      </w:tr>
      <w:tr w14:paraId="70234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8"/>
            <w:tcBorders>
              <w:top w:val="nil"/>
              <w:left w:val="nil"/>
              <w:bottom w:val="nil"/>
              <w:right w:val="nil"/>
            </w:tcBorders>
            <w:shd w:val="clear" w:color="auto" w:fill="F4F4F4"/>
            <w:tcMar>
              <w:top w:w="60" w:type="dxa"/>
              <w:left w:w="100" w:type="dxa"/>
              <w:bottom w:w="60" w:type="dxa"/>
              <w:right w:w="100" w:type="dxa"/>
            </w:tcMar>
          </w:tcPr>
          <w:p w14:paraId="0E31BAB9">
            <w:pPr>
              <w:jc w:val="both"/>
            </w:pPr>
            <w:r>
              <w:rPr>
                <w:rFonts w:ascii="Times New Roman" w:hAnsi="Times New Roman" w:eastAsia="Times New Roman" w:cs="Times New Roman"/>
                <w:b/>
                <w:bCs/>
                <w:i/>
                <w:iCs/>
                <w:sz w:val="20"/>
                <w:szCs w:val="20"/>
              </w:rPr>
              <w:t>Panel D: Control Variables</w:t>
            </w:r>
          </w:p>
        </w:tc>
      </w:tr>
      <w:tr w14:paraId="09DAF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60" w:type="dxa"/>
              <w:left w:w="100" w:type="dxa"/>
              <w:bottom w:w="60" w:type="dxa"/>
              <w:right w:w="100" w:type="dxa"/>
            </w:tcMar>
          </w:tcPr>
          <w:p w14:paraId="454D4A3B">
            <w:pPr>
              <w:jc w:val="both"/>
            </w:pPr>
            <w:r>
              <w:rPr>
                <w:rFonts w:ascii="Times New Roman" w:hAnsi="Times New Roman" w:eastAsia="Times New Roman" w:cs="Times New Roman"/>
                <w:i w:val="0"/>
                <w:iCs w:val="0"/>
                <w:sz w:val="20"/>
                <w:szCs w:val="20"/>
              </w:rPr>
              <w:t>Bank Capital/Assets (%)</w:t>
            </w:r>
          </w:p>
        </w:tc>
        <w:tc>
          <w:tcPr>
            <w:tcW w:w="700" w:type="dxa"/>
            <w:tcBorders>
              <w:top w:val="nil"/>
              <w:left w:val="nil"/>
              <w:bottom w:val="nil"/>
              <w:right w:val="nil"/>
            </w:tcBorders>
            <w:tcMar>
              <w:top w:w="60" w:type="dxa"/>
              <w:left w:w="100" w:type="dxa"/>
              <w:bottom w:w="60" w:type="dxa"/>
              <w:right w:w="100" w:type="dxa"/>
            </w:tcMar>
          </w:tcPr>
          <w:p w14:paraId="6294D576">
            <w:pPr>
              <w:jc w:val="both"/>
            </w:pPr>
            <w:r>
              <w:rPr>
                <w:rFonts w:ascii="Times New Roman" w:hAnsi="Times New Roman" w:eastAsia="Times New Roman" w:cs="Times New Roman"/>
                <w:i w:val="0"/>
                <w:iCs w:val="0"/>
                <w:sz w:val="20"/>
                <w:szCs w:val="20"/>
              </w:rPr>
              <w:t>2,953</w:t>
            </w:r>
          </w:p>
        </w:tc>
        <w:tc>
          <w:tcPr>
            <w:tcW w:w="900" w:type="dxa"/>
            <w:tcBorders>
              <w:top w:val="nil"/>
              <w:left w:val="nil"/>
              <w:bottom w:val="nil"/>
              <w:right w:val="nil"/>
            </w:tcBorders>
            <w:tcMar>
              <w:top w:w="60" w:type="dxa"/>
              <w:left w:w="100" w:type="dxa"/>
              <w:bottom w:w="60" w:type="dxa"/>
              <w:right w:w="100" w:type="dxa"/>
            </w:tcMar>
          </w:tcPr>
          <w:p w14:paraId="42EE6ABE">
            <w:pPr>
              <w:jc w:val="both"/>
            </w:pPr>
            <w:r>
              <w:rPr>
                <w:rFonts w:ascii="Times New Roman" w:hAnsi="Times New Roman" w:eastAsia="Times New Roman" w:cs="Times New Roman"/>
                <w:i w:val="0"/>
                <w:iCs w:val="0"/>
                <w:sz w:val="20"/>
                <w:szCs w:val="20"/>
              </w:rPr>
              <w:t>9.36</w:t>
            </w:r>
          </w:p>
        </w:tc>
        <w:tc>
          <w:tcPr>
            <w:tcW w:w="900" w:type="dxa"/>
            <w:tcBorders>
              <w:top w:val="nil"/>
              <w:left w:val="nil"/>
              <w:bottom w:val="nil"/>
              <w:right w:val="nil"/>
            </w:tcBorders>
            <w:tcMar>
              <w:top w:w="60" w:type="dxa"/>
              <w:left w:w="100" w:type="dxa"/>
              <w:bottom w:w="60" w:type="dxa"/>
              <w:right w:w="100" w:type="dxa"/>
            </w:tcMar>
          </w:tcPr>
          <w:p w14:paraId="06C0F2BD">
            <w:pPr>
              <w:jc w:val="both"/>
            </w:pPr>
            <w:r>
              <w:rPr>
                <w:rFonts w:ascii="Times New Roman" w:hAnsi="Times New Roman" w:eastAsia="Times New Roman" w:cs="Times New Roman"/>
                <w:i w:val="0"/>
                <w:iCs w:val="0"/>
                <w:sz w:val="20"/>
                <w:szCs w:val="20"/>
              </w:rPr>
              <w:t>3.06</w:t>
            </w:r>
          </w:p>
        </w:tc>
        <w:tc>
          <w:tcPr>
            <w:tcW w:w="900" w:type="dxa"/>
            <w:tcBorders>
              <w:top w:val="nil"/>
              <w:left w:val="nil"/>
              <w:bottom w:val="nil"/>
              <w:right w:val="nil"/>
            </w:tcBorders>
            <w:tcMar>
              <w:top w:w="60" w:type="dxa"/>
              <w:left w:w="100" w:type="dxa"/>
              <w:bottom w:w="60" w:type="dxa"/>
              <w:right w:w="100" w:type="dxa"/>
            </w:tcMar>
          </w:tcPr>
          <w:p w14:paraId="2D42B67E">
            <w:pPr>
              <w:jc w:val="both"/>
            </w:pPr>
            <w:r>
              <w:rPr>
                <w:rFonts w:ascii="Times New Roman" w:hAnsi="Times New Roman" w:eastAsia="Times New Roman" w:cs="Times New Roman"/>
                <w:i w:val="0"/>
                <w:iCs w:val="0"/>
                <w:sz w:val="20"/>
                <w:szCs w:val="20"/>
              </w:rPr>
              <w:t>7.02</w:t>
            </w:r>
          </w:p>
        </w:tc>
        <w:tc>
          <w:tcPr>
            <w:tcW w:w="900" w:type="dxa"/>
            <w:tcBorders>
              <w:top w:val="nil"/>
              <w:left w:val="nil"/>
              <w:bottom w:val="nil"/>
              <w:right w:val="nil"/>
            </w:tcBorders>
            <w:tcMar>
              <w:top w:w="60" w:type="dxa"/>
              <w:left w:w="100" w:type="dxa"/>
              <w:bottom w:w="60" w:type="dxa"/>
              <w:right w:w="100" w:type="dxa"/>
            </w:tcMar>
          </w:tcPr>
          <w:p w14:paraId="0ECD69D9">
            <w:pPr>
              <w:jc w:val="both"/>
            </w:pPr>
            <w:r>
              <w:rPr>
                <w:rFonts w:ascii="Times New Roman" w:hAnsi="Times New Roman" w:eastAsia="Times New Roman" w:cs="Times New Roman"/>
                <w:i w:val="0"/>
                <w:iCs w:val="0"/>
                <w:sz w:val="20"/>
                <w:szCs w:val="20"/>
              </w:rPr>
              <w:t>8.92</w:t>
            </w:r>
          </w:p>
        </w:tc>
        <w:tc>
          <w:tcPr>
            <w:tcW w:w="900" w:type="dxa"/>
            <w:tcBorders>
              <w:top w:val="nil"/>
              <w:left w:val="nil"/>
              <w:bottom w:val="nil"/>
              <w:right w:val="nil"/>
            </w:tcBorders>
            <w:tcMar>
              <w:top w:w="60" w:type="dxa"/>
              <w:left w:w="100" w:type="dxa"/>
              <w:bottom w:w="60" w:type="dxa"/>
              <w:right w:w="100" w:type="dxa"/>
            </w:tcMar>
          </w:tcPr>
          <w:p w14:paraId="4DFE8AE5">
            <w:pPr>
              <w:jc w:val="both"/>
            </w:pPr>
            <w:r>
              <w:rPr>
                <w:rFonts w:ascii="Times New Roman" w:hAnsi="Times New Roman" w:eastAsia="Times New Roman" w:cs="Times New Roman"/>
                <w:i w:val="0"/>
                <w:iCs w:val="0"/>
                <w:sz w:val="20"/>
                <w:szCs w:val="20"/>
              </w:rPr>
              <w:t>11.10</w:t>
            </w:r>
          </w:p>
        </w:tc>
        <w:tc>
          <w:tcPr>
            <w:tcW w:w="960" w:type="dxa"/>
            <w:tcBorders>
              <w:top w:val="nil"/>
              <w:left w:val="nil"/>
              <w:bottom w:val="nil"/>
              <w:right w:val="nil"/>
            </w:tcBorders>
            <w:tcMar>
              <w:top w:w="60" w:type="dxa"/>
              <w:left w:w="100" w:type="dxa"/>
              <w:bottom w:w="60" w:type="dxa"/>
              <w:right w:w="100" w:type="dxa"/>
            </w:tcMar>
          </w:tcPr>
          <w:p w14:paraId="30A863D9">
            <w:pPr>
              <w:jc w:val="both"/>
            </w:pPr>
            <w:r>
              <w:rPr>
                <w:rFonts w:ascii="Times New Roman" w:hAnsi="Times New Roman" w:eastAsia="Times New Roman" w:cs="Times New Roman"/>
                <w:i w:val="0"/>
                <w:iCs w:val="0"/>
                <w:sz w:val="20"/>
                <w:szCs w:val="20"/>
              </w:rPr>
              <w:t>World Bank GFD</w:t>
            </w:r>
          </w:p>
        </w:tc>
      </w:tr>
      <w:tr w14:paraId="0F507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60" w:type="dxa"/>
              <w:left w:w="100" w:type="dxa"/>
              <w:bottom w:w="60" w:type="dxa"/>
              <w:right w:w="100" w:type="dxa"/>
            </w:tcMar>
          </w:tcPr>
          <w:p w14:paraId="34F32722">
            <w:pPr>
              <w:jc w:val="both"/>
            </w:pPr>
            <w:r>
              <w:rPr>
                <w:rFonts w:ascii="Times New Roman" w:hAnsi="Times New Roman" w:eastAsia="Times New Roman" w:cs="Times New Roman"/>
                <w:i w:val="0"/>
                <w:iCs w:val="0"/>
                <w:sz w:val="20"/>
                <w:szCs w:val="20"/>
              </w:rPr>
              <w:t>GDP Growth (annual %)</w:t>
            </w:r>
          </w:p>
        </w:tc>
        <w:tc>
          <w:tcPr>
            <w:tcW w:w="700" w:type="dxa"/>
            <w:tcBorders>
              <w:top w:val="nil"/>
              <w:left w:val="nil"/>
              <w:bottom w:val="nil"/>
              <w:right w:val="nil"/>
            </w:tcBorders>
            <w:tcMar>
              <w:top w:w="60" w:type="dxa"/>
              <w:left w:w="100" w:type="dxa"/>
              <w:bottom w:w="60" w:type="dxa"/>
              <w:right w:w="100" w:type="dxa"/>
            </w:tcMar>
          </w:tcPr>
          <w:p w14:paraId="49F0809E">
            <w:pPr>
              <w:jc w:val="both"/>
            </w:pPr>
            <w:r>
              <w:rPr>
                <w:rFonts w:ascii="Times New Roman" w:hAnsi="Times New Roman" w:eastAsia="Times New Roman" w:cs="Times New Roman"/>
                <w:i w:val="0"/>
                <w:iCs w:val="0"/>
                <w:sz w:val="20"/>
                <w:szCs w:val="20"/>
              </w:rPr>
              <w:t>3,438</w:t>
            </w:r>
          </w:p>
        </w:tc>
        <w:tc>
          <w:tcPr>
            <w:tcW w:w="900" w:type="dxa"/>
            <w:tcBorders>
              <w:top w:val="nil"/>
              <w:left w:val="nil"/>
              <w:bottom w:val="nil"/>
              <w:right w:val="nil"/>
            </w:tcBorders>
            <w:tcMar>
              <w:top w:w="60" w:type="dxa"/>
              <w:left w:w="100" w:type="dxa"/>
              <w:bottom w:w="60" w:type="dxa"/>
              <w:right w:w="100" w:type="dxa"/>
            </w:tcMar>
          </w:tcPr>
          <w:p w14:paraId="5615D971">
            <w:pPr>
              <w:jc w:val="both"/>
            </w:pPr>
            <w:r>
              <w:rPr>
                <w:rFonts w:ascii="Times New Roman" w:hAnsi="Times New Roman" w:eastAsia="Times New Roman" w:cs="Times New Roman"/>
                <w:i w:val="0"/>
                <w:iCs w:val="0"/>
                <w:sz w:val="20"/>
                <w:szCs w:val="20"/>
              </w:rPr>
              <w:t>4.79</w:t>
            </w:r>
          </w:p>
        </w:tc>
        <w:tc>
          <w:tcPr>
            <w:tcW w:w="900" w:type="dxa"/>
            <w:tcBorders>
              <w:top w:val="nil"/>
              <w:left w:val="nil"/>
              <w:bottom w:val="nil"/>
              <w:right w:val="nil"/>
            </w:tcBorders>
            <w:tcMar>
              <w:top w:w="60" w:type="dxa"/>
              <w:left w:w="100" w:type="dxa"/>
              <w:bottom w:w="60" w:type="dxa"/>
              <w:right w:w="100" w:type="dxa"/>
            </w:tcMar>
          </w:tcPr>
          <w:p w14:paraId="63F74F38">
            <w:pPr>
              <w:jc w:val="both"/>
            </w:pPr>
            <w:r>
              <w:rPr>
                <w:rFonts w:ascii="Times New Roman" w:hAnsi="Times New Roman" w:eastAsia="Times New Roman" w:cs="Times New Roman"/>
                <w:i w:val="0"/>
                <w:iCs w:val="0"/>
                <w:sz w:val="20"/>
                <w:szCs w:val="20"/>
              </w:rPr>
              <w:t>2.82</w:t>
            </w:r>
          </w:p>
        </w:tc>
        <w:tc>
          <w:tcPr>
            <w:tcW w:w="900" w:type="dxa"/>
            <w:tcBorders>
              <w:top w:val="nil"/>
              <w:left w:val="nil"/>
              <w:bottom w:val="nil"/>
              <w:right w:val="nil"/>
            </w:tcBorders>
            <w:tcMar>
              <w:top w:w="60" w:type="dxa"/>
              <w:left w:w="100" w:type="dxa"/>
              <w:bottom w:w="60" w:type="dxa"/>
              <w:right w:w="100" w:type="dxa"/>
            </w:tcMar>
          </w:tcPr>
          <w:p w14:paraId="24F0C036">
            <w:pPr>
              <w:jc w:val="both"/>
            </w:pPr>
            <w:r>
              <w:rPr>
                <w:rFonts w:ascii="Times New Roman" w:hAnsi="Times New Roman" w:eastAsia="Times New Roman" w:cs="Times New Roman"/>
                <w:i w:val="0"/>
                <w:iCs w:val="0"/>
                <w:sz w:val="20"/>
                <w:szCs w:val="20"/>
              </w:rPr>
              <w:t>3.25</w:t>
            </w:r>
          </w:p>
        </w:tc>
        <w:tc>
          <w:tcPr>
            <w:tcW w:w="900" w:type="dxa"/>
            <w:tcBorders>
              <w:top w:val="nil"/>
              <w:left w:val="nil"/>
              <w:bottom w:val="nil"/>
              <w:right w:val="nil"/>
            </w:tcBorders>
            <w:tcMar>
              <w:top w:w="60" w:type="dxa"/>
              <w:left w:w="100" w:type="dxa"/>
              <w:bottom w:w="60" w:type="dxa"/>
              <w:right w:w="100" w:type="dxa"/>
            </w:tcMar>
          </w:tcPr>
          <w:p w14:paraId="596F5082">
            <w:pPr>
              <w:jc w:val="both"/>
            </w:pPr>
            <w:r>
              <w:rPr>
                <w:rFonts w:ascii="Times New Roman" w:hAnsi="Times New Roman" w:eastAsia="Times New Roman" w:cs="Times New Roman"/>
                <w:i w:val="0"/>
                <w:iCs w:val="0"/>
                <w:sz w:val="20"/>
                <w:szCs w:val="20"/>
              </w:rPr>
              <w:t>5.12</w:t>
            </w:r>
          </w:p>
        </w:tc>
        <w:tc>
          <w:tcPr>
            <w:tcW w:w="900" w:type="dxa"/>
            <w:tcBorders>
              <w:top w:val="nil"/>
              <w:left w:val="nil"/>
              <w:bottom w:val="nil"/>
              <w:right w:val="nil"/>
            </w:tcBorders>
            <w:tcMar>
              <w:top w:w="60" w:type="dxa"/>
              <w:left w:w="100" w:type="dxa"/>
              <w:bottom w:w="60" w:type="dxa"/>
              <w:right w:w="100" w:type="dxa"/>
            </w:tcMar>
          </w:tcPr>
          <w:p w14:paraId="4C4E02CE">
            <w:pPr>
              <w:jc w:val="both"/>
            </w:pPr>
            <w:r>
              <w:rPr>
                <w:rFonts w:ascii="Times New Roman" w:hAnsi="Times New Roman" w:eastAsia="Times New Roman" w:cs="Times New Roman"/>
                <w:i w:val="0"/>
                <w:iCs w:val="0"/>
                <w:sz w:val="20"/>
                <w:szCs w:val="20"/>
              </w:rPr>
              <w:t>6.77</w:t>
            </w:r>
          </w:p>
        </w:tc>
        <w:tc>
          <w:tcPr>
            <w:tcW w:w="960" w:type="dxa"/>
            <w:tcBorders>
              <w:top w:val="nil"/>
              <w:left w:val="nil"/>
              <w:bottom w:val="nil"/>
              <w:right w:val="nil"/>
            </w:tcBorders>
            <w:tcMar>
              <w:top w:w="60" w:type="dxa"/>
              <w:left w:w="100" w:type="dxa"/>
              <w:bottom w:w="60" w:type="dxa"/>
              <w:right w:w="100" w:type="dxa"/>
            </w:tcMar>
          </w:tcPr>
          <w:p w14:paraId="1BA1E45A">
            <w:pPr>
              <w:jc w:val="both"/>
            </w:pPr>
            <w:r>
              <w:rPr>
                <w:rFonts w:ascii="Times New Roman" w:hAnsi="Times New Roman" w:eastAsia="Times New Roman" w:cs="Times New Roman"/>
                <w:i w:val="0"/>
                <w:iCs w:val="0"/>
                <w:sz w:val="20"/>
                <w:szCs w:val="20"/>
              </w:rPr>
              <w:t>IMF WEO</w:t>
            </w:r>
          </w:p>
        </w:tc>
      </w:tr>
      <w:tr w14:paraId="444AA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60" w:type="dxa"/>
              <w:left w:w="100" w:type="dxa"/>
              <w:bottom w:w="60" w:type="dxa"/>
              <w:right w:w="100" w:type="dxa"/>
            </w:tcMar>
          </w:tcPr>
          <w:p w14:paraId="03167643">
            <w:pPr>
              <w:jc w:val="both"/>
            </w:pPr>
            <w:r>
              <w:rPr>
                <w:rFonts w:ascii="Times New Roman" w:hAnsi="Times New Roman" w:eastAsia="Times New Roman" w:cs="Times New Roman"/>
                <w:i w:val="0"/>
                <w:iCs w:val="0"/>
                <w:sz w:val="20"/>
                <w:szCs w:val="20"/>
              </w:rPr>
              <w:t>Inflation, Consumer Prices (%)</w:t>
            </w:r>
          </w:p>
        </w:tc>
        <w:tc>
          <w:tcPr>
            <w:tcW w:w="700" w:type="dxa"/>
            <w:tcBorders>
              <w:top w:val="nil"/>
              <w:left w:val="nil"/>
              <w:bottom w:val="nil"/>
              <w:right w:val="nil"/>
            </w:tcBorders>
            <w:tcMar>
              <w:top w:w="60" w:type="dxa"/>
              <w:left w:w="100" w:type="dxa"/>
              <w:bottom w:w="60" w:type="dxa"/>
              <w:right w:w="100" w:type="dxa"/>
            </w:tcMar>
          </w:tcPr>
          <w:p w14:paraId="67F2707E">
            <w:pPr>
              <w:jc w:val="both"/>
            </w:pPr>
            <w:r>
              <w:rPr>
                <w:rFonts w:ascii="Times New Roman" w:hAnsi="Times New Roman" w:eastAsia="Times New Roman" w:cs="Times New Roman"/>
                <w:i w:val="0"/>
                <w:iCs w:val="0"/>
                <w:sz w:val="20"/>
                <w:szCs w:val="20"/>
              </w:rPr>
              <w:t>3,390</w:t>
            </w:r>
          </w:p>
        </w:tc>
        <w:tc>
          <w:tcPr>
            <w:tcW w:w="900" w:type="dxa"/>
            <w:tcBorders>
              <w:top w:val="nil"/>
              <w:left w:val="nil"/>
              <w:bottom w:val="nil"/>
              <w:right w:val="nil"/>
            </w:tcBorders>
            <w:tcMar>
              <w:top w:w="60" w:type="dxa"/>
              <w:left w:w="100" w:type="dxa"/>
              <w:bottom w:w="60" w:type="dxa"/>
              <w:right w:w="100" w:type="dxa"/>
            </w:tcMar>
          </w:tcPr>
          <w:p w14:paraId="3F437139">
            <w:pPr>
              <w:jc w:val="both"/>
            </w:pPr>
            <w:r>
              <w:rPr>
                <w:rFonts w:ascii="Times New Roman" w:hAnsi="Times New Roman" w:eastAsia="Times New Roman" w:cs="Times New Roman"/>
                <w:i w:val="0"/>
                <w:iCs w:val="0"/>
                <w:sz w:val="20"/>
                <w:szCs w:val="20"/>
              </w:rPr>
              <w:t>5.02</w:t>
            </w:r>
          </w:p>
        </w:tc>
        <w:tc>
          <w:tcPr>
            <w:tcW w:w="900" w:type="dxa"/>
            <w:tcBorders>
              <w:top w:val="nil"/>
              <w:left w:val="nil"/>
              <w:bottom w:val="nil"/>
              <w:right w:val="nil"/>
            </w:tcBorders>
            <w:tcMar>
              <w:top w:w="60" w:type="dxa"/>
              <w:left w:w="100" w:type="dxa"/>
              <w:bottom w:w="60" w:type="dxa"/>
              <w:right w:w="100" w:type="dxa"/>
            </w:tcMar>
          </w:tcPr>
          <w:p w14:paraId="2392C81D">
            <w:pPr>
              <w:jc w:val="both"/>
            </w:pPr>
            <w:r>
              <w:rPr>
                <w:rFonts w:ascii="Times New Roman" w:hAnsi="Times New Roman" w:eastAsia="Times New Roman" w:cs="Times New Roman"/>
                <w:i w:val="0"/>
                <w:iCs w:val="0"/>
                <w:sz w:val="20"/>
                <w:szCs w:val="20"/>
              </w:rPr>
              <w:t>3.45</w:t>
            </w:r>
          </w:p>
        </w:tc>
        <w:tc>
          <w:tcPr>
            <w:tcW w:w="900" w:type="dxa"/>
            <w:tcBorders>
              <w:top w:val="nil"/>
              <w:left w:val="nil"/>
              <w:bottom w:val="nil"/>
              <w:right w:val="nil"/>
            </w:tcBorders>
            <w:tcMar>
              <w:top w:w="60" w:type="dxa"/>
              <w:left w:w="100" w:type="dxa"/>
              <w:bottom w:w="60" w:type="dxa"/>
              <w:right w:w="100" w:type="dxa"/>
            </w:tcMar>
          </w:tcPr>
          <w:p w14:paraId="2750F0BA">
            <w:pPr>
              <w:jc w:val="both"/>
            </w:pPr>
            <w:r>
              <w:rPr>
                <w:rFonts w:ascii="Times New Roman" w:hAnsi="Times New Roman" w:eastAsia="Times New Roman" w:cs="Times New Roman"/>
                <w:i w:val="0"/>
                <w:iCs w:val="0"/>
                <w:sz w:val="20"/>
                <w:szCs w:val="20"/>
              </w:rPr>
              <w:t>2.91</w:t>
            </w:r>
          </w:p>
        </w:tc>
        <w:tc>
          <w:tcPr>
            <w:tcW w:w="900" w:type="dxa"/>
            <w:tcBorders>
              <w:top w:val="nil"/>
              <w:left w:val="nil"/>
              <w:bottom w:val="nil"/>
              <w:right w:val="nil"/>
            </w:tcBorders>
            <w:tcMar>
              <w:top w:w="60" w:type="dxa"/>
              <w:left w:w="100" w:type="dxa"/>
              <w:bottom w:w="60" w:type="dxa"/>
              <w:right w:w="100" w:type="dxa"/>
            </w:tcMar>
          </w:tcPr>
          <w:p w14:paraId="17C6824B">
            <w:pPr>
              <w:jc w:val="both"/>
            </w:pPr>
            <w:r>
              <w:rPr>
                <w:rFonts w:ascii="Times New Roman" w:hAnsi="Times New Roman" w:eastAsia="Times New Roman" w:cs="Times New Roman"/>
                <w:i w:val="0"/>
                <w:iCs w:val="0"/>
                <w:sz w:val="20"/>
                <w:szCs w:val="20"/>
              </w:rPr>
              <w:t>4.02</w:t>
            </w:r>
          </w:p>
        </w:tc>
        <w:tc>
          <w:tcPr>
            <w:tcW w:w="900" w:type="dxa"/>
            <w:tcBorders>
              <w:top w:val="nil"/>
              <w:left w:val="nil"/>
              <w:bottom w:val="nil"/>
              <w:right w:val="nil"/>
            </w:tcBorders>
            <w:tcMar>
              <w:top w:w="60" w:type="dxa"/>
              <w:left w:w="100" w:type="dxa"/>
              <w:bottom w:w="60" w:type="dxa"/>
              <w:right w:w="100" w:type="dxa"/>
            </w:tcMar>
          </w:tcPr>
          <w:p w14:paraId="17ADE7AB">
            <w:pPr>
              <w:jc w:val="both"/>
            </w:pPr>
            <w:r>
              <w:rPr>
                <w:rFonts w:ascii="Times New Roman" w:hAnsi="Times New Roman" w:eastAsia="Times New Roman" w:cs="Times New Roman"/>
                <w:i w:val="0"/>
                <w:iCs w:val="0"/>
                <w:sz w:val="20"/>
                <w:szCs w:val="20"/>
              </w:rPr>
              <w:t>6.61</w:t>
            </w:r>
          </w:p>
        </w:tc>
        <w:tc>
          <w:tcPr>
            <w:tcW w:w="960" w:type="dxa"/>
            <w:tcBorders>
              <w:top w:val="nil"/>
              <w:left w:val="nil"/>
              <w:bottom w:val="nil"/>
              <w:right w:val="nil"/>
            </w:tcBorders>
            <w:tcMar>
              <w:top w:w="60" w:type="dxa"/>
              <w:left w:w="100" w:type="dxa"/>
              <w:bottom w:w="60" w:type="dxa"/>
              <w:right w:w="100" w:type="dxa"/>
            </w:tcMar>
          </w:tcPr>
          <w:p w14:paraId="25597903">
            <w:pPr>
              <w:jc w:val="both"/>
            </w:pPr>
            <w:r>
              <w:rPr>
                <w:rFonts w:ascii="Times New Roman" w:hAnsi="Times New Roman" w:eastAsia="Times New Roman" w:cs="Times New Roman"/>
                <w:i w:val="0"/>
                <w:iCs w:val="0"/>
                <w:sz w:val="20"/>
                <w:szCs w:val="20"/>
              </w:rPr>
              <w:t>IMF WEO</w:t>
            </w:r>
          </w:p>
        </w:tc>
      </w:tr>
      <w:tr w14:paraId="61F1F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60" w:type="dxa"/>
              <w:left w:w="100" w:type="dxa"/>
              <w:bottom w:w="60" w:type="dxa"/>
              <w:right w:w="100" w:type="dxa"/>
            </w:tcMar>
          </w:tcPr>
          <w:p w14:paraId="5BFC4174">
            <w:pPr>
              <w:jc w:val="both"/>
            </w:pPr>
            <w:r>
              <w:rPr>
                <w:rFonts w:ascii="Times New Roman" w:hAnsi="Times New Roman" w:eastAsia="Times New Roman" w:cs="Times New Roman"/>
                <w:i w:val="0"/>
                <w:iCs w:val="0"/>
                <w:sz w:val="20"/>
                <w:szCs w:val="20"/>
              </w:rPr>
              <w:t>Domestic Credit/Private Sector (%)</w:t>
            </w:r>
          </w:p>
        </w:tc>
        <w:tc>
          <w:tcPr>
            <w:tcW w:w="700" w:type="dxa"/>
            <w:tcBorders>
              <w:top w:val="nil"/>
              <w:left w:val="nil"/>
              <w:bottom w:val="nil"/>
              <w:right w:val="nil"/>
            </w:tcBorders>
            <w:tcMar>
              <w:top w:w="60" w:type="dxa"/>
              <w:left w:w="100" w:type="dxa"/>
              <w:bottom w:w="60" w:type="dxa"/>
              <w:right w:w="100" w:type="dxa"/>
            </w:tcMar>
          </w:tcPr>
          <w:p w14:paraId="38556423">
            <w:pPr>
              <w:jc w:val="both"/>
            </w:pPr>
            <w:r>
              <w:rPr>
                <w:rFonts w:ascii="Times New Roman" w:hAnsi="Times New Roman" w:eastAsia="Times New Roman" w:cs="Times New Roman"/>
                <w:i w:val="0"/>
                <w:iCs w:val="0"/>
                <w:sz w:val="20"/>
                <w:szCs w:val="20"/>
              </w:rPr>
              <w:t>3,355</w:t>
            </w:r>
          </w:p>
        </w:tc>
        <w:tc>
          <w:tcPr>
            <w:tcW w:w="900" w:type="dxa"/>
            <w:tcBorders>
              <w:top w:val="nil"/>
              <w:left w:val="nil"/>
              <w:bottom w:val="nil"/>
              <w:right w:val="nil"/>
            </w:tcBorders>
            <w:tcMar>
              <w:top w:w="60" w:type="dxa"/>
              <w:left w:w="100" w:type="dxa"/>
              <w:bottom w:w="60" w:type="dxa"/>
              <w:right w:w="100" w:type="dxa"/>
            </w:tcMar>
          </w:tcPr>
          <w:p w14:paraId="2C8FAAEE">
            <w:pPr>
              <w:jc w:val="both"/>
            </w:pPr>
            <w:r>
              <w:rPr>
                <w:rFonts w:ascii="Times New Roman" w:hAnsi="Times New Roman" w:eastAsia="Times New Roman" w:cs="Times New Roman"/>
                <w:i w:val="0"/>
                <w:iCs w:val="0"/>
                <w:sz w:val="20"/>
                <w:szCs w:val="20"/>
              </w:rPr>
              <w:t>39.52</w:t>
            </w:r>
          </w:p>
        </w:tc>
        <w:tc>
          <w:tcPr>
            <w:tcW w:w="900" w:type="dxa"/>
            <w:tcBorders>
              <w:top w:val="nil"/>
              <w:left w:val="nil"/>
              <w:bottom w:val="nil"/>
              <w:right w:val="nil"/>
            </w:tcBorders>
            <w:tcMar>
              <w:top w:w="60" w:type="dxa"/>
              <w:left w:w="100" w:type="dxa"/>
              <w:bottom w:w="60" w:type="dxa"/>
              <w:right w:w="100" w:type="dxa"/>
            </w:tcMar>
          </w:tcPr>
          <w:p w14:paraId="7DAE99BB">
            <w:pPr>
              <w:jc w:val="both"/>
            </w:pPr>
            <w:r>
              <w:rPr>
                <w:rFonts w:ascii="Times New Roman" w:hAnsi="Times New Roman" w:eastAsia="Times New Roman" w:cs="Times New Roman"/>
                <w:i w:val="0"/>
                <w:iCs w:val="0"/>
                <w:sz w:val="20"/>
                <w:szCs w:val="20"/>
              </w:rPr>
              <w:t>17.51</w:t>
            </w:r>
          </w:p>
        </w:tc>
        <w:tc>
          <w:tcPr>
            <w:tcW w:w="900" w:type="dxa"/>
            <w:tcBorders>
              <w:top w:val="nil"/>
              <w:left w:val="nil"/>
              <w:bottom w:val="nil"/>
              <w:right w:val="nil"/>
            </w:tcBorders>
            <w:tcMar>
              <w:top w:w="60" w:type="dxa"/>
              <w:left w:w="100" w:type="dxa"/>
              <w:bottom w:w="60" w:type="dxa"/>
              <w:right w:w="100" w:type="dxa"/>
            </w:tcMar>
          </w:tcPr>
          <w:p w14:paraId="11CA03AD">
            <w:pPr>
              <w:jc w:val="both"/>
            </w:pPr>
            <w:r>
              <w:rPr>
                <w:rFonts w:ascii="Times New Roman" w:hAnsi="Times New Roman" w:eastAsia="Times New Roman" w:cs="Times New Roman"/>
                <w:i w:val="0"/>
                <w:iCs w:val="0"/>
                <w:sz w:val="20"/>
                <w:szCs w:val="20"/>
              </w:rPr>
              <w:t>27.39</w:t>
            </w:r>
          </w:p>
        </w:tc>
        <w:tc>
          <w:tcPr>
            <w:tcW w:w="900" w:type="dxa"/>
            <w:tcBorders>
              <w:top w:val="nil"/>
              <w:left w:val="nil"/>
              <w:bottom w:val="nil"/>
              <w:right w:val="nil"/>
            </w:tcBorders>
            <w:tcMar>
              <w:top w:w="60" w:type="dxa"/>
              <w:left w:w="100" w:type="dxa"/>
              <w:bottom w:w="60" w:type="dxa"/>
              <w:right w:w="100" w:type="dxa"/>
            </w:tcMar>
          </w:tcPr>
          <w:p w14:paraId="3450AE82">
            <w:pPr>
              <w:jc w:val="both"/>
            </w:pPr>
            <w:r>
              <w:rPr>
                <w:rFonts w:ascii="Times New Roman" w:hAnsi="Times New Roman" w:eastAsia="Times New Roman" w:cs="Times New Roman"/>
                <w:i w:val="0"/>
                <w:iCs w:val="0"/>
                <w:sz w:val="20"/>
                <w:szCs w:val="20"/>
              </w:rPr>
              <w:t>38.31</w:t>
            </w:r>
          </w:p>
        </w:tc>
        <w:tc>
          <w:tcPr>
            <w:tcW w:w="900" w:type="dxa"/>
            <w:tcBorders>
              <w:top w:val="nil"/>
              <w:left w:val="nil"/>
              <w:bottom w:val="nil"/>
              <w:right w:val="nil"/>
            </w:tcBorders>
            <w:tcMar>
              <w:top w:w="60" w:type="dxa"/>
              <w:left w:w="100" w:type="dxa"/>
              <w:bottom w:w="60" w:type="dxa"/>
              <w:right w:w="100" w:type="dxa"/>
            </w:tcMar>
          </w:tcPr>
          <w:p w14:paraId="14DAF182">
            <w:pPr>
              <w:jc w:val="both"/>
            </w:pPr>
            <w:r>
              <w:rPr>
                <w:rFonts w:ascii="Times New Roman" w:hAnsi="Times New Roman" w:eastAsia="Times New Roman" w:cs="Times New Roman"/>
                <w:i w:val="0"/>
                <w:iCs w:val="0"/>
                <w:sz w:val="20"/>
                <w:szCs w:val="20"/>
              </w:rPr>
              <w:t>50.56</w:t>
            </w:r>
          </w:p>
        </w:tc>
        <w:tc>
          <w:tcPr>
            <w:tcW w:w="960" w:type="dxa"/>
            <w:tcBorders>
              <w:top w:val="nil"/>
              <w:left w:val="nil"/>
              <w:bottom w:val="nil"/>
              <w:right w:val="nil"/>
            </w:tcBorders>
            <w:tcMar>
              <w:top w:w="60" w:type="dxa"/>
              <w:left w:w="100" w:type="dxa"/>
              <w:bottom w:w="60" w:type="dxa"/>
              <w:right w:w="100" w:type="dxa"/>
            </w:tcMar>
          </w:tcPr>
          <w:p w14:paraId="38659111">
            <w:pPr>
              <w:jc w:val="both"/>
            </w:pPr>
            <w:r>
              <w:rPr>
                <w:rFonts w:ascii="Times New Roman" w:hAnsi="Times New Roman" w:eastAsia="Times New Roman" w:cs="Times New Roman"/>
                <w:i w:val="0"/>
                <w:iCs w:val="0"/>
                <w:sz w:val="20"/>
                <w:szCs w:val="20"/>
              </w:rPr>
              <w:t>World Bank WDI</w:t>
            </w:r>
          </w:p>
        </w:tc>
      </w:tr>
      <w:tr w14:paraId="0CEA4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60" w:type="dxa"/>
              <w:left w:w="100" w:type="dxa"/>
              <w:bottom w:w="60" w:type="dxa"/>
              <w:right w:w="100" w:type="dxa"/>
            </w:tcMar>
          </w:tcPr>
          <w:p w14:paraId="5D508029">
            <w:pPr>
              <w:jc w:val="both"/>
            </w:pPr>
            <w:r>
              <w:rPr>
                <w:rFonts w:ascii="Times New Roman" w:hAnsi="Times New Roman" w:eastAsia="Times New Roman" w:cs="Times New Roman"/>
                <w:i w:val="0"/>
                <w:iCs w:val="0"/>
                <w:sz w:val="20"/>
                <w:szCs w:val="20"/>
              </w:rPr>
              <w:t>Poverty Headcount, National Line (%)</w:t>
            </w:r>
          </w:p>
        </w:tc>
        <w:tc>
          <w:tcPr>
            <w:tcW w:w="700" w:type="dxa"/>
            <w:tcBorders>
              <w:top w:val="nil"/>
              <w:left w:val="nil"/>
              <w:bottom w:val="nil"/>
              <w:right w:val="nil"/>
            </w:tcBorders>
            <w:tcMar>
              <w:top w:w="60" w:type="dxa"/>
              <w:left w:w="100" w:type="dxa"/>
              <w:bottom w:w="60" w:type="dxa"/>
              <w:right w:w="100" w:type="dxa"/>
            </w:tcMar>
          </w:tcPr>
          <w:p w14:paraId="5F3E3F92">
            <w:pPr>
              <w:jc w:val="both"/>
            </w:pPr>
            <w:r>
              <w:rPr>
                <w:rFonts w:ascii="Times New Roman" w:hAnsi="Times New Roman" w:eastAsia="Times New Roman" w:cs="Times New Roman"/>
                <w:i w:val="0"/>
                <w:iCs w:val="0"/>
                <w:sz w:val="20"/>
                <w:szCs w:val="20"/>
              </w:rPr>
              <w:t>1,236</w:t>
            </w:r>
          </w:p>
        </w:tc>
        <w:tc>
          <w:tcPr>
            <w:tcW w:w="900" w:type="dxa"/>
            <w:tcBorders>
              <w:top w:val="nil"/>
              <w:left w:val="nil"/>
              <w:bottom w:val="nil"/>
              <w:right w:val="nil"/>
            </w:tcBorders>
            <w:tcMar>
              <w:top w:w="60" w:type="dxa"/>
              <w:left w:w="100" w:type="dxa"/>
              <w:bottom w:w="60" w:type="dxa"/>
              <w:right w:w="100" w:type="dxa"/>
            </w:tcMar>
          </w:tcPr>
          <w:p w14:paraId="4ADAF28E">
            <w:pPr>
              <w:jc w:val="both"/>
            </w:pPr>
            <w:r>
              <w:rPr>
                <w:rFonts w:ascii="Times New Roman" w:hAnsi="Times New Roman" w:eastAsia="Times New Roman" w:cs="Times New Roman"/>
                <w:i w:val="0"/>
                <w:iCs w:val="0"/>
                <w:sz w:val="20"/>
                <w:szCs w:val="20"/>
              </w:rPr>
              <w:t>26.06</w:t>
            </w:r>
          </w:p>
        </w:tc>
        <w:tc>
          <w:tcPr>
            <w:tcW w:w="900" w:type="dxa"/>
            <w:tcBorders>
              <w:top w:val="nil"/>
              <w:left w:val="nil"/>
              <w:bottom w:val="nil"/>
              <w:right w:val="nil"/>
            </w:tcBorders>
            <w:tcMar>
              <w:top w:w="60" w:type="dxa"/>
              <w:left w:w="100" w:type="dxa"/>
              <w:bottom w:w="60" w:type="dxa"/>
              <w:right w:w="100" w:type="dxa"/>
            </w:tcMar>
          </w:tcPr>
          <w:p w14:paraId="0BF59996">
            <w:pPr>
              <w:jc w:val="both"/>
            </w:pPr>
            <w:r>
              <w:rPr>
                <w:rFonts w:ascii="Times New Roman" w:hAnsi="Times New Roman" w:eastAsia="Times New Roman" w:cs="Times New Roman"/>
                <w:i w:val="0"/>
                <w:iCs w:val="0"/>
                <w:sz w:val="20"/>
                <w:szCs w:val="20"/>
              </w:rPr>
              <w:t>7.75</w:t>
            </w:r>
          </w:p>
        </w:tc>
        <w:tc>
          <w:tcPr>
            <w:tcW w:w="900" w:type="dxa"/>
            <w:tcBorders>
              <w:top w:val="nil"/>
              <w:left w:val="nil"/>
              <w:bottom w:val="nil"/>
              <w:right w:val="nil"/>
            </w:tcBorders>
            <w:tcMar>
              <w:top w:w="60" w:type="dxa"/>
              <w:left w:w="100" w:type="dxa"/>
              <w:bottom w:w="60" w:type="dxa"/>
              <w:right w:w="100" w:type="dxa"/>
            </w:tcMar>
          </w:tcPr>
          <w:p w14:paraId="33DA6B81">
            <w:pPr>
              <w:jc w:val="both"/>
            </w:pPr>
            <w:r>
              <w:rPr>
                <w:rFonts w:ascii="Times New Roman" w:hAnsi="Times New Roman" w:eastAsia="Times New Roman" w:cs="Times New Roman"/>
                <w:i w:val="0"/>
                <w:iCs w:val="0"/>
                <w:sz w:val="20"/>
                <w:szCs w:val="20"/>
              </w:rPr>
              <w:t>21.90</w:t>
            </w:r>
          </w:p>
        </w:tc>
        <w:tc>
          <w:tcPr>
            <w:tcW w:w="900" w:type="dxa"/>
            <w:tcBorders>
              <w:top w:val="nil"/>
              <w:left w:val="nil"/>
              <w:bottom w:val="nil"/>
              <w:right w:val="nil"/>
            </w:tcBorders>
            <w:tcMar>
              <w:top w:w="60" w:type="dxa"/>
              <w:left w:w="100" w:type="dxa"/>
              <w:bottom w:w="60" w:type="dxa"/>
              <w:right w:w="100" w:type="dxa"/>
            </w:tcMar>
          </w:tcPr>
          <w:p w14:paraId="3E17714E">
            <w:pPr>
              <w:jc w:val="both"/>
            </w:pPr>
            <w:r>
              <w:rPr>
                <w:rFonts w:ascii="Times New Roman" w:hAnsi="Times New Roman" w:eastAsia="Times New Roman" w:cs="Times New Roman"/>
                <w:i w:val="0"/>
                <w:iCs w:val="0"/>
                <w:sz w:val="20"/>
                <w:szCs w:val="20"/>
              </w:rPr>
              <w:t>23.90</w:t>
            </w:r>
          </w:p>
        </w:tc>
        <w:tc>
          <w:tcPr>
            <w:tcW w:w="900" w:type="dxa"/>
            <w:tcBorders>
              <w:top w:val="nil"/>
              <w:left w:val="nil"/>
              <w:bottom w:val="nil"/>
              <w:right w:val="nil"/>
            </w:tcBorders>
            <w:tcMar>
              <w:top w:w="60" w:type="dxa"/>
              <w:left w:w="100" w:type="dxa"/>
              <w:bottom w:w="60" w:type="dxa"/>
              <w:right w:w="100" w:type="dxa"/>
            </w:tcMar>
          </w:tcPr>
          <w:p w14:paraId="11834365">
            <w:pPr>
              <w:jc w:val="both"/>
            </w:pPr>
            <w:r>
              <w:rPr>
                <w:rFonts w:ascii="Times New Roman" w:hAnsi="Times New Roman" w:eastAsia="Times New Roman" w:cs="Times New Roman"/>
                <w:i w:val="0"/>
                <w:iCs w:val="0"/>
                <w:sz w:val="20"/>
                <w:szCs w:val="20"/>
              </w:rPr>
              <w:t>28.90</w:t>
            </w:r>
          </w:p>
        </w:tc>
        <w:tc>
          <w:tcPr>
            <w:tcW w:w="960" w:type="dxa"/>
            <w:tcBorders>
              <w:top w:val="nil"/>
              <w:left w:val="nil"/>
              <w:bottom w:val="nil"/>
              <w:right w:val="nil"/>
            </w:tcBorders>
            <w:tcMar>
              <w:top w:w="60" w:type="dxa"/>
              <w:left w:w="100" w:type="dxa"/>
              <w:bottom w:w="60" w:type="dxa"/>
              <w:right w:w="100" w:type="dxa"/>
            </w:tcMar>
          </w:tcPr>
          <w:p w14:paraId="65EC8E1F">
            <w:pPr>
              <w:jc w:val="both"/>
            </w:pPr>
            <w:r>
              <w:rPr>
                <w:rFonts w:ascii="Times New Roman" w:hAnsi="Times New Roman" w:eastAsia="Times New Roman" w:cs="Times New Roman"/>
                <w:i w:val="0"/>
                <w:iCs w:val="0"/>
                <w:sz w:val="20"/>
                <w:szCs w:val="20"/>
              </w:rPr>
              <w:t>World Bank WDI</w:t>
            </w:r>
          </w:p>
        </w:tc>
      </w:tr>
    </w:tbl>
    <w:p w14:paraId="4B147B2A">
      <w:pPr>
        <w:spacing w:before="60" w:after="100"/>
        <w:jc w:val="both"/>
      </w:pPr>
      <w:r>
        <w:rPr>
          <w:rFonts w:ascii="Times New Roman" w:hAnsi="Times New Roman" w:eastAsia="Times New Roman" w:cs="Times New Roman"/>
          <w:b/>
          <w:bCs/>
          <w:i/>
          <w:iCs/>
          <w:sz w:val="24"/>
          <w:szCs w:val="24"/>
        </w:rPr>
        <w:t xml:space="preserve">Notes: </w:t>
      </w:r>
      <w:r>
        <w:rPr>
          <w:rFonts w:ascii="Times New Roman" w:hAnsi="Times New Roman" w:eastAsia="Times New Roman" w:cs="Times New Roman"/>
          <w:i/>
          <w:iCs/>
          <w:sz w:val="24"/>
          <w:szCs w:val="24"/>
        </w:rPr>
        <w:t>Sample: 1,771 MFI-year observations from 205 MFIs across 43 countries, 2010–2018. All continuous variables winsorised at 1st and 99th percentiles. Climate Stress Index is the first principal component of CO2, Agricultural Methane, and Rural Population, explaining 54.1% of variance; standardised to mean 0 and SD 1. WGI estimates are unstandardised (scale approximately −2.5 to +2.5). GFD = Global Financial Development database.</w:t>
      </w:r>
    </w:p>
    <w:p w14:paraId="14F925E3">
      <w:pPr>
        <w:spacing w:after="100"/>
        <w:jc w:val="both"/>
      </w:pPr>
    </w:p>
    <w:p w14:paraId="35BC2BBF">
      <w:pPr>
        <w:spacing w:after="180" w:line="360" w:lineRule="auto"/>
        <w:jc w:val="both"/>
      </w:pPr>
      <w:r>
        <w:rPr>
          <w:rFonts w:ascii="Times New Roman" w:hAnsi="Times New Roman" w:eastAsia="Times New Roman" w:cs="Times New Roman"/>
          <w:b/>
          <w:bCs/>
          <w:sz w:val="24"/>
          <w:szCs w:val="24"/>
        </w:rPr>
        <w:t>Table 2: Correlation Matrix</w:t>
      </w:r>
      <w:r>
        <w:rPr>
          <w:rFonts w:ascii="Times New Roman" w:hAnsi="Times New Roman" w:eastAsia="Times New Roman" w:cs="Times New Roman"/>
          <w:sz w:val="24"/>
          <w:szCs w:val="24"/>
        </w:rPr>
        <w:t xml:space="preserve"> (full estimation sample, N = 1,771):</w:t>
      </w:r>
    </w:p>
    <w:p w14:paraId="65E62EA4">
      <w:pPr>
        <w:spacing w:before="120" w:after="80"/>
        <w:jc w:val="both"/>
      </w:pPr>
      <w:r>
        <w:rPr>
          <w:rFonts w:ascii="Times New Roman" w:hAnsi="Times New Roman" w:eastAsia="Times New Roman" w:cs="Times New Roman"/>
          <w:b/>
          <w:bCs/>
          <w:sz w:val="24"/>
          <w:szCs w:val="24"/>
        </w:rPr>
        <w:t>Table 2: Correlation Matrix</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78"/>
        <w:gridCol w:w="1035"/>
        <w:gridCol w:w="1035"/>
        <w:gridCol w:w="1035"/>
        <w:gridCol w:w="1035"/>
        <w:gridCol w:w="1035"/>
        <w:gridCol w:w="1035"/>
        <w:gridCol w:w="1036"/>
        <w:gridCol w:w="1036"/>
      </w:tblGrid>
      <w:tr w14:paraId="3F898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40" w:type="dxa"/>
            <w:tcBorders>
              <w:top w:val="single" w:color="000000" w:sz="8" w:space="0"/>
              <w:left w:val="nil"/>
              <w:bottom w:val="single" w:color="AAAAAA" w:sz="0" w:space="0"/>
              <w:right w:val="nil"/>
            </w:tcBorders>
            <w:shd w:val="clear" w:color="auto" w:fill="E8E8E8"/>
            <w:tcMar>
              <w:top w:w="80" w:type="dxa"/>
              <w:left w:w="100" w:type="dxa"/>
              <w:bottom w:w="80" w:type="dxa"/>
              <w:right w:w="100" w:type="dxa"/>
            </w:tcMar>
          </w:tcPr>
          <w:p w14:paraId="4B0F5257">
            <w:pPr>
              <w:jc w:val="both"/>
            </w:pPr>
          </w:p>
        </w:tc>
        <w:tc>
          <w:tcPr>
            <w:tcW w:w="1040" w:type="dxa"/>
            <w:tcBorders>
              <w:top w:val="single" w:color="000000" w:sz="8" w:space="0"/>
              <w:left w:val="nil"/>
              <w:bottom w:val="single" w:color="AAAAAA" w:sz="0" w:space="0"/>
              <w:right w:val="nil"/>
            </w:tcBorders>
            <w:shd w:val="clear" w:color="auto" w:fill="E8E8E8"/>
            <w:tcMar>
              <w:top w:w="80" w:type="dxa"/>
              <w:left w:w="100" w:type="dxa"/>
              <w:bottom w:w="80" w:type="dxa"/>
              <w:right w:w="100" w:type="dxa"/>
            </w:tcMar>
          </w:tcPr>
          <w:p w14:paraId="08E123AD">
            <w:pPr>
              <w:jc w:val="both"/>
            </w:pPr>
            <w:r>
              <w:rPr>
                <w:rFonts w:ascii="Times New Roman" w:hAnsi="Times New Roman" w:eastAsia="Times New Roman" w:cs="Times New Roman"/>
                <w:b/>
                <w:bCs/>
                <w:sz w:val="20"/>
                <w:szCs w:val="20"/>
              </w:rPr>
              <w:t>(1)</w:t>
            </w:r>
          </w:p>
        </w:tc>
        <w:tc>
          <w:tcPr>
            <w:tcW w:w="1040" w:type="dxa"/>
            <w:tcBorders>
              <w:top w:val="single" w:color="000000" w:sz="8" w:space="0"/>
              <w:left w:val="nil"/>
              <w:bottom w:val="single" w:color="AAAAAA" w:sz="0" w:space="0"/>
              <w:right w:val="nil"/>
            </w:tcBorders>
            <w:shd w:val="clear" w:color="auto" w:fill="E8E8E8"/>
            <w:tcMar>
              <w:top w:w="80" w:type="dxa"/>
              <w:left w:w="100" w:type="dxa"/>
              <w:bottom w:w="80" w:type="dxa"/>
              <w:right w:w="100" w:type="dxa"/>
            </w:tcMar>
          </w:tcPr>
          <w:p w14:paraId="51577EA0">
            <w:pPr>
              <w:jc w:val="both"/>
            </w:pPr>
            <w:r>
              <w:rPr>
                <w:rFonts w:ascii="Times New Roman" w:hAnsi="Times New Roman" w:eastAsia="Times New Roman" w:cs="Times New Roman"/>
                <w:b/>
                <w:bCs/>
                <w:sz w:val="20"/>
                <w:szCs w:val="20"/>
              </w:rPr>
              <w:t>(2)</w:t>
            </w:r>
          </w:p>
        </w:tc>
        <w:tc>
          <w:tcPr>
            <w:tcW w:w="1040" w:type="dxa"/>
            <w:tcBorders>
              <w:top w:val="single" w:color="000000" w:sz="8" w:space="0"/>
              <w:left w:val="nil"/>
              <w:bottom w:val="single" w:color="AAAAAA" w:sz="0" w:space="0"/>
              <w:right w:val="nil"/>
            </w:tcBorders>
            <w:shd w:val="clear" w:color="auto" w:fill="E8E8E8"/>
            <w:tcMar>
              <w:top w:w="80" w:type="dxa"/>
              <w:left w:w="100" w:type="dxa"/>
              <w:bottom w:w="80" w:type="dxa"/>
              <w:right w:w="100" w:type="dxa"/>
            </w:tcMar>
          </w:tcPr>
          <w:p w14:paraId="1F0EB6C3">
            <w:pPr>
              <w:jc w:val="both"/>
            </w:pPr>
            <w:r>
              <w:rPr>
                <w:rFonts w:ascii="Times New Roman" w:hAnsi="Times New Roman" w:eastAsia="Times New Roman" w:cs="Times New Roman"/>
                <w:b/>
                <w:bCs/>
                <w:sz w:val="20"/>
                <w:szCs w:val="20"/>
              </w:rPr>
              <w:t>(3)</w:t>
            </w:r>
          </w:p>
        </w:tc>
        <w:tc>
          <w:tcPr>
            <w:tcW w:w="1040" w:type="dxa"/>
            <w:tcBorders>
              <w:top w:val="single" w:color="000000" w:sz="8" w:space="0"/>
              <w:left w:val="nil"/>
              <w:bottom w:val="single" w:color="AAAAAA" w:sz="0" w:space="0"/>
              <w:right w:val="nil"/>
            </w:tcBorders>
            <w:shd w:val="clear" w:color="auto" w:fill="E8E8E8"/>
            <w:tcMar>
              <w:top w:w="80" w:type="dxa"/>
              <w:left w:w="100" w:type="dxa"/>
              <w:bottom w:w="80" w:type="dxa"/>
              <w:right w:w="100" w:type="dxa"/>
            </w:tcMar>
          </w:tcPr>
          <w:p w14:paraId="65ADEE9E">
            <w:pPr>
              <w:jc w:val="both"/>
            </w:pPr>
            <w:r>
              <w:rPr>
                <w:rFonts w:ascii="Times New Roman" w:hAnsi="Times New Roman" w:eastAsia="Times New Roman" w:cs="Times New Roman"/>
                <w:b/>
                <w:bCs/>
                <w:sz w:val="20"/>
                <w:szCs w:val="20"/>
              </w:rPr>
              <w:t>(4)</w:t>
            </w:r>
          </w:p>
        </w:tc>
        <w:tc>
          <w:tcPr>
            <w:tcW w:w="1040" w:type="dxa"/>
            <w:tcBorders>
              <w:top w:val="single" w:color="000000" w:sz="8" w:space="0"/>
              <w:left w:val="nil"/>
              <w:bottom w:val="single" w:color="AAAAAA" w:sz="0" w:space="0"/>
              <w:right w:val="nil"/>
            </w:tcBorders>
            <w:shd w:val="clear" w:color="auto" w:fill="E8E8E8"/>
            <w:tcMar>
              <w:top w:w="80" w:type="dxa"/>
              <w:left w:w="100" w:type="dxa"/>
              <w:bottom w:w="80" w:type="dxa"/>
              <w:right w:w="100" w:type="dxa"/>
            </w:tcMar>
          </w:tcPr>
          <w:p w14:paraId="03F74E06">
            <w:pPr>
              <w:jc w:val="both"/>
            </w:pPr>
            <w:r>
              <w:rPr>
                <w:rFonts w:ascii="Times New Roman" w:hAnsi="Times New Roman" w:eastAsia="Times New Roman" w:cs="Times New Roman"/>
                <w:b/>
                <w:bCs/>
                <w:sz w:val="20"/>
                <w:szCs w:val="20"/>
              </w:rPr>
              <w:t>(5)</w:t>
            </w:r>
          </w:p>
        </w:tc>
        <w:tc>
          <w:tcPr>
            <w:tcW w:w="1040" w:type="dxa"/>
            <w:tcBorders>
              <w:top w:val="single" w:color="000000" w:sz="8" w:space="0"/>
              <w:left w:val="nil"/>
              <w:bottom w:val="single" w:color="AAAAAA" w:sz="0" w:space="0"/>
              <w:right w:val="nil"/>
            </w:tcBorders>
            <w:shd w:val="clear" w:color="auto" w:fill="E8E8E8"/>
            <w:tcMar>
              <w:top w:w="80" w:type="dxa"/>
              <w:left w:w="100" w:type="dxa"/>
              <w:bottom w:w="80" w:type="dxa"/>
              <w:right w:w="100" w:type="dxa"/>
            </w:tcMar>
          </w:tcPr>
          <w:p w14:paraId="009B08C8">
            <w:pPr>
              <w:jc w:val="both"/>
            </w:pPr>
            <w:r>
              <w:rPr>
                <w:rFonts w:ascii="Times New Roman" w:hAnsi="Times New Roman" w:eastAsia="Times New Roman" w:cs="Times New Roman"/>
                <w:b/>
                <w:bCs/>
                <w:sz w:val="20"/>
                <w:szCs w:val="20"/>
              </w:rPr>
              <w:t>(6)</w:t>
            </w:r>
          </w:p>
        </w:tc>
        <w:tc>
          <w:tcPr>
            <w:tcW w:w="1040" w:type="dxa"/>
            <w:tcBorders>
              <w:top w:val="single" w:color="000000" w:sz="8" w:space="0"/>
              <w:left w:val="nil"/>
              <w:bottom w:val="single" w:color="AAAAAA" w:sz="0" w:space="0"/>
              <w:right w:val="nil"/>
            </w:tcBorders>
            <w:shd w:val="clear" w:color="auto" w:fill="E8E8E8"/>
            <w:tcMar>
              <w:top w:w="80" w:type="dxa"/>
              <w:left w:w="100" w:type="dxa"/>
              <w:bottom w:w="80" w:type="dxa"/>
              <w:right w:w="100" w:type="dxa"/>
            </w:tcMar>
          </w:tcPr>
          <w:p w14:paraId="266663E7">
            <w:pPr>
              <w:jc w:val="both"/>
            </w:pPr>
            <w:r>
              <w:rPr>
                <w:rFonts w:ascii="Times New Roman" w:hAnsi="Times New Roman" w:eastAsia="Times New Roman" w:cs="Times New Roman"/>
                <w:b/>
                <w:bCs/>
                <w:sz w:val="20"/>
                <w:szCs w:val="20"/>
              </w:rPr>
              <w:t>(7)</w:t>
            </w:r>
          </w:p>
        </w:tc>
        <w:tc>
          <w:tcPr>
            <w:tcW w:w="1040" w:type="dxa"/>
            <w:tcBorders>
              <w:top w:val="single" w:color="000000" w:sz="8" w:space="0"/>
              <w:left w:val="nil"/>
              <w:bottom w:val="single" w:color="AAAAAA" w:sz="0" w:space="0"/>
              <w:right w:val="nil"/>
            </w:tcBorders>
            <w:shd w:val="clear" w:color="auto" w:fill="E8E8E8"/>
            <w:tcMar>
              <w:top w:w="80" w:type="dxa"/>
              <w:left w:w="100" w:type="dxa"/>
              <w:bottom w:w="80" w:type="dxa"/>
              <w:right w:w="100" w:type="dxa"/>
            </w:tcMar>
          </w:tcPr>
          <w:p w14:paraId="01C30091">
            <w:pPr>
              <w:jc w:val="both"/>
            </w:pPr>
            <w:r>
              <w:rPr>
                <w:rFonts w:ascii="Times New Roman" w:hAnsi="Times New Roman" w:eastAsia="Times New Roman" w:cs="Times New Roman"/>
                <w:b/>
                <w:bCs/>
                <w:sz w:val="20"/>
                <w:szCs w:val="20"/>
              </w:rPr>
              <w:t>(8)</w:t>
            </w:r>
          </w:p>
        </w:tc>
      </w:tr>
      <w:tr w14:paraId="7C6A9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nil"/>
              <w:left w:val="nil"/>
              <w:bottom w:val="nil"/>
              <w:right w:val="nil"/>
            </w:tcBorders>
            <w:tcMar>
              <w:top w:w="60" w:type="dxa"/>
              <w:left w:w="100" w:type="dxa"/>
              <w:bottom w:w="60" w:type="dxa"/>
              <w:right w:w="100" w:type="dxa"/>
            </w:tcMar>
          </w:tcPr>
          <w:p w14:paraId="06A3A554">
            <w:pPr>
              <w:jc w:val="both"/>
            </w:pPr>
            <w:r>
              <w:rPr>
                <w:rFonts w:ascii="Times New Roman" w:hAnsi="Times New Roman" w:eastAsia="Times New Roman" w:cs="Times New Roman"/>
                <w:i w:val="0"/>
                <w:iCs w:val="0"/>
                <w:sz w:val="20"/>
                <w:szCs w:val="20"/>
              </w:rPr>
              <w:t>(1) Prov/NPL</w:t>
            </w:r>
          </w:p>
        </w:tc>
        <w:tc>
          <w:tcPr>
            <w:tcW w:w="1040" w:type="dxa"/>
            <w:tcBorders>
              <w:top w:val="nil"/>
              <w:left w:val="nil"/>
              <w:bottom w:val="nil"/>
              <w:right w:val="nil"/>
            </w:tcBorders>
            <w:tcMar>
              <w:top w:w="60" w:type="dxa"/>
              <w:left w:w="100" w:type="dxa"/>
              <w:bottom w:w="60" w:type="dxa"/>
              <w:right w:w="100" w:type="dxa"/>
            </w:tcMar>
          </w:tcPr>
          <w:p w14:paraId="43925646">
            <w:pPr>
              <w:jc w:val="both"/>
            </w:pPr>
            <w:r>
              <w:rPr>
                <w:rFonts w:ascii="Times New Roman" w:hAnsi="Times New Roman" w:eastAsia="Times New Roman" w:cs="Times New Roman"/>
                <w:i w:val="0"/>
                <w:iCs w:val="0"/>
                <w:sz w:val="20"/>
                <w:szCs w:val="20"/>
              </w:rPr>
              <w:t>1.000</w:t>
            </w:r>
          </w:p>
        </w:tc>
        <w:tc>
          <w:tcPr>
            <w:tcW w:w="1040" w:type="dxa"/>
            <w:tcBorders>
              <w:top w:val="nil"/>
              <w:left w:val="nil"/>
              <w:bottom w:val="nil"/>
              <w:right w:val="nil"/>
            </w:tcBorders>
            <w:tcMar>
              <w:top w:w="60" w:type="dxa"/>
              <w:left w:w="100" w:type="dxa"/>
              <w:bottom w:w="60" w:type="dxa"/>
              <w:right w:w="100" w:type="dxa"/>
            </w:tcMar>
          </w:tcPr>
          <w:p w14:paraId="6A0BC563">
            <w:pPr>
              <w:jc w:val="both"/>
            </w:pPr>
          </w:p>
        </w:tc>
        <w:tc>
          <w:tcPr>
            <w:tcW w:w="1040" w:type="dxa"/>
            <w:tcBorders>
              <w:top w:val="nil"/>
              <w:left w:val="nil"/>
              <w:bottom w:val="nil"/>
              <w:right w:val="nil"/>
            </w:tcBorders>
            <w:tcMar>
              <w:top w:w="60" w:type="dxa"/>
              <w:left w:w="100" w:type="dxa"/>
              <w:bottom w:w="60" w:type="dxa"/>
              <w:right w:w="100" w:type="dxa"/>
            </w:tcMar>
          </w:tcPr>
          <w:p w14:paraId="76F07C5B">
            <w:pPr>
              <w:jc w:val="both"/>
            </w:pPr>
          </w:p>
        </w:tc>
        <w:tc>
          <w:tcPr>
            <w:tcW w:w="1040" w:type="dxa"/>
            <w:tcBorders>
              <w:top w:val="nil"/>
              <w:left w:val="nil"/>
              <w:bottom w:val="nil"/>
              <w:right w:val="nil"/>
            </w:tcBorders>
            <w:tcMar>
              <w:top w:w="60" w:type="dxa"/>
              <w:left w:w="100" w:type="dxa"/>
              <w:bottom w:w="60" w:type="dxa"/>
              <w:right w:w="100" w:type="dxa"/>
            </w:tcMar>
          </w:tcPr>
          <w:p w14:paraId="3654D529">
            <w:pPr>
              <w:jc w:val="both"/>
            </w:pPr>
          </w:p>
        </w:tc>
        <w:tc>
          <w:tcPr>
            <w:tcW w:w="1040" w:type="dxa"/>
            <w:tcBorders>
              <w:top w:val="nil"/>
              <w:left w:val="nil"/>
              <w:bottom w:val="nil"/>
              <w:right w:val="nil"/>
            </w:tcBorders>
            <w:tcMar>
              <w:top w:w="60" w:type="dxa"/>
              <w:left w:w="100" w:type="dxa"/>
              <w:bottom w:w="60" w:type="dxa"/>
              <w:right w:w="100" w:type="dxa"/>
            </w:tcMar>
          </w:tcPr>
          <w:p w14:paraId="2E8D6044">
            <w:pPr>
              <w:jc w:val="both"/>
            </w:pPr>
          </w:p>
        </w:tc>
        <w:tc>
          <w:tcPr>
            <w:tcW w:w="1040" w:type="dxa"/>
            <w:tcBorders>
              <w:top w:val="nil"/>
              <w:left w:val="nil"/>
              <w:bottom w:val="nil"/>
              <w:right w:val="nil"/>
            </w:tcBorders>
            <w:tcMar>
              <w:top w:w="60" w:type="dxa"/>
              <w:left w:w="100" w:type="dxa"/>
              <w:bottom w:w="60" w:type="dxa"/>
              <w:right w:w="100" w:type="dxa"/>
            </w:tcMar>
          </w:tcPr>
          <w:p w14:paraId="67557CD1">
            <w:pPr>
              <w:jc w:val="both"/>
            </w:pPr>
          </w:p>
        </w:tc>
        <w:tc>
          <w:tcPr>
            <w:tcW w:w="1040" w:type="dxa"/>
            <w:tcBorders>
              <w:top w:val="nil"/>
              <w:left w:val="nil"/>
              <w:bottom w:val="nil"/>
              <w:right w:val="nil"/>
            </w:tcBorders>
            <w:tcMar>
              <w:top w:w="60" w:type="dxa"/>
              <w:left w:w="100" w:type="dxa"/>
              <w:bottom w:w="60" w:type="dxa"/>
              <w:right w:w="100" w:type="dxa"/>
            </w:tcMar>
          </w:tcPr>
          <w:p w14:paraId="106CCA23">
            <w:pPr>
              <w:jc w:val="both"/>
            </w:pPr>
          </w:p>
        </w:tc>
        <w:tc>
          <w:tcPr>
            <w:tcW w:w="1040" w:type="dxa"/>
            <w:tcBorders>
              <w:top w:val="nil"/>
              <w:left w:val="nil"/>
              <w:bottom w:val="nil"/>
              <w:right w:val="nil"/>
            </w:tcBorders>
            <w:tcMar>
              <w:top w:w="60" w:type="dxa"/>
              <w:left w:w="100" w:type="dxa"/>
              <w:bottom w:w="60" w:type="dxa"/>
              <w:right w:w="100" w:type="dxa"/>
            </w:tcMar>
          </w:tcPr>
          <w:p w14:paraId="5E16A0D1">
            <w:pPr>
              <w:jc w:val="both"/>
            </w:pPr>
          </w:p>
        </w:tc>
      </w:tr>
      <w:tr w14:paraId="0D1E7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nil"/>
              <w:left w:val="nil"/>
              <w:bottom w:val="nil"/>
              <w:right w:val="nil"/>
            </w:tcBorders>
            <w:tcMar>
              <w:top w:w="60" w:type="dxa"/>
              <w:left w:w="100" w:type="dxa"/>
              <w:bottom w:w="60" w:type="dxa"/>
              <w:right w:w="100" w:type="dxa"/>
            </w:tcMar>
          </w:tcPr>
          <w:p w14:paraId="08FF2A82">
            <w:pPr>
              <w:jc w:val="both"/>
            </w:pPr>
            <w:r>
              <w:rPr>
                <w:rFonts w:ascii="Times New Roman" w:hAnsi="Times New Roman" w:eastAsia="Times New Roman" w:cs="Times New Roman"/>
                <w:i w:val="0"/>
                <w:iCs w:val="0"/>
                <w:sz w:val="20"/>
                <w:szCs w:val="20"/>
              </w:rPr>
              <w:t>(2) ClimStress</w:t>
            </w:r>
          </w:p>
        </w:tc>
        <w:tc>
          <w:tcPr>
            <w:tcW w:w="1040" w:type="dxa"/>
            <w:tcBorders>
              <w:top w:val="nil"/>
              <w:left w:val="nil"/>
              <w:bottom w:val="nil"/>
              <w:right w:val="nil"/>
            </w:tcBorders>
            <w:tcMar>
              <w:top w:w="60" w:type="dxa"/>
              <w:left w:w="100" w:type="dxa"/>
              <w:bottom w:w="60" w:type="dxa"/>
              <w:right w:w="100" w:type="dxa"/>
            </w:tcMar>
          </w:tcPr>
          <w:p w14:paraId="46B6593F">
            <w:pPr>
              <w:jc w:val="both"/>
            </w:pPr>
            <w:r>
              <w:rPr>
                <w:rFonts w:ascii="Times New Roman" w:hAnsi="Times New Roman" w:eastAsia="Times New Roman" w:cs="Times New Roman"/>
                <w:i w:val="0"/>
                <w:iCs w:val="0"/>
                <w:sz w:val="20"/>
                <w:szCs w:val="20"/>
              </w:rPr>
              <w:t>0.116</w:t>
            </w:r>
          </w:p>
        </w:tc>
        <w:tc>
          <w:tcPr>
            <w:tcW w:w="1040" w:type="dxa"/>
            <w:tcBorders>
              <w:top w:val="nil"/>
              <w:left w:val="nil"/>
              <w:bottom w:val="nil"/>
              <w:right w:val="nil"/>
            </w:tcBorders>
            <w:tcMar>
              <w:top w:w="60" w:type="dxa"/>
              <w:left w:w="100" w:type="dxa"/>
              <w:bottom w:w="60" w:type="dxa"/>
              <w:right w:w="100" w:type="dxa"/>
            </w:tcMar>
          </w:tcPr>
          <w:p w14:paraId="18F9555C">
            <w:pPr>
              <w:jc w:val="both"/>
            </w:pPr>
            <w:r>
              <w:rPr>
                <w:rFonts w:ascii="Times New Roman" w:hAnsi="Times New Roman" w:eastAsia="Times New Roman" w:cs="Times New Roman"/>
                <w:i w:val="0"/>
                <w:iCs w:val="0"/>
                <w:sz w:val="20"/>
                <w:szCs w:val="20"/>
              </w:rPr>
              <w:t>1.000</w:t>
            </w:r>
          </w:p>
        </w:tc>
        <w:tc>
          <w:tcPr>
            <w:tcW w:w="1040" w:type="dxa"/>
            <w:tcBorders>
              <w:top w:val="nil"/>
              <w:left w:val="nil"/>
              <w:bottom w:val="nil"/>
              <w:right w:val="nil"/>
            </w:tcBorders>
            <w:tcMar>
              <w:top w:w="60" w:type="dxa"/>
              <w:left w:w="100" w:type="dxa"/>
              <w:bottom w:w="60" w:type="dxa"/>
              <w:right w:w="100" w:type="dxa"/>
            </w:tcMar>
          </w:tcPr>
          <w:p w14:paraId="78FCF955">
            <w:pPr>
              <w:jc w:val="both"/>
            </w:pPr>
          </w:p>
        </w:tc>
        <w:tc>
          <w:tcPr>
            <w:tcW w:w="1040" w:type="dxa"/>
            <w:tcBorders>
              <w:top w:val="nil"/>
              <w:left w:val="nil"/>
              <w:bottom w:val="nil"/>
              <w:right w:val="nil"/>
            </w:tcBorders>
            <w:tcMar>
              <w:top w:w="60" w:type="dxa"/>
              <w:left w:w="100" w:type="dxa"/>
              <w:bottom w:w="60" w:type="dxa"/>
              <w:right w:w="100" w:type="dxa"/>
            </w:tcMar>
          </w:tcPr>
          <w:p w14:paraId="55D95517">
            <w:pPr>
              <w:jc w:val="both"/>
            </w:pPr>
          </w:p>
        </w:tc>
        <w:tc>
          <w:tcPr>
            <w:tcW w:w="1040" w:type="dxa"/>
            <w:tcBorders>
              <w:top w:val="nil"/>
              <w:left w:val="nil"/>
              <w:bottom w:val="nil"/>
              <w:right w:val="nil"/>
            </w:tcBorders>
            <w:tcMar>
              <w:top w:w="60" w:type="dxa"/>
              <w:left w:w="100" w:type="dxa"/>
              <w:bottom w:w="60" w:type="dxa"/>
              <w:right w:w="100" w:type="dxa"/>
            </w:tcMar>
          </w:tcPr>
          <w:p w14:paraId="52DD6BFB">
            <w:pPr>
              <w:jc w:val="both"/>
            </w:pPr>
          </w:p>
        </w:tc>
        <w:tc>
          <w:tcPr>
            <w:tcW w:w="1040" w:type="dxa"/>
            <w:tcBorders>
              <w:top w:val="nil"/>
              <w:left w:val="nil"/>
              <w:bottom w:val="nil"/>
              <w:right w:val="nil"/>
            </w:tcBorders>
            <w:tcMar>
              <w:top w:w="60" w:type="dxa"/>
              <w:left w:w="100" w:type="dxa"/>
              <w:bottom w:w="60" w:type="dxa"/>
              <w:right w:w="100" w:type="dxa"/>
            </w:tcMar>
          </w:tcPr>
          <w:p w14:paraId="4EBDD72F">
            <w:pPr>
              <w:jc w:val="both"/>
            </w:pPr>
          </w:p>
        </w:tc>
        <w:tc>
          <w:tcPr>
            <w:tcW w:w="1040" w:type="dxa"/>
            <w:tcBorders>
              <w:top w:val="nil"/>
              <w:left w:val="nil"/>
              <w:bottom w:val="nil"/>
              <w:right w:val="nil"/>
            </w:tcBorders>
            <w:tcMar>
              <w:top w:w="60" w:type="dxa"/>
              <w:left w:w="100" w:type="dxa"/>
              <w:bottom w:w="60" w:type="dxa"/>
              <w:right w:w="100" w:type="dxa"/>
            </w:tcMar>
          </w:tcPr>
          <w:p w14:paraId="23BBF52F">
            <w:pPr>
              <w:jc w:val="both"/>
            </w:pPr>
          </w:p>
        </w:tc>
        <w:tc>
          <w:tcPr>
            <w:tcW w:w="1040" w:type="dxa"/>
            <w:tcBorders>
              <w:top w:val="nil"/>
              <w:left w:val="nil"/>
              <w:bottom w:val="nil"/>
              <w:right w:val="nil"/>
            </w:tcBorders>
            <w:tcMar>
              <w:top w:w="60" w:type="dxa"/>
              <w:left w:w="100" w:type="dxa"/>
              <w:bottom w:w="60" w:type="dxa"/>
              <w:right w:w="100" w:type="dxa"/>
            </w:tcMar>
          </w:tcPr>
          <w:p w14:paraId="7B0EF9B0">
            <w:pPr>
              <w:jc w:val="both"/>
            </w:pPr>
          </w:p>
        </w:tc>
      </w:tr>
      <w:tr w14:paraId="61AD9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nil"/>
              <w:left w:val="nil"/>
              <w:bottom w:val="nil"/>
              <w:right w:val="nil"/>
            </w:tcBorders>
            <w:tcMar>
              <w:top w:w="60" w:type="dxa"/>
              <w:left w:w="100" w:type="dxa"/>
              <w:bottom w:w="60" w:type="dxa"/>
              <w:right w:w="100" w:type="dxa"/>
            </w:tcMar>
          </w:tcPr>
          <w:p w14:paraId="2F141ED0">
            <w:pPr>
              <w:jc w:val="both"/>
            </w:pPr>
            <w:r>
              <w:rPr>
                <w:rFonts w:ascii="Times New Roman" w:hAnsi="Times New Roman" w:eastAsia="Times New Roman" w:cs="Times New Roman"/>
                <w:i w:val="0"/>
                <w:iCs w:val="0"/>
                <w:sz w:val="20"/>
                <w:szCs w:val="20"/>
              </w:rPr>
              <w:t>(3) Rule of Law</w:t>
            </w:r>
          </w:p>
        </w:tc>
        <w:tc>
          <w:tcPr>
            <w:tcW w:w="1040" w:type="dxa"/>
            <w:tcBorders>
              <w:top w:val="nil"/>
              <w:left w:val="nil"/>
              <w:bottom w:val="nil"/>
              <w:right w:val="nil"/>
            </w:tcBorders>
            <w:tcMar>
              <w:top w:w="60" w:type="dxa"/>
              <w:left w:w="100" w:type="dxa"/>
              <w:bottom w:w="60" w:type="dxa"/>
              <w:right w:w="100" w:type="dxa"/>
            </w:tcMar>
          </w:tcPr>
          <w:p w14:paraId="6F99306A">
            <w:pPr>
              <w:jc w:val="both"/>
            </w:pPr>
            <w:r>
              <w:rPr>
                <w:rFonts w:ascii="Times New Roman" w:hAnsi="Times New Roman" w:eastAsia="Times New Roman" w:cs="Times New Roman"/>
                <w:i w:val="0"/>
                <w:iCs w:val="0"/>
                <w:sz w:val="20"/>
                <w:szCs w:val="20"/>
              </w:rPr>
              <w:t>0.148</w:t>
            </w:r>
          </w:p>
        </w:tc>
        <w:tc>
          <w:tcPr>
            <w:tcW w:w="1040" w:type="dxa"/>
            <w:tcBorders>
              <w:top w:val="nil"/>
              <w:left w:val="nil"/>
              <w:bottom w:val="nil"/>
              <w:right w:val="nil"/>
            </w:tcBorders>
            <w:tcMar>
              <w:top w:w="60" w:type="dxa"/>
              <w:left w:w="100" w:type="dxa"/>
              <w:bottom w:w="60" w:type="dxa"/>
              <w:right w:w="100" w:type="dxa"/>
            </w:tcMar>
          </w:tcPr>
          <w:p w14:paraId="0F2897AF">
            <w:pPr>
              <w:jc w:val="both"/>
            </w:pPr>
            <w:r>
              <w:rPr>
                <w:rFonts w:ascii="Times New Roman" w:hAnsi="Times New Roman" w:eastAsia="Times New Roman" w:cs="Times New Roman"/>
                <w:i w:val="0"/>
                <w:iCs w:val="0"/>
                <w:sz w:val="20"/>
                <w:szCs w:val="20"/>
              </w:rPr>
              <w:t>0.209</w:t>
            </w:r>
          </w:p>
        </w:tc>
        <w:tc>
          <w:tcPr>
            <w:tcW w:w="1040" w:type="dxa"/>
            <w:tcBorders>
              <w:top w:val="nil"/>
              <w:left w:val="nil"/>
              <w:bottom w:val="nil"/>
              <w:right w:val="nil"/>
            </w:tcBorders>
            <w:tcMar>
              <w:top w:w="60" w:type="dxa"/>
              <w:left w:w="100" w:type="dxa"/>
              <w:bottom w:w="60" w:type="dxa"/>
              <w:right w:w="100" w:type="dxa"/>
            </w:tcMar>
          </w:tcPr>
          <w:p w14:paraId="3931DF84">
            <w:pPr>
              <w:jc w:val="both"/>
            </w:pPr>
            <w:r>
              <w:rPr>
                <w:rFonts w:ascii="Times New Roman" w:hAnsi="Times New Roman" w:eastAsia="Times New Roman" w:cs="Times New Roman"/>
                <w:i w:val="0"/>
                <w:iCs w:val="0"/>
                <w:sz w:val="20"/>
                <w:szCs w:val="20"/>
              </w:rPr>
              <w:t>1.000</w:t>
            </w:r>
          </w:p>
        </w:tc>
        <w:tc>
          <w:tcPr>
            <w:tcW w:w="1040" w:type="dxa"/>
            <w:tcBorders>
              <w:top w:val="nil"/>
              <w:left w:val="nil"/>
              <w:bottom w:val="nil"/>
              <w:right w:val="nil"/>
            </w:tcBorders>
            <w:tcMar>
              <w:top w:w="60" w:type="dxa"/>
              <w:left w:w="100" w:type="dxa"/>
              <w:bottom w:w="60" w:type="dxa"/>
              <w:right w:w="100" w:type="dxa"/>
            </w:tcMar>
          </w:tcPr>
          <w:p w14:paraId="37FCF4B8">
            <w:pPr>
              <w:jc w:val="both"/>
            </w:pPr>
          </w:p>
        </w:tc>
        <w:tc>
          <w:tcPr>
            <w:tcW w:w="1040" w:type="dxa"/>
            <w:tcBorders>
              <w:top w:val="nil"/>
              <w:left w:val="nil"/>
              <w:bottom w:val="nil"/>
              <w:right w:val="nil"/>
            </w:tcBorders>
            <w:tcMar>
              <w:top w:w="60" w:type="dxa"/>
              <w:left w:w="100" w:type="dxa"/>
              <w:bottom w:w="60" w:type="dxa"/>
              <w:right w:w="100" w:type="dxa"/>
            </w:tcMar>
          </w:tcPr>
          <w:p w14:paraId="77D6785A">
            <w:pPr>
              <w:jc w:val="both"/>
            </w:pPr>
          </w:p>
        </w:tc>
        <w:tc>
          <w:tcPr>
            <w:tcW w:w="1040" w:type="dxa"/>
            <w:tcBorders>
              <w:top w:val="nil"/>
              <w:left w:val="nil"/>
              <w:bottom w:val="nil"/>
              <w:right w:val="nil"/>
            </w:tcBorders>
            <w:tcMar>
              <w:top w:w="60" w:type="dxa"/>
              <w:left w:w="100" w:type="dxa"/>
              <w:bottom w:w="60" w:type="dxa"/>
              <w:right w:w="100" w:type="dxa"/>
            </w:tcMar>
          </w:tcPr>
          <w:p w14:paraId="3E65989B">
            <w:pPr>
              <w:jc w:val="both"/>
            </w:pPr>
          </w:p>
        </w:tc>
        <w:tc>
          <w:tcPr>
            <w:tcW w:w="1040" w:type="dxa"/>
            <w:tcBorders>
              <w:top w:val="nil"/>
              <w:left w:val="nil"/>
              <w:bottom w:val="nil"/>
              <w:right w:val="nil"/>
            </w:tcBorders>
            <w:tcMar>
              <w:top w:w="60" w:type="dxa"/>
              <w:left w:w="100" w:type="dxa"/>
              <w:bottom w:w="60" w:type="dxa"/>
              <w:right w:w="100" w:type="dxa"/>
            </w:tcMar>
          </w:tcPr>
          <w:p w14:paraId="5CD2E291">
            <w:pPr>
              <w:jc w:val="both"/>
            </w:pPr>
          </w:p>
        </w:tc>
        <w:tc>
          <w:tcPr>
            <w:tcW w:w="1040" w:type="dxa"/>
            <w:tcBorders>
              <w:top w:val="nil"/>
              <w:left w:val="nil"/>
              <w:bottom w:val="nil"/>
              <w:right w:val="nil"/>
            </w:tcBorders>
            <w:tcMar>
              <w:top w:w="60" w:type="dxa"/>
              <w:left w:w="100" w:type="dxa"/>
              <w:bottom w:w="60" w:type="dxa"/>
              <w:right w:w="100" w:type="dxa"/>
            </w:tcMar>
          </w:tcPr>
          <w:p w14:paraId="2AF449A0">
            <w:pPr>
              <w:jc w:val="both"/>
            </w:pPr>
          </w:p>
        </w:tc>
      </w:tr>
      <w:tr w14:paraId="5402D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nil"/>
              <w:left w:val="nil"/>
              <w:bottom w:val="nil"/>
              <w:right w:val="nil"/>
            </w:tcBorders>
            <w:tcMar>
              <w:top w:w="60" w:type="dxa"/>
              <w:left w:w="100" w:type="dxa"/>
              <w:bottom w:w="60" w:type="dxa"/>
              <w:right w:w="100" w:type="dxa"/>
            </w:tcMar>
          </w:tcPr>
          <w:p w14:paraId="064BE0E3">
            <w:pPr>
              <w:jc w:val="both"/>
            </w:pPr>
            <w:r>
              <w:rPr>
                <w:rFonts w:ascii="Times New Roman" w:hAnsi="Times New Roman" w:eastAsia="Times New Roman" w:cs="Times New Roman"/>
                <w:i w:val="0"/>
                <w:iCs w:val="0"/>
                <w:sz w:val="20"/>
                <w:szCs w:val="20"/>
              </w:rPr>
              <w:t>(4) Gov Effect.</w:t>
            </w:r>
          </w:p>
        </w:tc>
        <w:tc>
          <w:tcPr>
            <w:tcW w:w="1040" w:type="dxa"/>
            <w:tcBorders>
              <w:top w:val="nil"/>
              <w:left w:val="nil"/>
              <w:bottom w:val="nil"/>
              <w:right w:val="nil"/>
            </w:tcBorders>
            <w:tcMar>
              <w:top w:w="60" w:type="dxa"/>
              <w:left w:w="100" w:type="dxa"/>
              <w:bottom w:w="60" w:type="dxa"/>
              <w:right w:w="100" w:type="dxa"/>
            </w:tcMar>
          </w:tcPr>
          <w:p w14:paraId="60C9E2A7">
            <w:pPr>
              <w:jc w:val="both"/>
            </w:pPr>
            <w:r>
              <w:rPr>
                <w:rFonts w:ascii="Times New Roman" w:hAnsi="Times New Roman" w:eastAsia="Times New Roman" w:cs="Times New Roman"/>
                <w:i w:val="0"/>
                <w:iCs w:val="0"/>
                <w:sz w:val="20"/>
                <w:szCs w:val="20"/>
              </w:rPr>
              <w:t>0.078</w:t>
            </w:r>
          </w:p>
        </w:tc>
        <w:tc>
          <w:tcPr>
            <w:tcW w:w="1040" w:type="dxa"/>
            <w:tcBorders>
              <w:top w:val="nil"/>
              <w:left w:val="nil"/>
              <w:bottom w:val="nil"/>
              <w:right w:val="nil"/>
            </w:tcBorders>
            <w:tcMar>
              <w:top w:w="60" w:type="dxa"/>
              <w:left w:w="100" w:type="dxa"/>
              <w:bottom w:w="60" w:type="dxa"/>
              <w:right w:w="100" w:type="dxa"/>
            </w:tcMar>
          </w:tcPr>
          <w:p w14:paraId="336697C1">
            <w:pPr>
              <w:jc w:val="both"/>
            </w:pPr>
            <w:r>
              <w:rPr>
                <w:rFonts w:ascii="Times New Roman" w:hAnsi="Times New Roman" w:eastAsia="Times New Roman" w:cs="Times New Roman"/>
                <w:i w:val="0"/>
                <w:iCs w:val="0"/>
                <w:sz w:val="20"/>
                <w:szCs w:val="20"/>
              </w:rPr>
              <w:t>-0.107</w:t>
            </w:r>
          </w:p>
        </w:tc>
        <w:tc>
          <w:tcPr>
            <w:tcW w:w="1040" w:type="dxa"/>
            <w:tcBorders>
              <w:top w:val="nil"/>
              <w:left w:val="nil"/>
              <w:bottom w:val="nil"/>
              <w:right w:val="nil"/>
            </w:tcBorders>
            <w:tcMar>
              <w:top w:w="60" w:type="dxa"/>
              <w:left w:w="100" w:type="dxa"/>
              <w:bottom w:w="60" w:type="dxa"/>
              <w:right w:w="100" w:type="dxa"/>
            </w:tcMar>
          </w:tcPr>
          <w:p w14:paraId="74F03247">
            <w:pPr>
              <w:jc w:val="both"/>
            </w:pPr>
            <w:r>
              <w:rPr>
                <w:rFonts w:ascii="Times New Roman" w:hAnsi="Times New Roman" w:eastAsia="Times New Roman" w:cs="Times New Roman"/>
                <w:i w:val="0"/>
                <w:iCs w:val="0"/>
                <w:sz w:val="20"/>
                <w:szCs w:val="20"/>
              </w:rPr>
              <w:t>0.761</w:t>
            </w:r>
          </w:p>
        </w:tc>
        <w:tc>
          <w:tcPr>
            <w:tcW w:w="1040" w:type="dxa"/>
            <w:tcBorders>
              <w:top w:val="nil"/>
              <w:left w:val="nil"/>
              <w:bottom w:val="nil"/>
              <w:right w:val="nil"/>
            </w:tcBorders>
            <w:tcMar>
              <w:top w:w="60" w:type="dxa"/>
              <w:left w:w="100" w:type="dxa"/>
              <w:bottom w:w="60" w:type="dxa"/>
              <w:right w:w="100" w:type="dxa"/>
            </w:tcMar>
          </w:tcPr>
          <w:p w14:paraId="2EF77F39">
            <w:pPr>
              <w:jc w:val="both"/>
            </w:pPr>
            <w:r>
              <w:rPr>
                <w:rFonts w:ascii="Times New Roman" w:hAnsi="Times New Roman" w:eastAsia="Times New Roman" w:cs="Times New Roman"/>
                <w:i w:val="0"/>
                <w:iCs w:val="0"/>
                <w:sz w:val="20"/>
                <w:szCs w:val="20"/>
              </w:rPr>
              <w:t>1.000</w:t>
            </w:r>
          </w:p>
        </w:tc>
        <w:tc>
          <w:tcPr>
            <w:tcW w:w="1040" w:type="dxa"/>
            <w:tcBorders>
              <w:top w:val="nil"/>
              <w:left w:val="nil"/>
              <w:bottom w:val="nil"/>
              <w:right w:val="nil"/>
            </w:tcBorders>
            <w:tcMar>
              <w:top w:w="60" w:type="dxa"/>
              <w:left w:w="100" w:type="dxa"/>
              <w:bottom w:w="60" w:type="dxa"/>
              <w:right w:w="100" w:type="dxa"/>
            </w:tcMar>
          </w:tcPr>
          <w:p w14:paraId="6C7819CC">
            <w:pPr>
              <w:jc w:val="both"/>
            </w:pPr>
          </w:p>
        </w:tc>
        <w:tc>
          <w:tcPr>
            <w:tcW w:w="1040" w:type="dxa"/>
            <w:tcBorders>
              <w:top w:val="nil"/>
              <w:left w:val="nil"/>
              <w:bottom w:val="nil"/>
              <w:right w:val="nil"/>
            </w:tcBorders>
            <w:tcMar>
              <w:top w:w="60" w:type="dxa"/>
              <w:left w:w="100" w:type="dxa"/>
              <w:bottom w:w="60" w:type="dxa"/>
              <w:right w:w="100" w:type="dxa"/>
            </w:tcMar>
          </w:tcPr>
          <w:p w14:paraId="5B5BC9F9">
            <w:pPr>
              <w:jc w:val="both"/>
            </w:pPr>
          </w:p>
        </w:tc>
        <w:tc>
          <w:tcPr>
            <w:tcW w:w="1040" w:type="dxa"/>
            <w:tcBorders>
              <w:top w:val="nil"/>
              <w:left w:val="nil"/>
              <w:bottom w:val="nil"/>
              <w:right w:val="nil"/>
            </w:tcBorders>
            <w:tcMar>
              <w:top w:w="60" w:type="dxa"/>
              <w:left w:w="100" w:type="dxa"/>
              <w:bottom w:w="60" w:type="dxa"/>
              <w:right w:w="100" w:type="dxa"/>
            </w:tcMar>
          </w:tcPr>
          <w:p w14:paraId="564AB6EC">
            <w:pPr>
              <w:jc w:val="both"/>
            </w:pPr>
          </w:p>
        </w:tc>
        <w:tc>
          <w:tcPr>
            <w:tcW w:w="1040" w:type="dxa"/>
            <w:tcBorders>
              <w:top w:val="nil"/>
              <w:left w:val="nil"/>
              <w:bottom w:val="nil"/>
              <w:right w:val="nil"/>
            </w:tcBorders>
            <w:tcMar>
              <w:top w:w="60" w:type="dxa"/>
              <w:left w:w="100" w:type="dxa"/>
              <w:bottom w:w="60" w:type="dxa"/>
              <w:right w:w="100" w:type="dxa"/>
            </w:tcMar>
          </w:tcPr>
          <w:p w14:paraId="3FD37047">
            <w:pPr>
              <w:jc w:val="both"/>
            </w:pPr>
          </w:p>
        </w:tc>
      </w:tr>
      <w:tr w14:paraId="104AD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nil"/>
              <w:left w:val="nil"/>
              <w:bottom w:val="nil"/>
              <w:right w:val="nil"/>
            </w:tcBorders>
            <w:tcMar>
              <w:top w:w="60" w:type="dxa"/>
              <w:left w:w="100" w:type="dxa"/>
              <w:bottom w:w="60" w:type="dxa"/>
              <w:right w:w="100" w:type="dxa"/>
            </w:tcMar>
          </w:tcPr>
          <w:p w14:paraId="57D4FD5D">
            <w:pPr>
              <w:jc w:val="both"/>
            </w:pPr>
            <w:r>
              <w:rPr>
                <w:rFonts w:ascii="Times New Roman" w:hAnsi="Times New Roman" w:eastAsia="Times New Roman" w:cs="Times New Roman"/>
                <w:i w:val="0"/>
                <w:iCs w:val="0"/>
                <w:sz w:val="20"/>
                <w:szCs w:val="20"/>
              </w:rPr>
              <w:t>(5) Ag Exposure</w:t>
            </w:r>
          </w:p>
        </w:tc>
        <w:tc>
          <w:tcPr>
            <w:tcW w:w="1040" w:type="dxa"/>
            <w:tcBorders>
              <w:top w:val="nil"/>
              <w:left w:val="nil"/>
              <w:bottom w:val="nil"/>
              <w:right w:val="nil"/>
            </w:tcBorders>
            <w:tcMar>
              <w:top w:w="60" w:type="dxa"/>
              <w:left w:w="100" w:type="dxa"/>
              <w:bottom w:w="60" w:type="dxa"/>
              <w:right w:w="100" w:type="dxa"/>
            </w:tcMar>
          </w:tcPr>
          <w:p w14:paraId="2F37196C">
            <w:pPr>
              <w:jc w:val="both"/>
            </w:pPr>
            <w:r>
              <w:rPr>
                <w:rFonts w:ascii="Times New Roman" w:hAnsi="Times New Roman" w:eastAsia="Times New Roman" w:cs="Times New Roman"/>
                <w:i w:val="0"/>
                <w:iCs w:val="0"/>
                <w:sz w:val="20"/>
                <w:szCs w:val="20"/>
              </w:rPr>
              <w:t>0.052</w:t>
            </w:r>
          </w:p>
        </w:tc>
        <w:tc>
          <w:tcPr>
            <w:tcW w:w="1040" w:type="dxa"/>
            <w:tcBorders>
              <w:top w:val="nil"/>
              <w:left w:val="nil"/>
              <w:bottom w:val="nil"/>
              <w:right w:val="nil"/>
            </w:tcBorders>
            <w:tcMar>
              <w:top w:w="60" w:type="dxa"/>
              <w:left w:w="100" w:type="dxa"/>
              <w:bottom w:w="60" w:type="dxa"/>
              <w:right w:w="100" w:type="dxa"/>
            </w:tcMar>
          </w:tcPr>
          <w:p w14:paraId="1C53F134">
            <w:pPr>
              <w:jc w:val="both"/>
            </w:pPr>
            <w:r>
              <w:rPr>
                <w:rFonts w:ascii="Times New Roman" w:hAnsi="Times New Roman" w:eastAsia="Times New Roman" w:cs="Times New Roman"/>
                <w:i w:val="0"/>
                <w:iCs w:val="0"/>
                <w:sz w:val="20"/>
                <w:szCs w:val="20"/>
              </w:rPr>
              <w:t>0.880</w:t>
            </w:r>
          </w:p>
        </w:tc>
        <w:tc>
          <w:tcPr>
            <w:tcW w:w="1040" w:type="dxa"/>
            <w:tcBorders>
              <w:top w:val="nil"/>
              <w:left w:val="nil"/>
              <w:bottom w:val="nil"/>
              <w:right w:val="nil"/>
            </w:tcBorders>
            <w:tcMar>
              <w:top w:w="60" w:type="dxa"/>
              <w:left w:w="100" w:type="dxa"/>
              <w:bottom w:w="60" w:type="dxa"/>
              <w:right w:w="100" w:type="dxa"/>
            </w:tcMar>
          </w:tcPr>
          <w:p w14:paraId="4011B629">
            <w:pPr>
              <w:jc w:val="both"/>
            </w:pPr>
            <w:r>
              <w:rPr>
                <w:rFonts w:ascii="Times New Roman" w:hAnsi="Times New Roman" w:eastAsia="Times New Roman" w:cs="Times New Roman"/>
                <w:i w:val="0"/>
                <w:iCs w:val="0"/>
                <w:sz w:val="20"/>
                <w:szCs w:val="20"/>
              </w:rPr>
              <w:t>0.012</w:t>
            </w:r>
          </w:p>
        </w:tc>
        <w:tc>
          <w:tcPr>
            <w:tcW w:w="1040" w:type="dxa"/>
            <w:tcBorders>
              <w:top w:val="nil"/>
              <w:left w:val="nil"/>
              <w:bottom w:val="nil"/>
              <w:right w:val="nil"/>
            </w:tcBorders>
            <w:tcMar>
              <w:top w:w="60" w:type="dxa"/>
              <w:left w:w="100" w:type="dxa"/>
              <w:bottom w:w="60" w:type="dxa"/>
              <w:right w:w="100" w:type="dxa"/>
            </w:tcMar>
          </w:tcPr>
          <w:p w14:paraId="61DB6B8E">
            <w:pPr>
              <w:jc w:val="both"/>
            </w:pPr>
            <w:r>
              <w:rPr>
                <w:rFonts w:ascii="Times New Roman" w:hAnsi="Times New Roman" w:eastAsia="Times New Roman" w:cs="Times New Roman"/>
                <w:i w:val="0"/>
                <w:iCs w:val="0"/>
                <w:sz w:val="20"/>
                <w:szCs w:val="20"/>
              </w:rPr>
              <w:t>-0.248</w:t>
            </w:r>
          </w:p>
        </w:tc>
        <w:tc>
          <w:tcPr>
            <w:tcW w:w="1040" w:type="dxa"/>
            <w:tcBorders>
              <w:top w:val="nil"/>
              <w:left w:val="nil"/>
              <w:bottom w:val="nil"/>
              <w:right w:val="nil"/>
            </w:tcBorders>
            <w:tcMar>
              <w:top w:w="60" w:type="dxa"/>
              <w:left w:w="100" w:type="dxa"/>
              <w:bottom w:w="60" w:type="dxa"/>
              <w:right w:w="100" w:type="dxa"/>
            </w:tcMar>
          </w:tcPr>
          <w:p w14:paraId="16EF6C42">
            <w:pPr>
              <w:jc w:val="both"/>
            </w:pPr>
            <w:r>
              <w:rPr>
                <w:rFonts w:ascii="Times New Roman" w:hAnsi="Times New Roman" w:eastAsia="Times New Roman" w:cs="Times New Roman"/>
                <w:i w:val="0"/>
                <w:iCs w:val="0"/>
                <w:sz w:val="20"/>
                <w:szCs w:val="20"/>
              </w:rPr>
              <w:t>1.000</w:t>
            </w:r>
          </w:p>
        </w:tc>
        <w:tc>
          <w:tcPr>
            <w:tcW w:w="1040" w:type="dxa"/>
            <w:tcBorders>
              <w:top w:val="nil"/>
              <w:left w:val="nil"/>
              <w:bottom w:val="nil"/>
              <w:right w:val="nil"/>
            </w:tcBorders>
            <w:tcMar>
              <w:top w:w="60" w:type="dxa"/>
              <w:left w:w="100" w:type="dxa"/>
              <w:bottom w:w="60" w:type="dxa"/>
              <w:right w:w="100" w:type="dxa"/>
            </w:tcMar>
          </w:tcPr>
          <w:p w14:paraId="6D4EE865">
            <w:pPr>
              <w:jc w:val="both"/>
            </w:pPr>
          </w:p>
        </w:tc>
        <w:tc>
          <w:tcPr>
            <w:tcW w:w="1040" w:type="dxa"/>
            <w:tcBorders>
              <w:top w:val="nil"/>
              <w:left w:val="nil"/>
              <w:bottom w:val="nil"/>
              <w:right w:val="nil"/>
            </w:tcBorders>
            <w:tcMar>
              <w:top w:w="60" w:type="dxa"/>
              <w:left w:w="100" w:type="dxa"/>
              <w:bottom w:w="60" w:type="dxa"/>
              <w:right w:w="100" w:type="dxa"/>
            </w:tcMar>
          </w:tcPr>
          <w:p w14:paraId="1A790131">
            <w:pPr>
              <w:jc w:val="both"/>
            </w:pPr>
          </w:p>
        </w:tc>
        <w:tc>
          <w:tcPr>
            <w:tcW w:w="1040" w:type="dxa"/>
            <w:tcBorders>
              <w:top w:val="nil"/>
              <w:left w:val="nil"/>
              <w:bottom w:val="nil"/>
              <w:right w:val="nil"/>
            </w:tcBorders>
            <w:tcMar>
              <w:top w:w="60" w:type="dxa"/>
              <w:left w:w="100" w:type="dxa"/>
              <w:bottom w:w="60" w:type="dxa"/>
              <w:right w:w="100" w:type="dxa"/>
            </w:tcMar>
          </w:tcPr>
          <w:p w14:paraId="2DE7B7B0">
            <w:pPr>
              <w:jc w:val="both"/>
            </w:pPr>
          </w:p>
        </w:tc>
      </w:tr>
      <w:tr w14:paraId="5255E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nil"/>
              <w:left w:val="nil"/>
              <w:bottom w:val="nil"/>
              <w:right w:val="nil"/>
            </w:tcBorders>
            <w:tcMar>
              <w:top w:w="60" w:type="dxa"/>
              <w:left w:w="100" w:type="dxa"/>
              <w:bottom w:w="60" w:type="dxa"/>
              <w:right w:w="100" w:type="dxa"/>
            </w:tcMar>
          </w:tcPr>
          <w:p w14:paraId="4135C09E">
            <w:pPr>
              <w:jc w:val="both"/>
            </w:pPr>
            <w:r>
              <w:rPr>
                <w:rFonts w:ascii="Times New Roman" w:hAnsi="Times New Roman" w:eastAsia="Times New Roman" w:cs="Times New Roman"/>
                <w:i w:val="0"/>
                <w:iCs w:val="0"/>
                <w:sz w:val="20"/>
                <w:szCs w:val="20"/>
              </w:rPr>
              <w:t>(6) GDP Growth</w:t>
            </w:r>
          </w:p>
        </w:tc>
        <w:tc>
          <w:tcPr>
            <w:tcW w:w="1040" w:type="dxa"/>
            <w:tcBorders>
              <w:top w:val="nil"/>
              <w:left w:val="nil"/>
              <w:bottom w:val="nil"/>
              <w:right w:val="nil"/>
            </w:tcBorders>
            <w:tcMar>
              <w:top w:w="60" w:type="dxa"/>
              <w:left w:w="100" w:type="dxa"/>
              <w:bottom w:w="60" w:type="dxa"/>
              <w:right w:w="100" w:type="dxa"/>
            </w:tcMar>
          </w:tcPr>
          <w:p w14:paraId="7D01053E">
            <w:pPr>
              <w:jc w:val="both"/>
            </w:pPr>
            <w:r>
              <w:rPr>
                <w:rFonts w:ascii="Times New Roman" w:hAnsi="Times New Roman" w:eastAsia="Times New Roman" w:cs="Times New Roman"/>
                <w:i w:val="0"/>
                <w:iCs w:val="0"/>
                <w:sz w:val="20"/>
                <w:szCs w:val="20"/>
              </w:rPr>
              <w:t>0.140</w:t>
            </w:r>
          </w:p>
        </w:tc>
        <w:tc>
          <w:tcPr>
            <w:tcW w:w="1040" w:type="dxa"/>
            <w:tcBorders>
              <w:top w:val="nil"/>
              <w:left w:val="nil"/>
              <w:bottom w:val="nil"/>
              <w:right w:val="nil"/>
            </w:tcBorders>
            <w:tcMar>
              <w:top w:w="60" w:type="dxa"/>
              <w:left w:w="100" w:type="dxa"/>
              <w:bottom w:w="60" w:type="dxa"/>
              <w:right w:w="100" w:type="dxa"/>
            </w:tcMar>
          </w:tcPr>
          <w:p w14:paraId="3FC1D5A1">
            <w:pPr>
              <w:jc w:val="both"/>
            </w:pPr>
            <w:r>
              <w:rPr>
                <w:rFonts w:ascii="Times New Roman" w:hAnsi="Times New Roman" w:eastAsia="Times New Roman" w:cs="Times New Roman"/>
                <w:i w:val="0"/>
                <w:iCs w:val="0"/>
                <w:sz w:val="20"/>
                <w:szCs w:val="20"/>
              </w:rPr>
              <w:t>0.437</w:t>
            </w:r>
          </w:p>
        </w:tc>
        <w:tc>
          <w:tcPr>
            <w:tcW w:w="1040" w:type="dxa"/>
            <w:tcBorders>
              <w:top w:val="nil"/>
              <w:left w:val="nil"/>
              <w:bottom w:val="nil"/>
              <w:right w:val="nil"/>
            </w:tcBorders>
            <w:tcMar>
              <w:top w:w="60" w:type="dxa"/>
              <w:left w:w="100" w:type="dxa"/>
              <w:bottom w:w="60" w:type="dxa"/>
              <w:right w:w="100" w:type="dxa"/>
            </w:tcMar>
          </w:tcPr>
          <w:p w14:paraId="3D4DABC9">
            <w:pPr>
              <w:jc w:val="both"/>
            </w:pPr>
            <w:r>
              <w:rPr>
                <w:rFonts w:ascii="Times New Roman" w:hAnsi="Times New Roman" w:eastAsia="Times New Roman" w:cs="Times New Roman"/>
                <w:i w:val="0"/>
                <w:iCs w:val="0"/>
                <w:sz w:val="20"/>
                <w:szCs w:val="20"/>
              </w:rPr>
              <w:t>0.183</w:t>
            </w:r>
          </w:p>
        </w:tc>
        <w:tc>
          <w:tcPr>
            <w:tcW w:w="1040" w:type="dxa"/>
            <w:tcBorders>
              <w:top w:val="nil"/>
              <w:left w:val="nil"/>
              <w:bottom w:val="nil"/>
              <w:right w:val="nil"/>
            </w:tcBorders>
            <w:tcMar>
              <w:top w:w="60" w:type="dxa"/>
              <w:left w:w="100" w:type="dxa"/>
              <w:bottom w:w="60" w:type="dxa"/>
              <w:right w:w="100" w:type="dxa"/>
            </w:tcMar>
          </w:tcPr>
          <w:p w14:paraId="42AF410F">
            <w:pPr>
              <w:jc w:val="both"/>
            </w:pPr>
            <w:r>
              <w:rPr>
                <w:rFonts w:ascii="Times New Roman" w:hAnsi="Times New Roman" w:eastAsia="Times New Roman" w:cs="Times New Roman"/>
                <w:i w:val="0"/>
                <w:iCs w:val="0"/>
                <w:sz w:val="20"/>
                <w:szCs w:val="20"/>
              </w:rPr>
              <w:t>0.113</w:t>
            </w:r>
          </w:p>
        </w:tc>
        <w:tc>
          <w:tcPr>
            <w:tcW w:w="1040" w:type="dxa"/>
            <w:tcBorders>
              <w:top w:val="nil"/>
              <w:left w:val="nil"/>
              <w:bottom w:val="nil"/>
              <w:right w:val="nil"/>
            </w:tcBorders>
            <w:tcMar>
              <w:top w:w="60" w:type="dxa"/>
              <w:left w:w="100" w:type="dxa"/>
              <w:bottom w:w="60" w:type="dxa"/>
              <w:right w:w="100" w:type="dxa"/>
            </w:tcMar>
          </w:tcPr>
          <w:p w14:paraId="78070266">
            <w:pPr>
              <w:jc w:val="both"/>
            </w:pPr>
            <w:r>
              <w:rPr>
                <w:rFonts w:ascii="Times New Roman" w:hAnsi="Times New Roman" w:eastAsia="Times New Roman" w:cs="Times New Roman"/>
                <w:i w:val="0"/>
                <w:iCs w:val="0"/>
                <w:sz w:val="20"/>
                <w:szCs w:val="20"/>
              </w:rPr>
              <w:t>0.409</w:t>
            </w:r>
          </w:p>
        </w:tc>
        <w:tc>
          <w:tcPr>
            <w:tcW w:w="1040" w:type="dxa"/>
            <w:tcBorders>
              <w:top w:val="nil"/>
              <w:left w:val="nil"/>
              <w:bottom w:val="nil"/>
              <w:right w:val="nil"/>
            </w:tcBorders>
            <w:tcMar>
              <w:top w:w="60" w:type="dxa"/>
              <w:left w:w="100" w:type="dxa"/>
              <w:bottom w:w="60" w:type="dxa"/>
              <w:right w:w="100" w:type="dxa"/>
            </w:tcMar>
          </w:tcPr>
          <w:p w14:paraId="77ECFDEF">
            <w:pPr>
              <w:jc w:val="both"/>
            </w:pPr>
            <w:r>
              <w:rPr>
                <w:rFonts w:ascii="Times New Roman" w:hAnsi="Times New Roman" w:eastAsia="Times New Roman" w:cs="Times New Roman"/>
                <w:i w:val="0"/>
                <w:iCs w:val="0"/>
                <w:sz w:val="20"/>
                <w:szCs w:val="20"/>
              </w:rPr>
              <w:t>1.000</w:t>
            </w:r>
          </w:p>
        </w:tc>
        <w:tc>
          <w:tcPr>
            <w:tcW w:w="1040" w:type="dxa"/>
            <w:tcBorders>
              <w:top w:val="nil"/>
              <w:left w:val="nil"/>
              <w:bottom w:val="nil"/>
              <w:right w:val="nil"/>
            </w:tcBorders>
            <w:tcMar>
              <w:top w:w="60" w:type="dxa"/>
              <w:left w:w="100" w:type="dxa"/>
              <w:bottom w:w="60" w:type="dxa"/>
              <w:right w:w="100" w:type="dxa"/>
            </w:tcMar>
          </w:tcPr>
          <w:p w14:paraId="2B2EFF0D">
            <w:pPr>
              <w:jc w:val="both"/>
            </w:pPr>
          </w:p>
        </w:tc>
        <w:tc>
          <w:tcPr>
            <w:tcW w:w="1040" w:type="dxa"/>
            <w:tcBorders>
              <w:top w:val="nil"/>
              <w:left w:val="nil"/>
              <w:bottom w:val="nil"/>
              <w:right w:val="nil"/>
            </w:tcBorders>
            <w:tcMar>
              <w:top w:w="60" w:type="dxa"/>
              <w:left w:w="100" w:type="dxa"/>
              <w:bottom w:w="60" w:type="dxa"/>
              <w:right w:w="100" w:type="dxa"/>
            </w:tcMar>
          </w:tcPr>
          <w:p w14:paraId="56B87C23">
            <w:pPr>
              <w:jc w:val="both"/>
            </w:pPr>
          </w:p>
        </w:tc>
      </w:tr>
      <w:tr w14:paraId="0A067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nil"/>
              <w:left w:val="nil"/>
              <w:bottom w:val="nil"/>
              <w:right w:val="nil"/>
            </w:tcBorders>
            <w:tcMar>
              <w:top w:w="60" w:type="dxa"/>
              <w:left w:w="100" w:type="dxa"/>
              <w:bottom w:w="60" w:type="dxa"/>
              <w:right w:w="100" w:type="dxa"/>
            </w:tcMar>
          </w:tcPr>
          <w:p w14:paraId="3D6B22F9">
            <w:pPr>
              <w:jc w:val="both"/>
            </w:pPr>
            <w:r>
              <w:rPr>
                <w:rFonts w:ascii="Times New Roman" w:hAnsi="Times New Roman" w:eastAsia="Times New Roman" w:cs="Times New Roman"/>
                <w:i w:val="0"/>
                <w:iCs w:val="0"/>
                <w:sz w:val="20"/>
                <w:szCs w:val="20"/>
              </w:rPr>
              <w:t>(7) Inflation</w:t>
            </w:r>
          </w:p>
        </w:tc>
        <w:tc>
          <w:tcPr>
            <w:tcW w:w="1040" w:type="dxa"/>
            <w:tcBorders>
              <w:top w:val="nil"/>
              <w:left w:val="nil"/>
              <w:bottom w:val="nil"/>
              <w:right w:val="nil"/>
            </w:tcBorders>
            <w:tcMar>
              <w:top w:w="60" w:type="dxa"/>
              <w:left w:w="100" w:type="dxa"/>
              <w:bottom w:w="60" w:type="dxa"/>
              <w:right w:w="100" w:type="dxa"/>
            </w:tcMar>
          </w:tcPr>
          <w:p w14:paraId="3C564B3A">
            <w:pPr>
              <w:jc w:val="both"/>
            </w:pPr>
            <w:r>
              <w:rPr>
                <w:rFonts w:ascii="Times New Roman" w:hAnsi="Times New Roman" w:eastAsia="Times New Roman" w:cs="Times New Roman"/>
                <w:i w:val="0"/>
                <w:iCs w:val="0"/>
                <w:sz w:val="20"/>
                <w:szCs w:val="20"/>
              </w:rPr>
              <w:t>0.084</w:t>
            </w:r>
          </w:p>
        </w:tc>
        <w:tc>
          <w:tcPr>
            <w:tcW w:w="1040" w:type="dxa"/>
            <w:tcBorders>
              <w:top w:val="nil"/>
              <w:left w:val="nil"/>
              <w:bottom w:val="nil"/>
              <w:right w:val="nil"/>
            </w:tcBorders>
            <w:tcMar>
              <w:top w:w="60" w:type="dxa"/>
              <w:left w:w="100" w:type="dxa"/>
              <w:bottom w:w="60" w:type="dxa"/>
              <w:right w:w="100" w:type="dxa"/>
            </w:tcMar>
          </w:tcPr>
          <w:p w14:paraId="1E244852">
            <w:pPr>
              <w:jc w:val="both"/>
            </w:pPr>
            <w:r>
              <w:rPr>
                <w:rFonts w:ascii="Times New Roman" w:hAnsi="Times New Roman" w:eastAsia="Times New Roman" w:cs="Times New Roman"/>
                <w:i w:val="0"/>
                <w:iCs w:val="0"/>
                <w:sz w:val="20"/>
                <w:szCs w:val="20"/>
              </w:rPr>
              <w:t>0.354</w:t>
            </w:r>
          </w:p>
        </w:tc>
        <w:tc>
          <w:tcPr>
            <w:tcW w:w="1040" w:type="dxa"/>
            <w:tcBorders>
              <w:top w:val="nil"/>
              <w:left w:val="nil"/>
              <w:bottom w:val="nil"/>
              <w:right w:val="nil"/>
            </w:tcBorders>
            <w:tcMar>
              <w:top w:w="60" w:type="dxa"/>
              <w:left w:w="100" w:type="dxa"/>
              <w:bottom w:w="60" w:type="dxa"/>
              <w:right w:w="100" w:type="dxa"/>
            </w:tcMar>
          </w:tcPr>
          <w:p w14:paraId="2420FBA0">
            <w:pPr>
              <w:jc w:val="both"/>
            </w:pPr>
            <w:r>
              <w:rPr>
                <w:rFonts w:ascii="Times New Roman" w:hAnsi="Times New Roman" w:eastAsia="Times New Roman" w:cs="Times New Roman"/>
                <w:i w:val="0"/>
                <w:iCs w:val="0"/>
                <w:sz w:val="20"/>
                <w:szCs w:val="20"/>
              </w:rPr>
              <w:t>0.138</w:t>
            </w:r>
          </w:p>
        </w:tc>
        <w:tc>
          <w:tcPr>
            <w:tcW w:w="1040" w:type="dxa"/>
            <w:tcBorders>
              <w:top w:val="nil"/>
              <w:left w:val="nil"/>
              <w:bottom w:val="nil"/>
              <w:right w:val="nil"/>
            </w:tcBorders>
            <w:tcMar>
              <w:top w:w="60" w:type="dxa"/>
              <w:left w:w="100" w:type="dxa"/>
              <w:bottom w:w="60" w:type="dxa"/>
              <w:right w:w="100" w:type="dxa"/>
            </w:tcMar>
          </w:tcPr>
          <w:p w14:paraId="2FB7738A">
            <w:pPr>
              <w:jc w:val="both"/>
            </w:pPr>
            <w:r>
              <w:rPr>
                <w:rFonts w:ascii="Times New Roman" w:hAnsi="Times New Roman" w:eastAsia="Times New Roman" w:cs="Times New Roman"/>
                <w:i w:val="0"/>
                <w:iCs w:val="0"/>
                <w:sz w:val="20"/>
                <w:szCs w:val="20"/>
              </w:rPr>
              <w:t>-0.081</w:t>
            </w:r>
          </w:p>
        </w:tc>
        <w:tc>
          <w:tcPr>
            <w:tcW w:w="1040" w:type="dxa"/>
            <w:tcBorders>
              <w:top w:val="nil"/>
              <w:left w:val="nil"/>
              <w:bottom w:val="nil"/>
              <w:right w:val="nil"/>
            </w:tcBorders>
            <w:tcMar>
              <w:top w:w="60" w:type="dxa"/>
              <w:left w:w="100" w:type="dxa"/>
              <w:bottom w:w="60" w:type="dxa"/>
              <w:right w:w="100" w:type="dxa"/>
            </w:tcMar>
          </w:tcPr>
          <w:p w14:paraId="4611435A">
            <w:pPr>
              <w:jc w:val="both"/>
            </w:pPr>
            <w:r>
              <w:rPr>
                <w:rFonts w:ascii="Times New Roman" w:hAnsi="Times New Roman" w:eastAsia="Times New Roman" w:cs="Times New Roman"/>
                <w:i w:val="0"/>
                <w:iCs w:val="0"/>
                <w:sz w:val="20"/>
                <w:szCs w:val="20"/>
              </w:rPr>
              <w:t>0.343</w:t>
            </w:r>
          </w:p>
        </w:tc>
        <w:tc>
          <w:tcPr>
            <w:tcW w:w="1040" w:type="dxa"/>
            <w:tcBorders>
              <w:top w:val="nil"/>
              <w:left w:val="nil"/>
              <w:bottom w:val="nil"/>
              <w:right w:val="nil"/>
            </w:tcBorders>
            <w:tcMar>
              <w:top w:w="60" w:type="dxa"/>
              <w:left w:w="100" w:type="dxa"/>
              <w:bottom w:w="60" w:type="dxa"/>
              <w:right w:w="100" w:type="dxa"/>
            </w:tcMar>
          </w:tcPr>
          <w:p w14:paraId="0F32D465">
            <w:pPr>
              <w:jc w:val="both"/>
            </w:pPr>
            <w:r>
              <w:rPr>
                <w:rFonts w:ascii="Times New Roman" w:hAnsi="Times New Roman" w:eastAsia="Times New Roman" w:cs="Times New Roman"/>
                <w:i w:val="0"/>
                <w:iCs w:val="0"/>
                <w:sz w:val="20"/>
                <w:szCs w:val="20"/>
              </w:rPr>
              <w:t>0.083</w:t>
            </w:r>
          </w:p>
        </w:tc>
        <w:tc>
          <w:tcPr>
            <w:tcW w:w="1040" w:type="dxa"/>
            <w:tcBorders>
              <w:top w:val="nil"/>
              <w:left w:val="nil"/>
              <w:bottom w:val="nil"/>
              <w:right w:val="nil"/>
            </w:tcBorders>
            <w:tcMar>
              <w:top w:w="60" w:type="dxa"/>
              <w:left w:w="100" w:type="dxa"/>
              <w:bottom w:w="60" w:type="dxa"/>
              <w:right w:w="100" w:type="dxa"/>
            </w:tcMar>
          </w:tcPr>
          <w:p w14:paraId="24C4F8BC">
            <w:pPr>
              <w:jc w:val="both"/>
            </w:pPr>
            <w:r>
              <w:rPr>
                <w:rFonts w:ascii="Times New Roman" w:hAnsi="Times New Roman" w:eastAsia="Times New Roman" w:cs="Times New Roman"/>
                <w:i w:val="0"/>
                <w:iCs w:val="0"/>
                <w:sz w:val="20"/>
                <w:szCs w:val="20"/>
              </w:rPr>
              <w:t>1.000</w:t>
            </w:r>
          </w:p>
        </w:tc>
        <w:tc>
          <w:tcPr>
            <w:tcW w:w="1040" w:type="dxa"/>
            <w:tcBorders>
              <w:top w:val="nil"/>
              <w:left w:val="nil"/>
              <w:bottom w:val="nil"/>
              <w:right w:val="nil"/>
            </w:tcBorders>
            <w:tcMar>
              <w:top w:w="60" w:type="dxa"/>
              <w:left w:w="100" w:type="dxa"/>
              <w:bottom w:w="60" w:type="dxa"/>
              <w:right w:w="100" w:type="dxa"/>
            </w:tcMar>
          </w:tcPr>
          <w:p w14:paraId="6E573A13">
            <w:pPr>
              <w:jc w:val="both"/>
            </w:pPr>
          </w:p>
        </w:tc>
      </w:tr>
      <w:tr w14:paraId="5FC26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nil"/>
              <w:left w:val="nil"/>
              <w:bottom w:val="nil"/>
              <w:right w:val="nil"/>
            </w:tcBorders>
            <w:tcMar>
              <w:top w:w="60" w:type="dxa"/>
              <w:left w:w="100" w:type="dxa"/>
              <w:bottom w:w="60" w:type="dxa"/>
              <w:right w:w="100" w:type="dxa"/>
            </w:tcMar>
          </w:tcPr>
          <w:p w14:paraId="103A6A2A">
            <w:pPr>
              <w:jc w:val="both"/>
            </w:pPr>
            <w:r>
              <w:rPr>
                <w:rFonts w:ascii="Times New Roman" w:hAnsi="Times New Roman" w:eastAsia="Times New Roman" w:cs="Times New Roman"/>
                <w:i w:val="0"/>
                <w:iCs w:val="0"/>
                <w:sz w:val="20"/>
                <w:szCs w:val="20"/>
              </w:rPr>
              <w:t>(8) Bank Cap</w:t>
            </w:r>
          </w:p>
        </w:tc>
        <w:tc>
          <w:tcPr>
            <w:tcW w:w="1040" w:type="dxa"/>
            <w:tcBorders>
              <w:top w:val="nil"/>
              <w:left w:val="nil"/>
              <w:bottom w:val="single" w:color="000000" w:sz="8" w:space="0"/>
              <w:right w:val="nil"/>
            </w:tcBorders>
            <w:tcMar>
              <w:top w:w="60" w:type="dxa"/>
              <w:left w:w="100" w:type="dxa"/>
              <w:bottom w:w="60" w:type="dxa"/>
              <w:right w:w="100" w:type="dxa"/>
            </w:tcMar>
          </w:tcPr>
          <w:p w14:paraId="13D5C687">
            <w:pPr>
              <w:jc w:val="both"/>
            </w:pPr>
            <w:r>
              <w:rPr>
                <w:rFonts w:ascii="Times New Roman" w:hAnsi="Times New Roman" w:eastAsia="Times New Roman" w:cs="Times New Roman"/>
                <w:sz w:val="20"/>
                <w:szCs w:val="20"/>
              </w:rPr>
              <w:t>-0.072</w:t>
            </w:r>
          </w:p>
        </w:tc>
        <w:tc>
          <w:tcPr>
            <w:tcW w:w="1040" w:type="dxa"/>
            <w:tcBorders>
              <w:top w:val="nil"/>
              <w:left w:val="nil"/>
              <w:bottom w:val="single" w:color="000000" w:sz="8" w:space="0"/>
              <w:right w:val="nil"/>
            </w:tcBorders>
            <w:tcMar>
              <w:top w:w="60" w:type="dxa"/>
              <w:left w:w="100" w:type="dxa"/>
              <w:bottom w:w="60" w:type="dxa"/>
              <w:right w:w="100" w:type="dxa"/>
            </w:tcMar>
          </w:tcPr>
          <w:p w14:paraId="1C1A1F31">
            <w:pPr>
              <w:jc w:val="both"/>
            </w:pPr>
            <w:r>
              <w:rPr>
                <w:rFonts w:ascii="Times New Roman" w:hAnsi="Times New Roman" w:eastAsia="Times New Roman" w:cs="Times New Roman"/>
                <w:sz w:val="20"/>
                <w:szCs w:val="20"/>
              </w:rPr>
              <w:t>-0.224</w:t>
            </w:r>
          </w:p>
        </w:tc>
        <w:tc>
          <w:tcPr>
            <w:tcW w:w="1040" w:type="dxa"/>
            <w:tcBorders>
              <w:top w:val="nil"/>
              <w:left w:val="nil"/>
              <w:bottom w:val="single" w:color="000000" w:sz="8" w:space="0"/>
              <w:right w:val="nil"/>
            </w:tcBorders>
            <w:tcMar>
              <w:top w:w="60" w:type="dxa"/>
              <w:left w:w="100" w:type="dxa"/>
              <w:bottom w:w="60" w:type="dxa"/>
              <w:right w:w="100" w:type="dxa"/>
            </w:tcMar>
          </w:tcPr>
          <w:p w14:paraId="09B129D3">
            <w:pPr>
              <w:jc w:val="both"/>
            </w:pPr>
            <w:r>
              <w:rPr>
                <w:rFonts w:ascii="Times New Roman" w:hAnsi="Times New Roman" w:eastAsia="Times New Roman" w:cs="Times New Roman"/>
                <w:sz w:val="20"/>
                <w:szCs w:val="20"/>
              </w:rPr>
              <w:t>-0.228</w:t>
            </w:r>
          </w:p>
        </w:tc>
        <w:tc>
          <w:tcPr>
            <w:tcW w:w="1040" w:type="dxa"/>
            <w:tcBorders>
              <w:top w:val="nil"/>
              <w:left w:val="nil"/>
              <w:bottom w:val="single" w:color="000000" w:sz="8" w:space="0"/>
              <w:right w:val="nil"/>
            </w:tcBorders>
            <w:tcMar>
              <w:top w:w="60" w:type="dxa"/>
              <w:left w:w="100" w:type="dxa"/>
              <w:bottom w:w="60" w:type="dxa"/>
              <w:right w:w="100" w:type="dxa"/>
            </w:tcMar>
          </w:tcPr>
          <w:p w14:paraId="188776B1">
            <w:pPr>
              <w:jc w:val="both"/>
            </w:pPr>
            <w:r>
              <w:rPr>
                <w:rFonts w:ascii="Times New Roman" w:hAnsi="Times New Roman" w:eastAsia="Times New Roman" w:cs="Times New Roman"/>
                <w:sz w:val="20"/>
                <w:szCs w:val="20"/>
              </w:rPr>
              <w:t>0.030</w:t>
            </w:r>
          </w:p>
        </w:tc>
        <w:tc>
          <w:tcPr>
            <w:tcW w:w="1040" w:type="dxa"/>
            <w:tcBorders>
              <w:top w:val="nil"/>
              <w:left w:val="nil"/>
              <w:bottom w:val="single" w:color="000000" w:sz="8" w:space="0"/>
              <w:right w:val="nil"/>
            </w:tcBorders>
            <w:tcMar>
              <w:top w:w="60" w:type="dxa"/>
              <w:left w:w="100" w:type="dxa"/>
              <w:bottom w:w="60" w:type="dxa"/>
              <w:right w:w="100" w:type="dxa"/>
            </w:tcMar>
          </w:tcPr>
          <w:p w14:paraId="6BD08AAA">
            <w:pPr>
              <w:jc w:val="both"/>
            </w:pPr>
            <w:r>
              <w:rPr>
                <w:rFonts w:ascii="Times New Roman" w:hAnsi="Times New Roman" w:eastAsia="Times New Roman" w:cs="Times New Roman"/>
                <w:sz w:val="20"/>
                <w:szCs w:val="20"/>
              </w:rPr>
              <w:t>-0.148</w:t>
            </w:r>
          </w:p>
        </w:tc>
        <w:tc>
          <w:tcPr>
            <w:tcW w:w="1040" w:type="dxa"/>
            <w:tcBorders>
              <w:top w:val="nil"/>
              <w:left w:val="nil"/>
              <w:bottom w:val="single" w:color="000000" w:sz="8" w:space="0"/>
              <w:right w:val="nil"/>
            </w:tcBorders>
            <w:tcMar>
              <w:top w:w="60" w:type="dxa"/>
              <w:left w:w="100" w:type="dxa"/>
              <w:bottom w:w="60" w:type="dxa"/>
              <w:right w:w="100" w:type="dxa"/>
            </w:tcMar>
          </w:tcPr>
          <w:p w14:paraId="2C3C5EA7">
            <w:pPr>
              <w:jc w:val="both"/>
            </w:pPr>
            <w:r>
              <w:rPr>
                <w:rFonts w:ascii="Times New Roman" w:hAnsi="Times New Roman" w:eastAsia="Times New Roman" w:cs="Times New Roman"/>
                <w:sz w:val="20"/>
                <w:szCs w:val="20"/>
              </w:rPr>
              <w:t>-0.042</w:t>
            </w:r>
          </w:p>
        </w:tc>
        <w:tc>
          <w:tcPr>
            <w:tcW w:w="1040" w:type="dxa"/>
            <w:tcBorders>
              <w:top w:val="nil"/>
              <w:left w:val="nil"/>
              <w:bottom w:val="single" w:color="000000" w:sz="8" w:space="0"/>
              <w:right w:val="nil"/>
            </w:tcBorders>
            <w:tcMar>
              <w:top w:w="60" w:type="dxa"/>
              <w:left w:w="100" w:type="dxa"/>
              <w:bottom w:w="60" w:type="dxa"/>
              <w:right w:w="100" w:type="dxa"/>
            </w:tcMar>
          </w:tcPr>
          <w:p w14:paraId="37D56744">
            <w:pPr>
              <w:jc w:val="both"/>
            </w:pPr>
            <w:r>
              <w:rPr>
                <w:rFonts w:ascii="Times New Roman" w:hAnsi="Times New Roman" w:eastAsia="Times New Roman" w:cs="Times New Roman"/>
                <w:sz w:val="20"/>
                <w:szCs w:val="20"/>
              </w:rPr>
              <w:t>-0.262</w:t>
            </w:r>
          </w:p>
        </w:tc>
        <w:tc>
          <w:tcPr>
            <w:tcW w:w="1040" w:type="dxa"/>
            <w:tcBorders>
              <w:top w:val="nil"/>
              <w:left w:val="nil"/>
              <w:bottom w:val="single" w:color="000000" w:sz="8" w:space="0"/>
              <w:right w:val="nil"/>
            </w:tcBorders>
            <w:tcMar>
              <w:top w:w="60" w:type="dxa"/>
              <w:left w:w="100" w:type="dxa"/>
              <w:bottom w:w="60" w:type="dxa"/>
              <w:right w:w="100" w:type="dxa"/>
            </w:tcMar>
          </w:tcPr>
          <w:p w14:paraId="51E97FB0">
            <w:pPr>
              <w:jc w:val="both"/>
            </w:pPr>
            <w:r>
              <w:rPr>
                <w:rFonts w:ascii="Times New Roman" w:hAnsi="Times New Roman" w:eastAsia="Times New Roman" w:cs="Times New Roman"/>
                <w:sz w:val="20"/>
                <w:szCs w:val="20"/>
              </w:rPr>
              <w:t>1.000</w:t>
            </w:r>
          </w:p>
        </w:tc>
      </w:tr>
    </w:tbl>
    <w:p w14:paraId="11BC2AB3">
      <w:pPr>
        <w:spacing w:before="60" w:after="100"/>
        <w:jc w:val="both"/>
      </w:pPr>
      <w:r>
        <w:rPr>
          <w:rFonts w:ascii="Times New Roman" w:hAnsi="Times New Roman" w:eastAsia="Times New Roman" w:cs="Times New Roman"/>
          <w:b/>
          <w:bCs/>
          <w:i/>
          <w:iCs/>
          <w:sz w:val="24"/>
          <w:szCs w:val="24"/>
        </w:rPr>
        <w:t xml:space="preserve">Notes: </w:t>
      </w:r>
      <w:r>
        <w:rPr>
          <w:rFonts w:ascii="Times New Roman" w:hAnsi="Times New Roman" w:eastAsia="Times New Roman" w:cs="Times New Roman"/>
          <w:i/>
          <w:iCs/>
          <w:sz w:val="24"/>
          <w:szCs w:val="24"/>
        </w:rPr>
        <w:t>Pairwise correlations. All variables standardised where relevant. Prov/NPL = Provisions to Non-Performing Loans (%). ClimStress = Climate Stress Index. Gov Effect. = Government Effectiveness (WGI). Ag Exposure = Rural Population Share (standardised). Bank Cap = Bank Capital/Assets Ratio (%).</w:t>
      </w:r>
    </w:p>
    <w:p w14:paraId="354609E6">
      <w:pPr>
        <w:jc w:val="both"/>
      </w:pPr>
      <w:r>
        <w:br w:type="page"/>
      </w:r>
    </w:p>
    <w:p w14:paraId="44946F8D">
      <w:pPr>
        <w:pStyle w:val="2"/>
        <w:spacing w:before="400" w:after="200"/>
        <w:jc w:val="both"/>
      </w:pPr>
      <w:r>
        <w:rPr>
          <w:rFonts w:ascii="Times New Roman" w:hAnsi="Times New Roman" w:eastAsia="Times New Roman" w:cs="Times New Roman"/>
          <w:b/>
          <w:bCs/>
          <w:caps/>
          <w:sz w:val="28"/>
          <w:szCs w:val="28"/>
        </w:rPr>
        <w:t>V. Empirical Strategy</w:t>
      </w:r>
    </w:p>
    <w:p w14:paraId="5916324E">
      <w:pPr>
        <w:pStyle w:val="3"/>
        <w:spacing w:before="280" w:after="140"/>
        <w:jc w:val="both"/>
      </w:pPr>
      <w:r>
        <w:rPr>
          <w:rFonts w:ascii="Times New Roman" w:hAnsi="Times New Roman" w:eastAsia="Times New Roman" w:cs="Times New Roman"/>
          <w:b/>
          <w:bCs/>
          <w:sz w:val="26"/>
          <w:szCs w:val="26"/>
        </w:rPr>
        <w:t>V.A Baseline Specification</w:t>
      </w:r>
    </w:p>
    <w:p w14:paraId="7B6CD1DD">
      <w:pPr>
        <w:spacing w:after="180" w:line="360" w:lineRule="auto"/>
        <w:jc w:val="both"/>
      </w:pPr>
      <w:r>
        <w:rPr>
          <w:rFonts w:ascii="Times New Roman" w:hAnsi="Times New Roman" w:eastAsia="Times New Roman" w:cs="Times New Roman"/>
          <w:sz w:val="24"/>
          <w:szCs w:val="24"/>
        </w:rPr>
        <w:t>We estimate the following panel model:</w:t>
      </w:r>
    </w:p>
    <w:p w14:paraId="6B9A7A9E">
      <w:pPr>
        <w:spacing w:before="120" w:after="120"/>
        <w:jc w:val="both"/>
      </w:pPr>
      <w:r>
        <w:rPr>
          <w:rFonts w:ascii="Times New Roman" w:hAnsi="Times New Roman" w:eastAsia="Times New Roman" w:cs="Times New Roman"/>
          <w:i/>
          <w:iCs/>
          <w:sz w:val="24"/>
          <w:szCs w:val="24"/>
        </w:rPr>
        <w:t>Fragility_{i,c,t} = α + β₁ CSI_{c,t} + β₂ (CSI_{c,t} × RoL_{c,t}) + β₃ (CSI_{c,t} × AgExp_{c,t}) + δ X_{i,c,t} + λ_t + η_c + ε_{i,c,t}</w:t>
      </w:r>
      <w:r>
        <w:rPr>
          <w:rFonts w:ascii="Times New Roman" w:hAnsi="Times New Roman" w:eastAsia="Times New Roman" w:cs="Times New Roman"/>
          <w:sz w:val="24"/>
          <w:szCs w:val="24"/>
        </w:rPr>
        <w:t xml:space="preserve">          (2)</w:t>
      </w:r>
    </w:p>
    <w:p w14:paraId="0FED45D2">
      <w:pPr>
        <w:spacing w:after="180" w:line="360" w:lineRule="auto"/>
        <w:jc w:val="both"/>
      </w:pPr>
      <w:r>
        <w:rPr>
          <w:rFonts w:ascii="Times New Roman" w:hAnsi="Times New Roman" w:eastAsia="Times New Roman" w:cs="Times New Roman"/>
          <w:sz w:val="24"/>
          <w:szCs w:val="24"/>
        </w:rPr>
        <w:t xml:space="preserve">where </w:t>
      </w:r>
      <w:r>
        <w:rPr>
          <w:rFonts w:ascii="Times New Roman" w:hAnsi="Times New Roman" w:eastAsia="Times New Roman" w:cs="Times New Roman"/>
          <w:i/>
          <w:iCs/>
          <w:sz w:val="24"/>
          <w:szCs w:val="24"/>
        </w:rPr>
        <w:t>Fragility_{i,c,t}</w:t>
      </w:r>
      <w:r>
        <w:rPr>
          <w:rFonts w:ascii="Times New Roman" w:hAnsi="Times New Roman" w:eastAsia="Times New Roman" w:cs="Times New Roman"/>
          <w:sz w:val="24"/>
          <w:szCs w:val="24"/>
        </w:rPr>
        <w:t xml:space="preserve"> is the Provisions/NPL Ratio of MFI i in country c in year t; </w:t>
      </w:r>
      <w:r>
        <w:rPr>
          <w:rFonts w:ascii="Times New Roman" w:hAnsi="Times New Roman" w:eastAsia="Times New Roman" w:cs="Times New Roman"/>
          <w:i/>
          <w:iCs/>
          <w:sz w:val="24"/>
          <w:szCs w:val="24"/>
        </w:rPr>
        <w:t>CSI_{c,t}</w:t>
      </w:r>
      <w:r>
        <w:rPr>
          <w:rFonts w:ascii="Times New Roman" w:hAnsi="Times New Roman" w:eastAsia="Times New Roman" w:cs="Times New Roman"/>
          <w:sz w:val="24"/>
          <w:szCs w:val="24"/>
        </w:rPr>
        <w:t xml:space="preserve"> is the Climate Stress Index; </w:t>
      </w:r>
      <w:r>
        <w:rPr>
          <w:rFonts w:ascii="Times New Roman" w:hAnsi="Times New Roman" w:eastAsia="Times New Roman" w:cs="Times New Roman"/>
          <w:i/>
          <w:iCs/>
          <w:sz w:val="24"/>
          <w:szCs w:val="24"/>
        </w:rPr>
        <w:t>RoL_{c,t}</w:t>
      </w:r>
      <w:r>
        <w:rPr>
          <w:rFonts w:ascii="Times New Roman" w:hAnsi="Times New Roman" w:eastAsia="Times New Roman" w:cs="Times New Roman"/>
          <w:sz w:val="24"/>
          <w:szCs w:val="24"/>
        </w:rPr>
        <w:t xml:space="preserve"> is WGI Rule of Law; </w:t>
      </w:r>
      <w:r>
        <w:rPr>
          <w:rFonts w:ascii="Times New Roman" w:hAnsi="Times New Roman" w:eastAsia="Times New Roman" w:cs="Times New Roman"/>
          <w:i/>
          <w:iCs/>
          <w:sz w:val="24"/>
          <w:szCs w:val="24"/>
        </w:rPr>
        <w:t>AgExp_{c,t}</w:t>
      </w:r>
      <w:r>
        <w:rPr>
          <w:rFonts w:ascii="Times New Roman" w:hAnsi="Times New Roman" w:eastAsia="Times New Roman" w:cs="Times New Roman"/>
          <w:sz w:val="24"/>
          <w:szCs w:val="24"/>
        </w:rPr>
        <w:t xml:space="preserve"> is rural population share; </w:t>
      </w:r>
      <w:r>
        <w:rPr>
          <w:rFonts w:ascii="Times New Roman" w:hAnsi="Times New Roman" w:eastAsia="Times New Roman" w:cs="Times New Roman"/>
          <w:i/>
          <w:iCs/>
          <w:sz w:val="24"/>
          <w:szCs w:val="24"/>
        </w:rPr>
        <w:t>X_{i,c,t}</w:t>
      </w:r>
      <w:r>
        <w:rPr>
          <w:rFonts w:ascii="Times New Roman" w:hAnsi="Times New Roman" w:eastAsia="Times New Roman" w:cs="Times New Roman"/>
          <w:sz w:val="24"/>
          <w:szCs w:val="24"/>
        </w:rPr>
        <w:t xml:space="preserve"> is the vector of MFI- and country-level controls; λ_t are year fixed effects; η_c are country fixed effects; and ε_{i,c,t} is the error term, with standard errors heteroskedasticity-robust (HC3) throughout.</w:t>
      </w:r>
    </w:p>
    <w:p w14:paraId="74458FB1">
      <w:pPr>
        <w:pStyle w:val="3"/>
        <w:spacing w:before="280" w:after="140"/>
        <w:jc w:val="both"/>
      </w:pPr>
      <w:r>
        <w:rPr>
          <w:rFonts w:ascii="Times New Roman" w:hAnsi="Times New Roman" w:eastAsia="Times New Roman" w:cs="Times New Roman"/>
          <w:b/>
          <w:bCs/>
          <w:sz w:val="26"/>
          <w:szCs w:val="26"/>
        </w:rPr>
        <w:t>V.B Identification and Threats</w:t>
      </w:r>
    </w:p>
    <w:p w14:paraId="5C61ED71">
      <w:pPr>
        <w:spacing w:after="180" w:line="360" w:lineRule="auto"/>
        <w:jc w:val="both"/>
      </w:pPr>
      <w:r>
        <w:rPr>
          <w:rFonts w:ascii="Times New Roman" w:hAnsi="Times New Roman" w:eastAsia="Times New Roman" w:cs="Times New Roman"/>
          <w:sz w:val="24"/>
          <w:szCs w:val="24"/>
        </w:rPr>
        <w:t>The Climate Stress Index contains a rural population component that is correlated with omitted development-level variables. We address this by including country fixed effects in the most demanding specification (Model 4), which absorbs all time-invariant country-level confounds. Year fixed effects absorb global macroeconomic cycles that simultaneously drive both climate awareness and MFI performance. The governance interaction is identified from within-country variation in WGI scores over time — WGI scores do change meaningfully within countries across the 2010–2018 window — and the agricultural interaction is similarly identified from the cross-sectional variation in rural population shares across the 43 countries in our sample.</w:t>
      </w:r>
    </w:p>
    <w:p w14:paraId="67CF794D">
      <w:pPr>
        <w:spacing w:after="180" w:line="360" w:lineRule="auto"/>
        <w:jc w:val="both"/>
      </w:pPr>
      <w:r>
        <w:rPr>
          <w:rFonts w:ascii="Times New Roman" w:hAnsi="Times New Roman" w:eastAsia="Times New Roman" w:cs="Times New Roman"/>
          <w:sz w:val="24"/>
          <w:szCs w:val="24"/>
        </w:rPr>
        <w:t>A remaining concern is that the PCA loadings are partly driven by rural population share, which also enters the agricultural exposure interaction. We address this by re-estimating all specifications with CO2-only and Ag-methane-only versions of the climate index in robustness checks, and by confirming that the governance buffering result is robust to this decomposition.</w:t>
      </w:r>
    </w:p>
    <w:p w14:paraId="3AAE1B5A">
      <w:pPr>
        <w:pStyle w:val="3"/>
        <w:spacing w:before="280" w:after="140"/>
        <w:jc w:val="both"/>
      </w:pPr>
      <w:r>
        <w:rPr>
          <w:rFonts w:ascii="Times New Roman" w:hAnsi="Times New Roman" w:eastAsia="Times New Roman" w:cs="Times New Roman"/>
          <w:b/>
          <w:bCs/>
          <w:sz w:val="26"/>
          <w:szCs w:val="26"/>
        </w:rPr>
        <w:t>V.C Fixed Effects and Inference</w:t>
      </w:r>
    </w:p>
    <w:p w14:paraId="09721112">
      <w:pPr>
        <w:spacing w:after="180" w:line="360" w:lineRule="auto"/>
        <w:jc w:val="both"/>
      </w:pPr>
      <w:r>
        <w:rPr>
          <w:rFonts w:ascii="Times New Roman" w:hAnsi="Times New Roman" w:eastAsia="Times New Roman" w:cs="Times New Roman"/>
          <w:sz w:val="24"/>
          <w:szCs w:val="24"/>
        </w:rPr>
        <w:t>We estimate four specifications of increasing stringency: (1) OLS with no fixed effects; (2) OLS with year fixed effects; (3) OLS with interaction terms and year fixed effects; and (4) OLS with interaction terms, year fixed effects, and country fixed effects. HC3 heteroskedasticity-robust standard errors are reported throughout. We additionally report Fama-MacBeth (1973) annual cross-sectional regressions with Newey-West standard errors as an alternative panel estimator that is robust to cross-sectional dependence within calendar years.</w:t>
      </w:r>
    </w:p>
    <w:p w14:paraId="7EDF47C7">
      <w:pPr>
        <w:jc w:val="both"/>
      </w:pPr>
      <w:r>
        <w:br w:type="page"/>
      </w:r>
    </w:p>
    <w:p w14:paraId="10B3E61D">
      <w:pPr>
        <w:pStyle w:val="2"/>
        <w:spacing w:before="400" w:after="200"/>
        <w:jc w:val="both"/>
      </w:pPr>
      <w:r>
        <w:rPr>
          <w:rFonts w:ascii="Times New Roman" w:hAnsi="Times New Roman" w:eastAsia="Times New Roman" w:cs="Times New Roman"/>
          <w:b/>
          <w:bCs/>
          <w:caps/>
          <w:sz w:val="28"/>
          <w:szCs w:val="28"/>
        </w:rPr>
        <w:t>VI. Empirical Results</w:t>
      </w:r>
    </w:p>
    <w:p w14:paraId="181DD056">
      <w:pPr>
        <w:pStyle w:val="3"/>
        <w:spacing w:before="280" w:after="140"/>
        <w:jc w:val="both"/>
      </w:pPr>
      <w:r>
        <w:rPr>
          <w:rFonts w:ascii="Times New Roman" w:hAnsi="Times New Roman" w:eastAsia="Times New Roman" w:cs="Times New Roman"/>
          <w:b/>
          <w:bCs/>
          <w:sz w:val="26"/>
          <w:szCs w:val="26"/>
        </w:rPr>
        <w:t>VI.A Main Results</w:t>
      </w:r>
    </w:p>
    <w:p w14:paraId="0A49AC9D">
      <w:pPr>
        <w:spacing w:after="180" w:line="360" w:lineRule="auto"/>
        <w:jc w:val="both"/>
      </w:pPr>
      <w:r>
        <w:rPr>
          <w:rFonts w:ascii="Times New Roman" w:hAnsi="Times New Roman" w:eastAsia="Times New Roman" w:cs="Times New Roman"/>
          <w:b/>
          <w:bCs/>
          <w:sz w:val="24"/>
          <w:szCs w:val="24"/>
        </w:rPr>
        <w:t>Table 3</w:t>
      </w:r>
      <w:r>
        <w:rPr>
          <w:rFonts w:ascii="Times New Roman" w:hAnsi="Times New Roman" w:eastAsia="Times New Roman" w:cs="Times New Roman"/>
          <w:sz w:val="24"/>
          <w:szCs w:val="24"/>
        </w:rPr>
        <w:t xml:space="preserve"> reports the main estimates of equation (2) across four specifications.</w:t>
      </w:r>
    </w:p>
    <w:p w14:paraId="26684395">
      <w:pPr>
        <w:spacing w:before="200" w:after="100"/>
        <w:jc w:val="both"/>
      </w:pPr>
      <w:r>
        <w:rPr>
          <w:rFonts w:ascii="Times New Roman" w:hAnsi="Times New Roman" w:eastAsia="Times New Roman" w:cs="Times New Roman"/>
          <w:b/>
          <w:bCs/>
          <w:sz w:val="24"/>
          <w:szCs w:val="24"/>
        </w:rPr>
        <w:t>Table 3: Baseline OLS Results — Climate Stress and MFI Repayment Fragility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87"/>
        <w:gridCol w:w="1668"/>
        <w:gridCol w:w="1668"/>
        <w:gridCol w:w="1668"/>
        <w:gridCol w:w="1669"/>
      </w:tblGrid>
      <w:tr w14:paraId="7844A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000000" w:sz="8" w:space="0"/>
              <w:left w:val="nil"/>
              <w:bottom w:val="single" w:color="AAAAAA" w:sz="0" w:space="0"/>
              <w:right w:val="nil"/>
            </w:tcBorders>
            <w:shd w:val="clear" w:color="auto" w:fill="E8E8E8"/>
            <w:tcMar>
              <w:top w:w="80" w:type="dxa"/>
              <w:left w:w="100" w:type="dxa"/>
              <w:bottom w:w="80" w:type="dxa"/>
              <w:right w:w="100" w:type="dxa"/>
            </w:tcMar>
          </w:tcPr>
          <w:p w14:paraId="58D0A6D4">
            <w:pPr>
              <w:jc w:val="both"/>
            </w:pPr>
            <w:r>
              <w:rPr>
                <w:rFonts w:ascii="Times New Roman" w:hAnsi="Times New Roman" w:eastAsia="Times New Roman" w:cs="Times New Roman"/>
                <w:b/>
                <w:bCs/>
                <w:sz w:val="20"/>
                <w:szCs w:val="20"/>
              </w:rPr>
              <w:t>Variable</w:t>
            </w:r>
          </w:p>
        </w:tc>
        <w:tc>
          <w:tcPr>
            <w:tcW w:w="1490" w:type="dxa"/>
            <w:tcBorders>
              <w:top w:val="single" w:color="000000" w:sz="8" w:space="0"/>
              <w:left w:val="nil"/>
              <w:bottom w:val="single" w:color="AAAAAA" w:sz="0" w:space="0"/>
              <w:right w:val="nil"/>
            </w:tcBorders>
            <w:shd w:val="clear" w:color="auto" w:fill="E8E8E8"/>
            <w:tcMar>
              <w:top w:w="80" w:type="dxa"/>
              <w:left w:w="100" w:type="dxa"/>
              <w:bottom w:w="80" w:type="dxa"/>
              <w:right w:w="100" w:type="dxa"/>
            </w:tcMar>
          </w:tcPr>
          <w:p w14:paraId="061D5A37">
            <w:pPr>
              <w:jc w:val="both"/>
            </w:pPr>
            <w:r>
              <w:rPr>
                <w:rFonts w:ascii="Times New Roman" w:hAnsi="Times New Roman" w:eastAsia="Times New Roman" w:cs="Times New Roman"/>
                <w:b/>
                <w:bCs/>
                <w:sz w:val="20"/>
                <w:szCs w:val="20"/>
              </w:rPr>
              <w:t>(1) OLS</w:t>
            </w:r>
          </w:p>
        </w:tc>
        <w:tc>
          <w:tcPr>
            <w:tcW w:w="1490" w:type="dxa"/>
            <w:tcBorders>
              <w:top w:val="single" w:color="000000" w:sz="8" w:space="0"/>
              <w:left w:val="nil"/>
              <w:bottom w:val="single" w:color="AAAAAA" w:sz="0" w:space="0"/>
              <w:right w:val="nil"/>
            </w:tcBorders>
            <w:shd w:val="clear" w:color="auto" w:fill="E8E8E8"/>
            <w:tcMar>
              <w:top w:w="80" w:type="dxa"/>
              <w:left w:w="100" w:type="dxa"/>
              <w:bottom w:w="80" w:type="dxa"/>
              <w:right w:w="100" w:type="dxa"/>
            </w:tcMar>
          </w:tcPr>
          <w:p w14:paraId="33419FC6">
            <w:pPr>
              <w:jc w:val="both"/>
            </w:pPr>
            <w:r>
              <w:rPr>
                <w:rFonts w:ascii="Times New Roman" w:hAnsi="Times New Roman" w:eastAsia="Times New Roman" w:cs="Times New Roman"/>
                <w:b/>
                <w:bCs/>
                <w:sz w:val="20"/>
                <w:szCs w:val="20"/>
              </w:rPr>
              <w:t>(2) OLS+YrFE</w:t>
            </w:r>
          </w:p>
        </w:tc>
        <w:tc>
          <w:tcPr>
            <w:tcW w:w="1490" w:type="dxa"/>
            <w:tcBorders>
              <w:top w:val="single" w:color="000000" w:sz="8" w:space="0"/>
              <w:left w:val="nil"/>
              <w:bottom w:val="single" w:color="AAAAAA" w:sz="0" w:space="0"/>
              <w:right w:val="nil"/>
            </w:tcBorders>
            <w:shd w:val="clear" w:color="auto" w:fill="E8E8E8"/>
            <w:tcMar>
              <w:top w:w="80" w:type="dxa"/>
              <w:left w:w="100" w:type="dxa"/>
              <w:bottom w:w="80" w:type="dxa"/>
              <w:right w:w="100" w:type="dxa"/>
            </w:tcMar>
          </w:tcPr>
          <w:p w14:paraId="31A5E553">
            <w:pPr>
              <w:jc w:val="both"/>
            </w:pPr>
            <w:r>
              <w:rPr>
                <w:rFonts w:ascii="Times New Roman" w:hAnsi="Times New Roman" w:eastAsia="Times New Roman" w:cs="Times New Roman"/>
                <w:b/>
                <w:bCs/>
                <w:sz w:val="20"/>
                <w:szCs w:val="20"/>
              </w:rPr>
              <w:t>(3) Interact.</w:t>
            </w:r>
          </w:p>
        </w:tc>
        <w:tc>
          <w:tcPr>
            <w:tcW w:w="1490" w:type="dxa"/>
            <w:tcBorders>
              <w:top w:val="single" w:color="000000" w:sz="8" w:space="0"/>
              <w:left w:val="nil"/>
              <w:bottom w:val="single" w:color="AAAAAA" w:sz="0" w:space="0"/>
              <w:right w:val="nil"/>
            </w:tcBorders>
            <w:shd w:val="clear" w:color="auto" w:fill="E8E8E8"/>
            <w:tcMar>
              <w:top w:w="80" w:type="dxa"/>
              <w:left w:w="100" w:type="dxa"/>
              <w:bottom w:w="80" w:type="dxa"/>
              <w:right w:w="100" w:type="dxa"/>
            </w:tcMar>
          </w:tcPr>
          <w:p w14:paraId="488B2744">
            <w:pPr>
              <w:jc w:val="both"/>
            </w:pPr>
            <w:r>
              <w:rPr>
                <w:rFonts w:ascii="Times New Roman" w:hAnsi="Times New Roman" w:eastAsia="Times New Roman" w:cs="Times New Roman"/>
                <w:b/>
                <w:bCs/>
                <w:sz w:val="20"/>
                <w:szCs w:val="20"/>
              </w:rPr>
              <w:t>(4) Full FE</w:t>
            </w:r>
          </w:p>
        </w:tc>
      </w:tr>
      <w:tr w14:paraId="26BE7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60" w:type="dxa"/>
              <w:left w:w="100" w:type="dxa"/>
              <w:bottom w:w="60" w:type="dxa"/>
              <w:right w:w="100" w:type="dxa"/>
            </w:tcMar>
          </w:tcPr>
          <w:p w14:paraId="39C85C22">
            <w:pPr>
              <w:jc w:val="both"/>
            </w:pPr>
            <w:r>
              <w:rPr>
                <w:rFonts w:ascii="Times New Roman" w:hAnsi="Times New Roman" w:eastAsia="Times New Roman" w:cs="Times New Roman"/>
                <w:i w:val="0"/>
                <w:iCs w:val="0"/>
                <w:sz w:val="20"/>
                <w:szCs w:val="20"/>
              </w:rPr>
              <w:t>Climate Stress Index</w:t>
            </w:r>
          </w:p>
        </w:tc>
        <w:tc>
          <w:tcPr>
            <w:tcW w:w="1490" w:type="dxa"/>
            <w:tcBorders>
              <w:top w:val="nil"/>
              <w:left w:val="nil"/>
              <w:bottom w:val="nil"/>
              <w:right w:val="nil"/>
            </w:tcBorders>
            <w:tcMar>
              <w:top w:w="60" w:type="dxa"/>
              <w:left w:w="100" w:type="dxa"/>
              <w:bottom w:w="60" w:type="dxa"/>
              <w:right w:w="100" w:type="dxa"/>
            </w:tcMar>
          </w:tcPr>
          <w:p w14:paraId="23F66F1D">
            <w:pPr>
              <w:jc w:val="both"/>
            </w:pPr>
            <w:r>
              <w:rPr>
                <w:rFonts w:ascii="Times New Roman" w:hAnsi="Times New Roman" w:eastAsia="Times New Roman" w:cs="Times New Roman"/>
                <w:i w:val="0"/>
                <w:iCs w:val="0"/>
                <w:sz w:val="20"/>
                <w:szCs w:val="20"/>
              </w:rPr>
              <w:t>1.961*</w:t>
            </w:r>
          </w:p>
        </w:tc>
        <w:tc>
          <w:tcPr>
            <w:tcW w:w="1490" w:type="dxa"/>
            <w:tcBorders>
              <w:top w:val="nil"/>
              <w:left w:val="nil"/>
              <w:bottom w:val="nil"/>
              <w:right w:val="nil"/>
            </w:tcBorders>
            <w:tcMar>
              <w:top w:w="60" w:type="dxa"/>
              <w:left w:w="100" w:type="dxa"/>
              <w:bottom w:w="60" w:type="dxa"/>
              <w:right w:w="100" w:type="dxa"/>
            </w:tcMar>
          </w:tcPr>
          <w:p w14:paraId="440CAC22">
            <w:pPr>
              <w:jc w:val="both"/>
            </w:pPr>
            <w:r>
              <w:rPr>
                <w:rFonts w:ascii="Times New Roman" w:hAnsi="Times New Roman" w:eastAsia="Times New Roman" w:cs="Times New Roman"/>
                <w:i w:val="0"/>
                <w:iCs w:val="0"/>
                <w:sz w:val="20"/>
                <w:szCs w:val="20"/>
              </w:rPr>
              <w:t>2.018**</w:t>
            </w:r>
          </w:p>
        </w:tc>
        <w:tc>
          <w:tcPr>
            <w:tcW w:w="1490" w:type="dxa"/>
            <w:tcBorders>
              <w:top w:val="nil"/>
              <w:left w:val="nil"/>
              <w:bottom w:val="nil"/>
              <w:right w:val="nil"/>
            </w:tcBorders>
            <w:tcMar>
              <w:top w:w="60" w:type="dxa"/>
              <w:left w:w="100" w:type="dxa"/>
              <w:bottom w:w="60" w:type="dxa"/>
              <w:right w:w="100" w:type="dxa"/>
            </w:tcMar>
          </w:tcPr>
          <w:p w14:paraId="68831DA8">
            <w:pPr>
              <w:jc w:val="both"/>
            </w:pPr>
            <w:r>
              <w:rPr>
                <w:rFonts w:ascii="Times New Roman" w:hAnsi="Times New Roman" w:eastAsia="Times New Roman" w:cs="Times New Roman"/>
                <w:i w:val="0"/>
                <w:iCs w:val="0"/>
                <w:sz w:val="20"/>
                <w:szCs w:val="20"/>
              </w:rPr>
              <w:t>1.702</w:t>
            </w:r>
          </w:p>
        </w:tc>
        <w:tc>
          <w:tcPr>
            <w:tcW w:w="1490" w:type="dxa"/>
            <w:tcBorders>
              <w:top w:val="nil"/>
              <w:left w:val="nil"/>
              <w:bottom w:val="nil"/>
              <w:right w:val="nil"/>
            </w:tcBorders>
            <w:tcMar>
              <w:top w:w="60" w:type="dxa"/>
              <w:left w:w="100" w:type="dxa"/>
              <w:bottom w:w="60" w:type="dxa"/>
              <w:right w:w="100" w:type="dxa"/>
            </w:tcMar>
          </w:tcPr>
          <w:p w14:paraId="59B8A995">
            <w:pPr>
              <w:jc w:val="both"/>
            </w:pPr>
            <w:r>
              <w:rPr>
                <w:rFonts w:ascii="Times New Roman" w:hAnsi="Times New Roman" w:eastAsia="Times New Roman" w:cs="Times New Roman"/>
                <w:i w:val="0"/>
                <w:iCs w:val="0"/>
                <w:sz w:val="20"/>
                <w:szCs w:val="20"/>
              </w:rPr>
              <w:t>-67.773***</w:t>
            </w:r>
          </w:p>
        </w:tc>
      </w:tr>
      <w:tr w14:paraId="3BD83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60" w:type="dxa"/>
              <w:left w:w="100" w:type="dxa"/>
              <w:bottom w:w="60" w:type="dxa"/>
              <w:right w:w="100" w:type="dxa"/>
            </w:tcMar>
          </w:tcPr>
          <w:p w14:paraId="1D950F13">
            <w:pPr>
              <w:jc w:val="both"/>
            </w:pPr>
          </w:p>
        </w:tc>
        <w:tc>
          <w:tcPr>
            <w:tcW w:w="1490" w:type="dxa"/>
            <w:tcBorders>
              <w:top w:val="nil"/>
              <w:left w:val="nil"/>
              <w:bottom w:val="nil"/>
              <w:right w:val="nil"/>
            </w:tcBorders>
            <w:tcMar>
              <w:top w:w="60" w:type="dxa"/>
              <w:left w:w="100" w:type="dxa"/>
              <w:bottom w:w="60" w:type="dxa"/>
              <w:right w:w="100" w:type="dxa"/>
            </w:tcMar>
          </w:tcPr>
          <w:p w14:paraId="7DA5CBB4">
            <w:pPr>
              <w:jc w:val="both"/>
            </w:pPr>
            <w:r>
              <w:rPr>
                <w:rFonts w:ascii="Times New Roman" w:hAnsi="Times New Roman" w:eastAsia="Times New Roman" w:cs="Times New Roman"/>
                <w:i/>
                <w:iCs/>
                <w:sz w:val="20"/>
                <w:szCs w:val="20"/>
              </w:rPr>
              <w:t>(1.000)</w:t>
            </w:r>
          </w:p>
        </w:tc>
        <w:tc>
          <w:tcPr>
            <w:tcW w:w="1490" w:type="dxa"/>
            <w:tcBorders>
              <w:top w:val="nil"/>
              <w:left w:val="nil"/>
              <w:bottom w:val="nil"/>
              <w:right w:val="nil"/>
            </w:tcBorders>
            <w:tcMar>
              <w:top w:w="60" w:type="dxa"/>
              <w:left w:w="100" w:type="dxa"/>
              <w:bottom w:w="60" w:type="dxa"/>
              <w:right w:w="100" w:type="dxa"/>
            </w:tcMar>
          </w:tcPr>
          <w:p w14:paraId="3E9371A6">
            <w:pPr>
              <w:jc w:val="both"/>
            </w:pPr>
            <w:r>
              <w:rPr>
                <w:rFonts w:ascii="Times New Roman" w:hAnsi="Times New Roman" w:eastAsia="Times New Roman" w:cs="Times New Roman"/>
                <w:i/>
                <w:iCs/>
                <w:sz w:val="20"/>
                <w:szCs w:val="20"/>
              </w:rPr>
              <w:t>(0.962)</w:t>
            </w:r>
          </w:p>
        </w:tc>
        <w:tc>
          <w:tcPr>
            <w:tcW w:w="1490" w:type="dxa"/>
            <w:tcBorders>
              <w:top w:val="nil"/>
              <w:left w:val="nil"/>
              <w:bottom w:val="nil"/>
              <w:right w:val="nil"/>
            </w:tcBorders>
            <w:tcMar>
              <w:top w:w="60" w:type="dxa"/>
              <w:left w:w="100" w:type="dxa"/>
              <w:bottom w:w="60" w:type="dxa"/>
              <w:right w:w="100" w:type="dxa"/>
            </w:tcMar>
          </w:tcPr>
          <w:p w14:paraId="152F31DE">
            <w:pPr>
              <w:jc w:val="both"/>
            </w:pPr>
            <w:r>
              <w:rPr>
                <w:rFonts w:ascii="Times New Roman" w:hAnsi="Times New Roman" w:eastAsia="Times New Roman" w:cs="Times New Roman"/>
                <w:i/>
                <w:iCs/>
                <w:sz w:val="20"/>
                <w:szCs w:val="20"/>
              </w:rPr>
              <w:t>(1.111)</w:t>
            </w:r>
          </w:p>
        </w:tc>
        <w:tc>
          <w:tcPr>
            <w:tcW w:w="1490" w:type="dxa"/>
            <w:tcBorders>
              <w:top w:val="nil"/>
              <w:left w:val="nil"/>
              <w:bottom w:val="nil"/>
              <w:right w:val="nil"/>
            </w:tcBorders>
            <w:tcMar>
              <w:top w:w="60" w:type="dxa"/>
              <w:left w:w="100" w:type="dxa"/>
              <w:bottom w:w="60" w:type="dxa"/>
              <w:right w:w="100" w:type="dxa"/>
            </w:tcMar>
          </w:tcPr>
          <w:p w14:paraId="11FEDAD2">
            <w:pPr>
              <w:jc w:val="both"/>
            </w:pPr>
            <w:r>
              <w:rPr>
                <w:rFonts w:ascii="Times New Roman" w:hAnsi="Times New Roman" w:eastAsia="Times New Roman" w:cs="Times New Roman"/>
                <w:i/>
                <w:iCs/>
                <w:sz w:val="20"/>
                <w:szCs w:val="20"/>
              </w:rPr>
              <w:t>(10.057)</w:t>
            </w:r>
          </w:p>
        </w:tc>
      </w:tr>
      <w:tr w14:paraId="0A0E0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60" w:type="dxa"/>
              <w:left w:w="100" w:type="dxa"/>
              <w:bottom w:w="60" w:type="dxa"/>
              <w:right w:w="100" w:type="dxa"/>
            </w:tcMar>
          </w:tcPr>
          <w:p w14:paraId="42119D4F">
            <w:pPr>
              <w:jc w:val="both"/>
            </w:pPr>
            <w:r>
              <w:rPr>
                <w:rFonts w:ascii="Times New Roman" w:hAnsi="Times New Roman" w:eastAsia="Times New Roman" w:cs="Times New Roman"/>
                <w:i w:val="0"/>
                <w:iCs w:val="0"/>
                <w:sz w:val="20"/>
                <w:szCs w:val="20"/>
              </w:rPr>
              <w:t>CSI x Rule of Law</w:t>
            </w:r>
          </w:p>
        </w:tc>
        <w:tc>
          <w:tcPr>
            <w:tcW w:w="1490" w:type="dxa"/>
            <w:tcBorders>
              <w:top w:val="nil"/>
              <w:left w:val="nil"/>
              <w:bottom w:val="nil"/>
              <w:right w:val="nil"/>
            </w:tcBorders>
            <w:tcMar>
              <w:top w:w="60" w:type="dxa"/>
              <w:left w:w="100" w:type="dxa"/>
              <w:bottom w:w="60" w:type="dxa"/>
              <w:right w:w="100" w:type="dxa"/>
            </w:tcMar>
          </w:tcPr>
          <w:p w14:paraId="4106C60E">
            <w:pPr>
              <w:jc w:val="both"/>
            </w:pPr>
            <w:r>
              <w:rPr>
                <w:rFonts w:ascii="Times New Roman" w:hAnsi="Times New Roman" w:eastAsia="Times New Roman" w:cs="Times New Roman"/>
                <w:i w:val="0"/>
                <w:iCs w:val="0"/>
                <w:sz w:val="20"/>
                <w:szCs w:val="20"/>
              </w:rPr>
              <w:t>—</w:t>
            </w:r>
          </w:p>
        </w:tc>
        <w:tc>
          <w:tcPr>
            <w:tcW w:w="1490" w:type="dxa"/>
            <w:tcBorders>
              <w:top w:val="nil"/>
              <w:left w:val="nil"/>
              <w:bottom w:val="nil"/>
              <w:right w:val="nil"/>
            </w:tcBorders>
            <w:tcMar>
              <w:top w:w="60" w:type="dxa"/>
              <w:left w:w="100" w:type="dxa"/>
              <w:bottom w:w="60" w:type="dxa"/>
              <w:right w:w="100" w:type="dxa"/>
            </w:tcMar>
          </w:tcPr>
          <w:p w14:paraId="31831C16">
            <w:pPr>
              <w:jc w:val="both"/>
            </w:pPr>
            <w:r>
              <w:rPr>
                <w:rFonts w:ascii="Times New Roman" w:hAnsi="Times New Roman" w:eastAsia="Times New Roman" w:cs="Times New Roman"/>
                <w:i w:val="0"/>
                <w:iCs w:val="0"/>
                <w:sz w:val="20"/>
                <w:szCs w:val="20"/>
              </w:rPr>
              <w:t>—</w:t>
            </w:r>
          </w:p>
        </w:tc>
        <w:tc>
          <w:tcPr>
            <w:tcW w:w="1490" w:type="dxa"/>
            <w:tcBorders>
              <w:top w:val="nil"/>
              <w:left w:val="nil"/>
              <w:bottom w:val="nil"/>
              <w:right w:val="nil"/>
            </w:tcBorders>
            <w:tcMar>
              <w:top w:w="60" w:type="dxa"/>
              <w:left w:w="100" w:type="dxa"/>
              <w:bottom w:w="60" w:type="dxa"/>
              <w:right w:w="100" w:type="dxa"/>
            </w:tcMar>
          </w:tcPr>
          <w:p w14:paraId="069484A9">
            <w:pPr>
              <w:jc w:val="both"/>
            </w:pPr>
            <w:r>
              <w:rPr>
                <w:rFonts w:ascii="Times New Roman" w:hAnsi="Times New Roman" w:eastAsia="Times New Roman" w:cs="Times New Roman"/>
                <w:i w:val="0"/>
                <w:iCs w:val="0"/>
                <w:sz w:val="20"/>
                <w:szCs w:val="20"/>
              </w:rPr>
              <w:t>-0.619</w:t>
            </w:r>
          </w:p>
        </w:tc>
        <w:tc>
          <w:tcPr>
            <w:tcW w:w="1490" w:type="dxa"/>
            <w:tcBorders>
              <w:top w:val="nil"/>
              <w:left w:val="nil"/>
              <w:bottom w:val="nil"/>
              <w:right w:val="nil"/>
            </w:tcBorders>
            <w:tcMar>
              <w:top w:w="60" w:type="dxa"/>
              <w:left w:w="100" w:type="dxa"/>
              <w:bottom w:w="60" w:type="dxa"/>
              <w:right w:w="100" w:type="dxa"/>
            </w:tcMar>
          </w:tcPr>
          <w:p w14:paraId="0270154A">
            <w:pPr>
              <w:jc w:val="both"/>
            </w:pPr>
            <w:r>
              <w:rPr>
                <w:rFonts w:ascii="Times New Roman" w:hAnsi="Times New Roman" w:eastAsia="Times New Roman" w:cs="Times New Roman"/>
                <w:i w:val="0"/>
                <w:iCs w:val="0"/>
                <w:sz w:val="20"/>
                <w:szCs w:val="20"/>
              </w:rPr>
              <w:t>-1.148</w:t>
            </w:r>
          </w:p>
        </w:tc>
      </w:tr>
      <w:tr w14:paraId="5A26E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60" w:type="dxa"/>
              <w:left w:w="100" w:type="dxa"/>
              <w:bottom w:w="60" w:type="dxa"/>
              <w:right w:w="100" w:type="dxa"/>
            </w:tcMar>
          </w:tcPr>
          <w:p w14:paraId="333C91C5">
            <w:pPr>
              <w:jc w:val="both"/>
            </w:pPr>
          </w:p>
        </w:tc>
        <w:tc>
          <w:tcPr>
            <w:tcW w:w="1490" w:type="dxa"/>
            <w:tcBorders>
              <w:top w:val="nil"/>
              <w:left w:val="nil"/>
              <w:bottom w:val="nil"/>
              <w:right w:val="nil"/>
            </w:tcBorders>
            <w:tcMar>
              <w:top w:w="60" w:type="dxa"/>
              <w:left w:w="100" w:type="dxa"/>
              <w:bottom w:w="60" w:type="dxa"/>
              <w:right w:w="100" w:type="dxa"/>
            </w:tcMar>
          </w:tcPr>
          <w:p w14:paraId="270D548C">
            <w:pPr>
              <w:jc w:val="both"/>
            </w:pPr>
          </w:p>
        </w:tc>
        <w:tc>
          <w:tcPr>
            <w:tcW w:w="1490" w:type="dxa"/>
            <w:tcBorders>
              <w:top w:val="nil"/>
              <w:left w:val="nil"/>
              <w:bottom w:val="nil"/>
              <w:right w:val="nil"/>
            </w:tcBorders>
            <w:tcMar>
              <w:top w:w="60" w:type="dxa"/>
              <w:left w:w="100" w:type="dxa"/>
              <w:bottom w:w="60" w:type="dxa"/>
              <w:right w:w="100" w:type="dxa"/>
            </w:tcMar>
          </w:tcPr>
          <w:p w14:paraId="30CF2020">
            <w:pPr>
              <w:jc w:val="both"/>
            </w:pPr>
          </w:p>
        </w:tc>
        <w:tc>
          <w:tcPr>
            <w:tcW w:w="1490" w:type="dxa"/>
            <w:tcBorders>
              <w:top w:val="nil"/>
              <w:left w:val="nil"/>
              <w:bottom w:val="nil"/>
              <w:right w:val="nil"/>
            </w:tcBorders>
            <w:tcMar>
              <w:top w:w="60" w:type="dxa"/>
              <w:left w:w="100" w:type="dxa"/>
              <w:bottom w:w="60" w:type="dxa"/>
              <w:right w:w="100" w:type="dxa"/>
            </w:tcMar>
          </w:tcPr>
          <w:p w14:paraId="2C19ED7E">
            <w:pPr>
              <w:jc w:val="both"/>
            </w:pPr>
            <w:r>
              <w:rPr>
                <w:rFonts w:ascii="Times New Roman" w:hAnsi="Times New Roman" w:eastAsia="Times New Roman" w:cs="Times New Roman"/>
                <w:i/>
                <w:iCs/>
                <w:sz w:val="20"/>
                <w:szCs w:val="20"/>
              </w:rPr>
              <w:t>(0.876)</w:t>
            </w:r>
          </w:p>
        </w:tc>
        <w:tc>
          <w:tcPr>
            <w:tcW w:w="1490" w:type="dxa"/>
            <w:tcBorders>
              <w:top w:val="nil"/>
              <w:left w:val="nil"/>
              <w:bottom w:val="nil"/>
              <w:right w:val="nil"/>
            </w:tcBorders>
            <w:tcMar>
              <w:top w:w="60" w:type="dxa"/>
              <w:left w:w="100" w:type="dxa"/>
              <w:bottom w:w="60" w:type="dxa"/>
              <w:right w:w="100" w:type="dxa"/>
            </w:tcMar>
          </w:tcPr>
          <w:p w14:paraId="3A015B1D">
            <w:pPr>
              <w:jc w:val="both"/>
            </w:pPr>
            <w:r>
              <w:rPr>
                <w:rFonts w:ascii="Times New Roman" w:hAnsi="Times New Roman" w:eastAsia="Times New Roman" w:cs="Times New Roman"/>
                <w:i/>
                <w:iCs/>
                <w:sz w:val="20"/>
                <w:szCs w:val="20"/>
              </w:rPr>
              <w:t>(1.202)</w:t>
            </w:r>
          </w:p>
        </w:tc>
      </w:tr>
      <w:tr w14:paraId="628AA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60" w:type="dxa"/>
              <w:left w:w="100" w:type="dxa"/>
              <w:bottom w:w="60" w:type="dxa"/>
              <w:right w:w="100" w:type="dxa"/>
            </w:tcMar>
          </w:tcPr>
          <w:p w14:paraId="2BB88901">
            <w:pPr>
              <w:jc w:val="both"/>
            </w:pPr>
            <w:r>
              <w:rPr>
                <w:rFonts w:ascii="Times New Roman" w:hAnsi="Times New Roman" w:eastAsia="Times New Roman" w:cs="Times New Roman"/>
                <w:i w:val="0"/>
                <w:iCs w:val="0"/>
                <w:sz w:val="20"/>
                <w:szCs w:val="20"/>
              </w:rPr>
              <w:t>CSI x Agricultural Exposure</w:t>
            </w:r>
          </w:p>
        </w:tc>
        <w:tc>
          <w:tcPr>
            <w:tcW w:w="1490" w:type="dxa"/>
            <w:tcBorders>
              <w:top w:val="nil"/>
              <w:left w:val="nil"/>
              <w:bottom w:val="nil"/>
              <w:right w:val="nil"/>
            </w:tcBorders>
            <w:tcMar>
              <w:top w:w="60" w:type="dxa"/>
              <w:left w:w="100" w:type="dxa"/>
              <w:bottom w:w="60" w:type="dxa"/>
              <w:right w:w="100" w:type="dxa"/>
            </w:tcMar>
          </w:tcPr>
          <w:p w14:paraId="20CED705">
            <w:pPr>
              <w:jc w:val="both"/>
            </w:pPr>
            <w:r>
              <w:rPr>
                <w:rFonts w:ascii="Times New Roman" w:hAnsi="Times New Roman" w:eastAsia="Times New Roman" w:cs="Times New Roman"/>
                <w:i w:val="0"/>
                <w:iCs w:val="0"/>
                <w:sz w:val="20"/>
                <w:szCs w:val="20"/>
              </w:rPr>
              <w:t>—</w:t>
            </w:r>
          </w:p>
        </w:tc>
        <w:tc>
          <w:tcPr>
            <w:tcW w:w="1490" w:type="dxa"/>
            <w:tcBorders>
              <w:top w:val="nil"/>
              <w:left w:val="nil"/>
              <w:bottom w:val="nil"/>
              <w:right w:val="nil"/>
            </w:tcBorders>
            <w:tcMar>
              <w:top w:w="60" w:type="dxa"/>
              <w:left w:w="100" w:type="dxa"/>
              <w:bottom w:w="60" w:type="dxa"/>
              <w:right w:w="100" w:type="dxa"/>
            </w:tcMar>
          </w:tcPr>
          <w:p w14:paraId="6559FF3E">
            <w:pPr>
              <w:jc w:val="both"/>
            </w:pPr>
            <w:r>
              <w:rPr>
                <w:rFonts w:ascii="Times New Roman" w:hAnsi="Times New Roman" w:eastAsia="Times New Roman" w:cs="Times New Roman"/>
                <w:i w:val="0"/>
                <w:iCs w:val="0"/>
                <w:sz w:val="20"/>
                <w:szCs w:val="20"/>
              </w:rPr>
              <w:t>—</w:t>
            </w:r>
          </w:p>
        </w:tc>
        <w:tc>
          <w:tcPr>
            <w:tcW w:w="1490" w:type="dxa"/>
            <w:tcBorders>
              <w:top w:val="nil"/>
              <w:left w:val="nil"/>
              <w:bottom w:val="nil"/>
              <w:right w:val="nil"/>
            </w:tcBorders>
            <w:tcMar>
              <w:top w:w="60" w:type="dxa"/>
              <w:left w:w="100" w:type="dxa"/>
              <w:bottom w:w="60" w:type="dxa"/>
              <w:right w:w="100" w:type="dxa"/>
            </w:tcMar>
          </w:tcPr>
          <w:p w14:paraId="1CDDAD7F">
            <w:pPr>
              <w:jc w:val="both"/>
            </w:pPr>
            <w:r>
              <w:rPr>
                <w:rFonts w:ascii="Times New Roman" w:hAnsi="Times New Roman" w:eastAsia="Times New Roman" w:cs="Times New Roman"/>
                <w:i w:val="0"/>
                <w:iCs w:val="0"/>
                <w:sz w:val="20"/>
                <w:szCs w:val="20"/>
              </w:rPr>
              <w:t>14.167***</w:t>
            </w:r>
          </w:p>
        </w:tc>
        <w:tc>
          <w:tcPr>
            <w:tcW w:w="1490" w:type="dxa"/>
            <w:tcBorders>
              <w:top w:val="nil"/>
              <w:left w:val="nil"/>
              <w:bottom w:val="nil"/>
              <w:right w:val="nil"/>
            </w:tcBorders>
            <w:tcMar>
              <w:top w:w="60" w:type="dxa"/>
              <w:left w:w="100" w:type="dxa"/>
              <w:bottom w:w="60" w:type="dxa"/>
              <w:right w:w="100" w:type="dxa"/>
            </w:tcMar>
          </w:tcPr>
          <w:p w14:paraId="176F8EC3">
            <w:pPr>
              <w:jc w:val="both"/>
            </w:pPr>
            <w:r>
              <w:rPr>
                <w:rFonts w:ascii="Times New Roman" w:hAnsi="Times New Roman" w:eastAsia="Times New Roman" w:cs="Times New Roman"/>
                <w:i w:val="0"/>
                <w:iCs w:val="0"/>
                <w:sz w:val="20"/>
                <w:szCs w:val="20"/>
              </w:rPr>
              <w:t>-23.786***</w:t>
            </w:r>
          </w:p>
        </w:tc>
      </w:tr>
      <w:tr w14:paraId="7A16A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60" w:type="dxa"/>
              <w:left w:w="100" w:type="dxa"/>
              <w:bottom w:w="60" w:type="dxa"/>
              <w:right w:w="100" w:type="dxa"/>
            </w:tcMar>
          </w:tcPr>
          <w:p w14:paraId="2C94F397">
            <w:pPr>
              <w:jc w:val="both"/>
            </w:pPr>
          </w:p>
        </w:tc>
        <w:tc>
          <w:tcPr>
            <w:tcW w:w="1490" w:type="dxa"/>
            <w:tcBorders>
              <w:top w:val="nil"/>
              <w:left w:val="nil"/>
              <w:bottom w:val="nil"/>
              <w:right w:val="nil"/>
            </w:tcBorders>
            <w:tcMar>
              <w:top w:w="60" w:type="dxa"/>
              <w:left w:w="100" w:type="dxa"/>
              <w:bottom w:w="60" w:type="dxa"/>
              <w:right w:w="100" w:type="dxa"/>
            </w:tcMar>
          </w:tcPr>
          <w:p w14:paraId="22C36C9F">
            <w:pPr>
              <w:jc w:val="both"/>
            </w:pPr>
          </w:p>
        </w:tc>
        <w:tc>
          <w:tcPr>
            <w:tcW w:w="1490" w:type="dxa"/>
            <w:tcBorders>
              <w:top w:val="nil"/>
              <w:left w:val="nil"/>
              <w:bottom w:val="nil"/>
              <w:right w:val="nil"/>
            </w:tcBorders>
            <w:tcMar>
              <w:top w:w="60" w:type="dxa"/>
              <w:left w:w="100" w:type="dxa"/>
              <w:bottom w:w="60" w:type="dxa"/>
              <w:right w:w="100" w:type="dxa"/>
            </w:tcMar>
          </w:tcPr>
          <w:p w14:paraId="644CD9F6">
            <w:pPr>
              <w:jc w:val="both"/>
            </w:pPr>
          </w:p>
        </w:tc>
        <w:tc>
          <w:tcPr>
            <w:tcW w:w="1490" w:type="dxa"/>
            <w:tcBorders>
              <w:top w:val="nil"/>
              <w:left w:val="nil"/>
              <w:bottom w:val="nil"/>
              <w:right w:val="nil"/>
            </w:tcBorders>
            <w:tcMar>
              <w:top w:w="60" w:type="dxa"/>
              <w:left w:w="100" w:type="dxa"/>
              <w:bottom w:w="60" w:type="dxa"/>
              <w:right w:w="100" w:type="dxa"/>
            </w:tcMar>
          </w:tcPr>
          <w:p w14:paraId="437A8E12">
            <w:pPr>
              <w:jc w:val="both"/>
            </w:pPr>
            <w:r>
              <w:rPr>
                <w:rFonts w:ascii="Times New Roman" w:hAnsi="Times New Roman" w:eastAsia="Times New Roman" w:cs="Times New Roman"/>
                <w:i/>
                <w:iCs/>
                <w:sz w:val="20"/>
                <w:szCs w:val="20"/>
              </w:rPr>
              <w:t>(1.370)</w:t>
            </w:r>
          </w:p>
        </w:tc>
        <w:tc>
          <w:tcPr>
            <w:tcW w:w="1490" w:type="dxa"/>
            <w:tcBorders>
              <w:top w:val="nil"/>
              <w:left w:val="nil"/>
              <w:bottom w:val="nil"/>
              <w:right w:val="nil"/>
            </w:tcBorders>
            <w:tcMar>
              <w:top w:w="60" w:type="dxa"/>
              <w:left w:w="100" w:type="dxa"/>
              <w:bottom w:w="60" w:type="dxa"/>
              <w:right w:w="100" w:type="dxa"/>
            </w:tcMar>
          </w:tcPr>
          <w:p w14:paraId="463C1270">
            <w:pPr>
              <w:jc w:val="both"/>
            </w:pPr>
            <w:r>
              <w:rPr>
                <w:rFonts w:ascii="Times New Roman" w:hAnsi="Times New Roman" w:eastAsia="Times New Roman" w:cs="Times New Roman"/>
                <w:i/>
                <w:iCs/>
                <w:sz w:val="20"/>
                <w:szCs w:val="20"/>
              </w:rPr>
              <w:t>(4.587)</w:t>
            </w:r>
          </w:p>
        </w:tc>
      </w:tr>
      <w:tr w14:paraId="11404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60" w:type="dxa"/>
              <w:left w:w="100" w:type="dxa"/>
              <w:bottom w:w="60" w:type="dxa"/>
              <w:right w:w="100" w:type="dxa"/>
            </w:tcMar>
          </w:tcPr>
          <w:p w14:paraId="50B03AC6">
            <w:pPr>
              <w:jc w:val="both"/>
            </w:pPr>
            <w:r>
              <w:rPr>
                <w:rFonts w:ascii="Times New Roman" w:hAnsi="Times New Roman" w:eastAsia="Times New Roman" w:cs="Times New Roman"/>
                <w:i w:val="0"/>
                <w:iCs w:val="0"/>
                <w:sz w:val="20"/>
                <w:szCs w:val="20"/>
              </w:rPr>
              <w:t>Bank Capital/Assets (%)</w:t>
            </w:r>
          </w:p>
        </w:tc>
        <w:tc>
          <w:tcPr>
            <w:tcW w:w="1490" w:type="dxa"/>
            <w:tcBorders>
              <w:top w:val="nil"/>
              <w:left w:val="nil"/>
              <w:bottom w:val="nil"/>
              <w:right w:val="nil"/>
            </w:tcBorders>
            <w:tcMar>
              <w:top w:w="60" w:type="dxa"/>
              <w:left w:w="100" w:type="dxa"/>
              <w:bottom w:w="60" w:type="dxa"/>
              <w:right w:w="100" w:type="dxa"/>
            </w:tcMar>
          </w:tcPr>
          <w:p w14:paraId="0A263237">
            <w:pPr>
              <w:jc w:val="both"/>
            </w:pPr>
            <w:r>
              <w:rPr>
                <w:rFonts w:ascii="Times New Roman" w:hAnsi="Times New Roman" w:eastAsia="Times New Roman" w:cs="Times New Roman"/>
                <w:i w:val="0"/>
                <w:iCs w:val="0"/>
                <w:sz w:val="20"/>
                <w:szCs w:val="20"/>
              </w:rPr>
              <w:t>-0.514***</w:t>
            </w:r>
          </w:p>
        </w:tc>
        <w:tc>
          <w:tcPr>
            <w:tcW w:w="1490" w:type="dxa"/>
            <w:tcBorders>
              <w:top w:val="nil"/>
              <w:left w:val="nil"/>
              <w:bottom w:val="nil"/>
              <w:right w:val="nil"/>
            </w:tcBorders>
            <w:tcMar>
              <w:top w:w="60" w:type="dxa"/>
              <w:left w:w="100" w:type="dxa"/>
              <w:bottom w:w="60" w:type="dxa"/>
              <w:right w:w="100" w:type="dxa"/>
            </w:tcMar>
          </w:tcPr>
          <w:p w14:paraId="398679D4">
            <w:pPr>
              <w:jc w:val="both"/>
            </w:pPr>
            <w:r>
              <w:rPr>
                <w:rFonts w:ascii="Times New Roman" w:hAnsi="Times New Roman" w:eastAsia="Times New Roman" w:cs="Times New Roman"/>
                <w:i w:val="0"/>
                <w:iCs w:val="0"/>
                <w:sz w:val="20"/>
                <w:szCs w:val="20"/>
              </w:rPr>
              <w:t>-0.519***</w:t>
            </w:r>
          </w:p>
        </w:tc>
        <w:tc>
          <w:tcPr>
            <w:tcW w:w="1490" w:type="dxa"/>
            <w:tcBorders>
              <w:top w:val="nil"/>
              <w:left w:val="nil"/>
              <w:bottom w:val="nil"/>
              <w:right w:val="nil"/>
            </w:tcBorders>
            <w:tcMar>
              <w:top w:w="60" w:type="dxa"/>
              <w:left w:w="100" w:type="dxa"/>
              <w:bottom w:w="60" w:type="dxa"/>
              <w:right w:w="100" w:type="dxa"/>
            </w:tcMar>
          </w:tcPr>
          <w:p w14:paraId="458989A1">
            <w:pPr>
              <w:jc w:val="both"/>
            </w:pPr>
            <w:r>
              <w:rPr>
                <w:rFonts w:ascii="Times New Roman" w:hAnsi="Times New Roman" w:eastAsia="Times New Roman" w:cs="Times New Roman"/>
                <w:i w:val="0"/>
                <w:iCs w:val="0"/>
                <w:sz w:val="20"/>
                <w:szCs w:val="20"/>
              </w:rPr>
              <w:t>-0.622***</w:t>
            </w:r>
          </w:p>
        </w:tc>
        <w:tc>
          <w:tcPr>
            <w:tcW w:w="1490" w:type="dxa"/>
            <w:tcBorders>
              <w:top w:val="nil"/>
              <w:left w:val="nil"/>
              <w:bottom w:val="nil"/>
              <w:right w:val="nil"/>
            </w:tcBorders>
            <w:tcMar>
              <w:top w:w="60" w:type="dxa"/>
              <w:left w:w="100" w:type="dxa"/>
              <w:bottom w:w="60" w:type="dxa"/>
              <w:right w:w="100" w:type="dxa"/>
            </w:tcMar>
          </w:tcPr>
          <w:p w14:paraId="5360E5D4">
            <w:pPr>
              <w:jc w:val="both"/>
            </w:pPr>
            <w:r>
              <w:rPr>
                <w:rFonts w:ascii="Times New Roman" w:hAnsi="Times New Roman" w:eastAsia="Times New Roman" w:cs="Times New Roman"/>
                <w:i w:val="0"/>
                <w:iCs w:val="0"/>
                <w:sz w:val="20"/>
                <w:szCs w:val="20"/>
              </w:rPr>
              <w:t>-0.086</w:t>
            </w:r>
          </w:p>
        </w:tc>
      </w:tr>
      <w:tr w14:paraId="7C68A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60" w:type="dxa"/>
              <w:left w:w="100" w:type="dxa"/>
              <w:bottom w:w="60" w:type="dxa"/>
              <w:right w:w="100" w:type="dxa"/>
            </w:tcMar>
          </w:tcPr>
          <w:p w14:paraId="66F483CA">
            <w:pPr>
              <w:jc w:val="both"/>
            </w:pPr>
          </w:p>
        </w:tc>
        <w:tc>
          <w:tcPr>
            <w:tcW w:w="1490" w:type="dxa"/>
            <w:tcBorders>
              <w:top w:val="nil"/>
              <w:left w:val="nil"/>
              <w:bottom w:val="nil"/>
              <w:right w:val="nil"/>
            </w:tcBorders>
            <w:tcMar>
              <w:top w:w="60" w:type="dxa"/>
              <w:left w:w="100" w:type="dxa"/>
              <w:bottom w:w="60" w:type="dxa"/>
              <w:right w:w="100" w:type="dxa"/>
            </w:tcMar>
          </w:tcPr>
          <w:p w14:paraId="2F32FDBC">
            <w:pPr>
              <w:jc w:val="both"/>
            </w:pPr>
            <w:r>
              <w:rPr>
                <w:rFonts w:ascii="Times New Roman" w:hAnsi="Times New Roman" w:eastAsia="Times New Roman" w:cs="Times New Roman"/>
                <w:i/>
                <w:iCs/>
                <w:sz w:val="20"/>
                <w:szCs w:val="20"/>
              </w:rPr>
              <w:t>(0.187)</w:t>
            </w:r>
          </w:p>
        </w:tc>
        <w:tc>
          <w:tcPr>
            <w:tcW w:w="1490" w:type="dxa"/>
            <w:tcBorders>
              <w:top w:val="nil"/>
              <w:left w:val="nil"/>
              <w:bottom w:val="nil"/>
              <w:right w:val="nil"/>
            </w:tcBorders>
            <w:tcMar>
              <w:top w:w="60" w:type="dxa"/>
              <w:left w:w="100" w:type="dxa"/>
              <w:bottom w:w="60" w:type="dxa"/>
              <w:right w:w="100" w:type="dxa"/>
            </w:tcMar>
          </w:tcPr>
          <w:p w14:paraId="368E2F5E">
            <w:pPr>
              <w:jc w:val="both"/>
            </w:pPr>
            <w:r>
              <w:rPr>
                <w:rFonts w:ascii="Times New Roman" w:hAnsi="Times New Roman" w:eastAsia="Times New Roman" w:cs="Times New Roman"/>
                <w:i/>
                <w:iCs/>
                <w:sz w:val="20"/>
                <w:szCs w:val="20"/>
              </w:rPr>
              <w:t>(0.187)</w:t>
            </w:r>
          </w:p>
        </w:tc>
        <w:tc>
          <w:tcPr>
            <w:tcW w:w="1490" w:type="dxa"/>
            <w:tcBorders>
              <w:top w:val="nil"/>
              <w:left w:val="nil"/>
              <w:bottom w:val="nil"/>
              <w:right w:val="nil"/>
            </w:tcBorders>
            <w:tcMar>
              <w:top w:w="60" w:type="dxa"/>
              <w:left w:w="100" w:type="dxa"/>
              <w:bottom w:w="60" w:type="dxa"/>
              <w:right w:w="100" w:type="dxa"/>
            </w:tcMar>
          </w:tcPr>
          <w:p w14:paraId="1DE663E1">
            <w:pPr>
              <w:jc w:val="both"/>
            </w:pPr>
            <w:r>
              <w:rPr>
                <w:rFonts w:ascii="Times New Roman" w:hAnsi="Times New Roman" w:eastAsia="Times New Roman" w:cs="Times New Roman"/>
                <w:i/>
                <w:iCs/>
                <w:sz w:val="20"/>
                <w:szCs w:val="20"/>
              </w:rPr>
              <w:t>(0.184)</w:t>
            </w:r>
          </w:p>
        </w:tc>
        <w:tc>
          <w:tcPr>
            <w:tcW w:w="1490" w:type="dxa"/>
            <w:tcBorders>
              <w:top w:val="nil"/>
              <w:left w:val="nil"/>
              <w:bottom w:val="nil"/>
              <w:right w:val="nil"/>
            </w:tcBorders>
            <w:tcMar>
              <w:top w:w="60" w:type="dxa"/>
              <w:left w:w="100" w:type="dxa"/>
              <w:bottom w:w="60" w:type="dxa"/>
              <w:right w:w="100" w:type="dxa"/>
            </w:tcMar>
          </w:tcPr>
          <w:p w14:paraId="74813BD1">
            <w:pPr>
              <w:jc w:val="both"/>
            </w:pPr>
            <w:r>
              <w:rPr>
                <w:rFonts w:ascii="Times New Roman" w:hAnsi="Times New Roman" w:eastAsia="Times New Roman" w:cs="Times New Roman"/>
                <w:i/>
                <w:iCs/>
                <w:sz w:val="20"/>
                <w:szCs w:val="20"/>
              </w:rPr>
              <w:t>(0.204)</w:t>
            </w:r>
          </w:p>
        </w:tc>
      </w:tr>
      <w:tr w14:paraId="674EB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60" w:type="dxa"/>
              <w:left w:w="100" w:type="dxa"/>
              <w:bottom w:w="60" w:type="dxa"/>
              <w:right w:w="100" w:type="dxa"/>
            </w:tcMar>
          </w:tcPr>
          <w:p w14:paraId="3DACD697">
            <w:pPr>
              <w:jc w:val="both"/>
            </w:pPr>
            <w:r>
              <w:rPr>
                <w:rFonts w:ascii="Times New Roman" w:hAnsi="Times New Roman" w:eastAsia="Times New Roman" w:cs="Times New Roman"/>
                <w:i w:val="0"/>
                <w:iCs w:val="0"/>
                <w:sz w:val="20"/>
                <w:szCs w:val="20"/>
              </w:rPr>
              <w:t>GDP Growth (%)</w:t>
            </w:r>
          </w:p>
        </w:tc>
        <w:tc>
          <w:tcPr>
            <w:tcW w:w="1490" w:type="dxa"/>
            <w:tcBorders>
              <w:top w:val="nil"/>
              <w:left w:val="nil"/>
              <w:bottom w:val="nil"/>
              <w:right w:val="nil"/>
            </w:tcBorders>
            <w:tcMar>
              <w:top w:w="60" w:type="dxa"/>
              <w:left w:w="100" w:type="dxa"/>
              <w:bottom w:w="60" w:type="dxa"/>
              <w:right w:w="100" w:type="dxa"/>
            </w:tcMar>
          </w:tcPr>
          <w:p w14:paraId="289A5FE2">
            <w:pPr>
              <w:jc w:val="both"/>
            </w:pPr>
            <w:r>
              <w:rPr>
                <w:rFonts w:ascii="Times New Roman" w:hAnsi="Times New Roman" w:eastAsia="Times New Roman" w:cs="Times New Roman"/>
                <w:i w:val="0"/>
                <w:iCs w:val="0"/>
                <w:sz w:val="20"/>
                <w:szCs w:val="20"/>
              </w:rPr>
              <w:t>1.493***</w:t>
            </w:r>
          </w:p>
        </w:tc>
        <w:tc>
          <w:tcPr>
            <w:tcW w:w="1490" w:type="dxa"/>
            <w:tcBorders>
              <w:top w:val="nil"/>
              <w:left w:val="nil"/>
              <w:bottom w:val="nil"/>
              <w:right w:val="nil"/>
            </w:tcBorders>
            <w:tcMar>
              <w:top w:w="60" w:type="dxa"/>
              <w:left w:w="100" w:type="dxa"/>
              <w:bottom w:w="60" w:type="dxa"/>
              <w:right w:w="100" w:type="dxa"/>
            </w:tcMar>
          </w:tcPr>
          <w:p w14:paraId="1DFF6484">
            <w:pPr>
              <w:jc w:val="both"/>
            </w:pPr>
            <w:r>
              <w:rPr>
                <w:rFonts w:ascii="Times New Roman" w:hAnsi="Times New Roman" w:eastAsia="Times New Roman" w:cs="Times New Roman"/>
                <w:i w:val="0"/>
                <w:iCs w:val="0"/>
                <w:sz w:val="20"/>
                <w:szCs w:val="20"/>
              </w:rPr>
              <w:t>1.484***</w:t>
            </w:r>
          </w:p>
        </w:tc>
        <w:tc>
          <w:tcPr>
            <w:tcW w:w="1490" w:type="dxa"/>
            <w:tcBorders>
              <w:top w:val="nil"/>
              <w:left w:val="nil"/>
              <w:bottom w:val="nil"/>
              <w:right w:val="nil"/>
            </w:tcBorders>
            <w:tcMar>
              <w:top w:w="60" w:type="dxa"/>
              <w:left w:w="100" w:type="dxa"/>
              <w:bottom w:w="60" w:type="dxa"/>
              <w:right w:w="100" w:type="dxa"/>
            </w:tcMar>
          </w:tcPr>
          <w:p w14:paraId="40F1695E">
            <w:pPr>
              <w:jc w:val="both"/>
            </w:pPr>
            <w:r>
              <w:rPr>
                <w:rFonts w:ascii="Times New Roman" w:hAnsi="Times New Roman" w:eastAsia="Times New Roman" w:cs="Times New Roman"/>
                <w:i w:val="0"/>
                <w:iCs w:val="0"/>
                <w:sz w:val="20"/>
                <w:szCs w:val="20"/>
              </w:rPr>
              <w:t>1.498***</w:t>
            </w:r>
          </w:p>
        </w:tc>
        <w:tc>
          <w:tcPr>
            <w:tcW w:w="1490" w:type="dxa"/>
            <w:tcBorders>
              <w:top w:val="nil"/>
              <w:left w:val="nil"/>
              <w:bottom w:val="nil"/>
              <w:right w:val="nil"/>
            </w:tcBorders>
            <w:tcMar>
              <w:top w:w="60" w:type="dxa"/>
              <w:left w:w="100" w:type="dxa"/>
              <w:bottom w:w="60" w:type="dxa"/>
              <w:right w:w="100" w:type="dxa"/>
            </w:tcMar>
          </w:tcPr>
          <w:p w14:paraId="52694FCE">
            <w:pPr>
              <w:jc w:val="both"/>
            </w:pPr>
            <w:r>
              <w:rPr>
                <w:rFonts w:ascii="Times New Roman" w:hAnsi="Times New Roman" w:eastAsia="Times New Roman" w:cs="Times New Roman"/>
                <w:i w:val="0"/>
                <w:iCs w:val="0"/>
                <w:sz w:val="20"/>
                <w:szCs w:val="20"/>
              </w:rPr>
              <w:t>-0.714***</w:t>
            </w:r>
          </w:p>
        </w:tc>
      </w:tr>
      <w:tr w14:paraId="1ACCA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60" w:type="dxa"/>
              <w:left w:w="100" w:type="dxa"/>
              <w:bottom w:w="60" w:type="dxa"/>
              <w:right w:w="100" w:type="dxa"/>
            </w:tcMar>
          </w:tcPr>
          <w:p w14:paraId="535A50D2">
            <w:pPr>
              <w:jc w:val="both"/>
            </w:pPr>
          </w:p>
        </w:tc>
        <w:tc>
          <w:tcPr>
            <w:tcW w:w="1490" w:type="dxa"/>
            <w:tcBorders>
              <w:top w:val="nil"/>
              <w:left w:val="nil"/>
              <w:bottom w:val="nil"/>
              <w:right w:val="nil"/>
            </w:tcBorders>
            <w:tcMar>
              <w:top w:w="60" w:type="dxa"/>
              <w:left w:w="100" w:type="dxa"/>
              <w:bottom w:w="60" w:type="dxa"/>
              <w:right w:w="100" w:type="dxa"/>
            </w:tcMar>
          </w:tcPr>
          <w:p w14:paraId="0CB98F72">
            <w:pPr>
              <w:jc w:val="both"/>
            </w:pPr>
            <w:r>
              <w:rPr>
                <w:rFonts w:ascii="Times New Roman" w:hAnsi="Times New Roman" w:eastAsia="Times New Roman" w:cs="Times New Roman"/>
                <w:i/>
                <w:iCs/>
                <w:sz w:val="20"/>
                <w:szCs w:val="20"/>
              </w:rPr>
              <w:t>(0.269)</w:t>
            </w:r>
          </w:p>
        </w:tc>
        <w:tc>
          <w:tcPr>
            <w:tcW w:w="1490" w:type="dxa"/>
            <w:tcBorders>
              <w:top w:val="nil"/>
              <w:left w:val="nil"/>
              <w:bottom w:val="nil"/>
              <w:right w:val="nil"/>
            </w:tcBorders>
            <w:tcMar>
              <w:top w:w="60" w:type="dxa"/>
              <w:left w:w="100" w:type="dxa"/>
              <w:bottom w:w="60" w:type="dxa"/>
              <w:right w:w="100" w:type="dxa"/>
            </w:tcMar>
          </w:tcPr>
          <w:p w14:paraId="2DC60D58">
            <w:pPr>
              <w:jc w:val="both"/>
            </w:pPr>
            <w:r>
              <w:rPr>
                <w:rFonts w:ascii="Times New Roman" w:hAnsi="Times New Roman" w:eastAsia="Times New Roman" w:cs="Times New Roman"/>
                <w:i/>
                <w:iCs/>
                <w:sz w:val="20"/>
                <w:szCs w:val="20"/>
              </w:rPr>
              <w:t>(0.338)</w:t>
            </w:r>
          </w:p>
        </w:tc>
        <w:tc>
          <w:tcPr>
            <w:tcW w:w="1490" w:type="dxa"/>
            <w:tcBorders>
              <w:top w:val="nil"/>
              <w:left w:val="nil"/>
              <w:bottom w:val="nil"/>
              <w:right w:val="nil"/>
            </w:tcBorders>
            <w:tcMar>
              <w:top w:w="60" w:type="dxa"/>
              <w:left w:w="100" w:type="dxa"/>
              <w:bottom w:w="60" w:type="dxa"/>
              <w:right w:w="100" w:type="dxa"/>
            </w:tcMar>
          </w:tcPr>
          <w:p w14:paraId="4E39F675">
            <w:pPr>
              <w:jc w:val="both"/>
            </w:pPr>
            <w:r>
              <w:rPr>
                <w:rFonts w:ascii="Times New Roman" w:hAnsi="Times New Roman" w:eastAsia="Times New Roman" w:cs="Times New Roman"/>
                <w:i/>
                <w:iCs/>
                <w:sz w:val="20"/>
                <w:szCs w:val="20"/>
              </w:rPr>
              <w:t>(0.320)</w:t>
            </w:r>
          </w:p>
        </w:tc>
        <w:tc>
          <w:tcPr>
            <w:tcW w:w="1490" w:type="dxa"/>
            <w:tcBorders>
              <w:top w:val="nil"/>
              <w:left w:val="nil"/>
              <w:bottom w:val="nil"/>
              <w:right w:val="nil"/>
            </w:tcBorders>
            <w:tcMar>
              <w:top w:w="60" w:type="dxa"/>
              <w:left w:w="100" w:type="dxa"/>
              <w:bottom w:w="60" w:type="dxa"/>
              <w:right w:w="100" w:type="dxa"/>
            </w:tcMar>
          </w:tcPr>
          <w:p w14:paraId="6D02E6CC">
            <w:pPr>
              <w:jc w:val="both"/>
            </w:pPr>
            <w:r>
              <w:rPr>
                <w:rFonts w:ascii="Times New Roman" w:hAnsi="Times New Roman" w:eastAsia="Times New Roman" w:cs="Times New Roman"/>
                <w:i/>
                <w:iCs/>
                <w:sz w:val="20"/>
                <w:szCs w:val="20"/>
              </w:rPr>
              <w:t>(0.159)</w:t>
            </w:r>
          </w:p>
        </w:tc>
      </w:tr>
      <w:tr w14:paraId="5E2D3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60" w:type="dxa"/>
              <w:left w:w="100" w:type="dxa"/>
              <w:bottom w:w="60" w:type="dxa"/>
              <w:right w:w="100" w:type="dxa"/>
            </w:tcMar>
          </w:tcPr>
          <w:p w14:paraId="4C6A220A">
            <w:pPr>
              <w:jc w:val="both"/>
            </w:pPr>
            <w:r>
              <w:rPr>
                <w:rFonts w:ascii="Times New Roman" w:hAnsi="Times New Roman" w:eastAsia="Times New Roman" w:cs="Times New Roman"/>
                <w:i w:val="0"/>
                <w:iCs w:val="0"/>
                <w:sz w:val="20"/>
                <w:szCs w:val="20"/>
              </w:rPr>
              <w:t>Inflation (%)</w:t>
            </w:r>
          </w:p>
        </w:tc>
        <w:tc>
          <w:tcPr>
            <w:tcW w:w="1490" w:type="dxa"/>
            <w:tcBorders>
              <w:top w:val="nil"/>
              <w:left w:val="nil"/>
              <w:bottom w:val="nil"/>
              <w:right w:val="nil"/>
            </w:tcBorders>
            <w:tcMar>
              <w:top w:w="60" w:type="dxa"/>
              <w:left w:w="100" w:type="dxa"/>
              <w:bottom w:w="60" w:type="dxa"/>
              <w:right w:w="100" w:type="dxa"/>
            </w:tcMar>
          </w:tcPr>
          <w:p w14:paraId="51A80236">
            <w:pPr>
              <w:jc w:val="both"/>
            </w:pPr>
            <w:r>
              <w:rPr>
                <w:rFonts w:ascii="Times New Roman" w:hAnsi="Times New Roman" w:eastAsia="Times New Roman" w:cs="Times New Roman"/>
                <w:i w:val="0"/>
                <w:iCs w:val="0"/>
                <w:sz w:val="20"/>
                <w:szCs w:val="20"/>
              </w:rPr>
              <w:t>0.547**</w:t>
            </w:r>
          </w:p>
        </w:tc>
        <w:tc>
          <w:tcPr>
            <w:tcW w:w="1490" w:type="dxa"/>
            <w:tcBorders>
              <w:top w:val="nil"/>
              <w:left w:val="nil"/>
              <w:bottom w:val="nil"/>
              <w:right w:val="nil"/>
            </w:tcBorders>
            <w:tcMar>
              <w:top w:w="60" w:type="dxa"/>
              <w:left w:w="100" w:type="dxa"/>
              <w:bottom w:w="60" w:type="dxa"/>
              <w:right w:w="100" w:type="dxa"/>
            </w:tcMar>
          </w:tcPr>
          <w:p w14:paraId="7819F016">
            <w:pPr>
              <w:jc w:val="both"/>
            </w:pPr>
            <w:r>
              <w:rPr>
                <w:rFonts w:ascii="Times New Roman" w:hAnsi="Times New Roman" w:eastAsia="Times New Roman" w:cs="Times New Roman"/>
                <w:i w:val="0"/>
                <w:iCs w:val="0"/>
                <w:sz w:val="20"/>
                <w:szCs w:val="20"/>
              </w:rPr>
              <w:t>0.501*</w:t>
            </w:r>
          </w:p>
        </w:tc>
        <w:tc>
          <w:tcPr>
            <w:tcW w:w="1490" w:type="dxa"/>
            <w:tcBorders>
              <w:top w:val="nil"/>
              <w:left w:val="nil"/>
              <w:bottom w:val="nil"/>
              <w:right w:val="nil"/>
            </w:tcBorders>
            <w:tcMar>
              <w:top w:w="60" w:type="dxa"/>
              <w:left w:w="100" w:type="dxa"/>
              <w:bottom w:w="60" w:type="dxa"/>
              <w:right w:w="100" w:type="dxa"/>
            </w:tcMar>
          </w:tcPr>
          <w:p w14:paraId="3FA4FFF5">
            <w:pPr>
              <w:jc w:val="both"/>
            </w:pPr>
            <w:r>
              <w:rPr>
                <w:rFonts w:ascii="Times New Roman" w:hAnsi="Times New Roman" w:eastAsia="Times New Roman" w:cs="Times New Roman"/>
                <w:i w:val="0"/>
                <w:iCs w:val="0"/>
                <w:sz w:val="20"/>
                <w:szCs w:val="20"/>
              </w:rPr>
              <w:t>0.264</w:t>
            </w:r>
          </w:p>
        </w:tc>
        <w:tc>
          <w:tcPr>
            <w:tcW w:w="1490" w:type="dxa"/>
            <w:tcBorders>
              <w:top w:val="nil"/>
              <w:left w:val="nil"/>
              <w:bottom w:val="nil"/>
              <w:right w:val="nil"/>
            </w:tcBorders>
            <w:tcMar>
              <w:top w:w="60" w:type="dxa"/>
              <w:left w:w="100" w:type="dxa"/>
              <w:bottom w:w="60" w:type="dxa"/>
              <w:right w:w="100" w:type="dxa"/>
            </w:tcMar>
          </w:tcPr>
          <w:p w14:paraId="6D0E3495">
            <w:pPr>
              <w:jc w:val="both"/>
            </w:pPr>
            <w:r>
              <w:rPr>
                <w:rFonts w:ascii="Times New Roman" w:hAnsi="Times New Roman" w:eastAsia="Times New Roman" w:cs="Times New Roman"/>
                <w:i w:val="0"/>
                <w:iCs w:val="0"/>
                <w:sz w:val="20"/>
                <w:szCs w:val="20"/>
              </w:rPr>
              <w:t>-0.632***</w:t>
            </w:r>
          </w:p>
        </w:tc>
      </w:tr>
      <w:tr w14:paraId="22CC7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60" w:type="dxa"/>
              <w:left w:w="100" w:type="dxa"/>
              <w:bottom w:w="60" w:type="dxa"/>
              <w:right w:w="100" w:type="dxa"/>
            </w:tcMar>
          </w:tcPr>
          <w:p w14:paraId="198AC058">
            <w:pPr>
              <w:jc w:val="both"/>
            </w:pPr>
          </w:p>
        </w:tc>
        <w:tc>
          <w:tcPr>
            <w:tcW w:w="1490" w:type="dxa"/>
            <w:tcBorders>
              <w:top w:val="nil"/>
              <w:left w:val="nil"/>
              <w:bottom w:val="nil"/>
              <w:right w:val="nil"/>
            </w:tcBorders>
            <w:tcMar>
              <w:top w:w="60" w:type="dxa"/>
              <w:left w:w="100" w:type="dxa"/>
              <w:bottom w:w="60" w:type="dxa"/>
              <w:right w:w="100" w:type="dxa"/>
            </w:tcMar>
          </w:tcPr>
          <w:p w14:paraId="4F9FE895">
            <w:pPr>
              <w:jc w:val="both"/>
            </w:pPr>
            <w:r>
              <w:rPr>
                <w:rFonts w:ascii="Times New Roman" w:hAnsi="Times New Roman" w:eastAsia="Times New Roman" w:cs="Times New Roman"/>
                <w:i/>
                <w:iCs/>
                <w:sz w:val="20"/>
                <w:szCs w:val="20"/>
              </w:rPr>
              <w:t>(0.276)</w:t>
            </w:r>
          </w:p>
        </w:tc>
        <w:tc>
          <w:tcPr>
            <w:tcW w:w="1490" w:type="dxa"/>
            <w:tcBorders>
              <w:top w:val="nil"/>
              <w:left w:val="nil"/>
              <w:bottom w:val="nil"/>
              <w:right w:val="nil"/>
            </w:tcBorders>
            <w:tcMar>
              <w:top w:w="60" w:type="dxa"/>
              <w:left w:w="100" w:type="dxa"/>
              <w:bottom w:w="60" w:type="dxa"/>
              <w:right w:w="100" w:type="dxa"/>
            </w:tcMar>
          </w:tcPr>
          <w:p w14:paraId="6D7EDF41">
            <w:pPr>
              <w:jc w:val="both"/>
            </w:pPr>
            <w:r>
              <w:rPr>
                <w:rFonts w:ascii="Times New Roman" w:hAnsi="Times New Roman" w:eastAsia="Times New Roman" w:cs="Times New Roman"/>
                <w:i/>
                <w:iCs/>
                <w:sz w:val="20"/>
                <w:szCs w:val="20"/>
              </w:rPr>
              <w:t>(0.285)</w:t>
            </w:r>
          </w:p>
        </w:tc>
        <w:tc>
          <w:tcPr>
            <w:tcW w:w="1490" w:type="dxa"/>
            <w:tcBorders>
              <w:top w:val="nil"/>
              <w:left w:val="nil"/>
              <w:bottom w:val="nil"/>
              <w:right w:val="nil"/>
            </w:tcBorders>
            <w:tcMar>
              <w:top w:w="60" w:type="dxa"/>
              <w:left w:w="100" w:type="dxa"/>
              <w:bottom w:w="60" w:type="dxa"/>
              <w:right w:w="100" w:type="dxa"/>
            </w:tcMar>
          </w:tcPr>
          <w:p w14:paraId="58880674">
            <w:pPr>
              <w:jc w:val="both"/>
            </w:pPr>
            <w:r>
              <w:rPr>
                <w:rFonts w:ascii="Times New Roman" w:hAnsi="Times New Roman" w:eastAsia="Times New Roman" w:cs="Times New Roman"/>
                <w:i/>
                <w:iCs/>
                <w:sz w:val="20"/>
                <w:szCs w:val="20"/>
              </w:rPr>
              <w:t>(0.266)</w:t>
            </w:r>
          </w:p>
        </w:tc>
        <w:tc>
          <w:tcPr>
            <w:tcW w:w="1490" w:type="dxa"/>
            <w:tcBorders>
              <w:top w:val="nil"/>
              <w:left w:val="nil"/>
              <w:bottom w:val="nil"/>
              <w:right w:val="nil"/>
            </w:tcBorders>
            <w:tcMar>
              <w:top w:w="60" w:type="dxa"/>
              <w:left w:w="100" w:type="dxa"/>
              <w:bottom w:w="60" w:type="dxa"/>
              <w:right w:w="100" w:type="dxa"/>
            </w:tcMar>
          </w:tcPr>
          <w:p w14:paraId="1EB4E085">
            <w:pPr>
              <w:jc w:val="both"/>
            </w:pPr>
            <w:r>
              <w:rPr>
                <w:rFonts w:ascii="Times New Roman" w:hAnsi="Times New Roman" w:eastAsia="Times New Roman" w:cs="Times New Roman"/>
                <w:i/>
                <w:iCs/>
                <w:sz w:val="20"/>
                <w:szCs w:val="20"/>
              </w:rPr>
              <w:t>(0.138)</w:t>
            </w:r>
          </w:p>
        </w:tc>
      </w:tr>
      <w:tr w14:paraId="22553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60" w:type="dxa"/>
              <w:left w:w="100" w:type="dxa"/>
              <w:bottom w:w="60" w:type="dxa"/>
              <w:right w:w="100" w:type="dxa"/>
            </w:tcMar>
          </w:tcPr>
          <w:p w14:paraId="7273C3CB">
            <w:pPr>
              <w:jc w:val="both"/>
            </w:pPr>
            <w:r>
              <w:rPr>
                <w:rFonts w:ascii="Times New Roman" w:hAnsi="Times New Roman" w:eastAsia="Times New Roman" w:cs="Times New Roman"/>
                <w:i w:val="0"/>
                <w:iCs w:val="0"/>
                <w:sz w:val="20"/>
                <w:szCs w:val="20"/>
              </w:rPr>
              <w:t>Domestic Credit/GDP (%)</w:t>
            </w:r>
          </w:p>
        </w:tc>
        <w:tc>
          <w:tcPr>
            <w:tcW w:w="1490" w:type="dxa"/>
            <w:tcBorders>
              <w:top w:val="nil"/>
              <w:left w:val="nil"/>
              <w:bottom w:val="nil"/>
              <w:right w:val="nil"/>
            </w:tcBorders>
            <w:tcMar>
              <w:top w:w="60" w:type="dxa"/>
              <w:left w:w="100" w:type="dxa"/>
              <w:bottom w:w="60" w:type="dxa"/>
              <w:right w:w="100" w:type="dxa"/>
            </w:tcMar>
          </w:tcPr>
          <w:p w14:paraId="0314DD7C">
            <w:pPr>
              <w:jc w:val="both"/>
            </w:pPr>
            <w:r>
              <w:rPr>
                <w:rFonts w:ascii="Times New Roman" w:hAnsi="Times New Roman" w:eastAsia="Times New Roman" w:cs="Times New Roman"/>
                <w:i w:val="0"/>
                <w:iCs w:val="0"/>
                <w:sz w:val="20"/>
                <w:szCs w:val="20"/>
              </w:rPr>
              <w:t>0.064</w:t>
            </w:r>
          </w:p>
        </w:tc>
        <w:tc>
          <w:tcPr>
            <w:tcW w:w="1490" w:type="dxa"/>
            <w:tcBorders>
              <w:top w:val="nil"/>
              <w:left w:val="nil"/>
              <w:bottom w:val="nil"/>
              <w:right w:val="nil"/>
            </w:tcBorders>
            <w:tcMar>
              <w:top w:w="60" w:type="dxa"/>
              <w:left w:w="100" w:type="dxa"/>
              <w:bottom w:w="60" w:type="dxa"/>
              <w:right w:w="100" w:type="dxa"/>
            </w:tcMar>
          </w:tcPr>
          <w:p w14:paraId="0583BDFC">
            <w:pPr>
              <w:jc w:val="both"/>
            </w:pPr>
            <w:r>
              <w:rPr>
                <w:rFonts w:ascii="Times New Roman" w:hAnsi="Times New Roman" w:eastAsia="Times New Roman" w:cs="Times New Roman"/>
                <w:i w:val="0"/>
                <w:iCs w:val="0"/>
                <w:sz w:val="20"/>
                <w:szCs w:val="20"/>
              </w:rPr>
              <w:t>0.070</w:t>
            </w:r>
          </w:p>
        </w:tc>
        <w:tc>
          <w:tcPr>
            <w:tcW w:w="1490" w:type="dxa"/>
            <w:tcBorders>
              <w:top w:val="nil"/>
              <w:left w:val="nil"/>
              <w:bottom w:val="nil"/>
              <w:right w:val="nil"/>
            </w:tcBorders>
            <w:tcMar>
              <w:top w:w="60" w:type="dxa"/>
              <w:left w:w="100" w:type="dxa"/>
              <w:bottom w:w="60" w:type="dxa"/>
              <w:right w:w="100" w:type="dxa"/>
            </w:tcMar>
          </w:tcPr>
          <w:p w14:paraId="41572F3A">
            <w:pPr>
              <w:jc w:val="both"/>
            </w:pPr>
            <w:r>
              <w:rPr>
                <w:rFonts w:ascii="Times New Roman" w:hAnsi="Times New Roman" w:eastAsia="Times New Roman" w:cs="Times New Roman"/>
                <w:i w:val="0"/>
                <w:iCs w:val="0"/>
                <w:sz w:val="20"/>
                <w:szCs w:val="20"/>
              </w:rPr>
              <w:t>-0.189***</w:t>
            </w:r>
          </w:p>
        </w:tc>
        <w:tc>
          <w:tcPr>
            <w:tcW w:w="1490" w:type="dxa"/>
            <w:tcBorders>
              <w:top w:val="nil"/>
              <w:left w:val="nil"/>
              <w:bottom w:val="nil"/>
              <w:right w:val="nil"/>
            </w:tcBorders>
            <w:tcMar>
              <w:top w:w="60" w:type="dxa"/>
              <w:left w:w="100" w:type="dxa"/>
              <w:bottom w:w="60" w:type="dxa"/>
              <w:right w:w="100" w:type="dxa"/>
            </w:tcMar>
          </w:tcPr>
          <w:p w14:paraId="1F845508">
            <w:pPr>
              <w:jc w:val="both"/>
            </w:pPr>
            <w:r>
              <w:rPr>
                <w:rFonts w:ascii="Times New Roman" w:hAnsi="Times New Roman" w:eastAsia="Times New Roman" w:cs="Times New Roman"/>
                <w:i w:val="0"/>
                <w:iCs w:val="0"/>
                <w:sz w:val="20"/>
                <w:szCs w:val="20"/>
              </w:rPr>
              <w:t>-0.236***</w:t>
            </w:r>
          </w:p>
        </w:tc>
      </w:tr>
      <w:tr w14:paraId="1FD1C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60" w:type="dxa"/>
              <w:left w:w="100" w:type="dxa"/>
              <w:bottom w:w="60" w:type="dxa"/>
              <w:right w:w="100" w:type="dxa"/>
            </w:tcMar>
          </w:tcPr>
          <w:p w14:paraId="5850E77F">
            <w:pPr>
              <w:jc w:val="both"/>
            </w:pPr>
          </w:p>
        </w:tc>
        <w:tc>
          <w:tcPr>
            <w:tcW w:w="1490" w:type="dxa"/>
            <w:tcBorders>
              <w:top w:val="nil"/>
              <w:left w:val="nil"/>
              <w:bottom w:val="nil"/>
              <w:right w:val="nil"/>
            </w:tcBorders>
            <w:tcMar>
              <w:top w:w="60" w:type="dxa"/>
              <w:left w:w="100" w:type="dxa"/>
              <w:bottom w:w="60" w:type="dxa"/>
              <w:right w:w="100" w:type="dxa"/>
            </w:tcMar>
          </w:tcPr>
          <w:p w14:paraId="7A0464B9">
            <w:pPr>
              <w:jc w:val="both"/>
            </w:pPr>
            <w:r>
              <w:rPr>
                <w:rFonts w:ascii="Times New Roman" w:hAnsi="Times New Roman" w:eastAsia="Times New Roman" w:cs="Times New Roman"/>
                <w:i/>
                <w:iCs/>
                <w:sz w:val="20"/>
                <w:szCs w:val="20"/>
              </w:rPr>
              <w:t>(0.042)</w:t>
            </w:r>
          </w:p>
        </w:tc>
        <w:tc>
          <w:tcPr>
            <w:tcW w:w="1490" w:type="dxa"/>
            <w:tcBorders>
              <w:top w:val="nil"/>
              <w:left w:val="nil"/>
              <w:bottom w:val="nil"/>
              <w:right w:val="nil"/>
            </w:tcBorders>
            <w:tcMar>
              <w:top w:w="60" w:type="dxa"/>
              <w:left w:w="100" w:type="dxa"/>
              <w:bottom w:w="60" w:type="dxa"/>
              <w:right w:w="100" w:type="dxa"/>
            </w:tcMar>
          </w:tcPr>
          <w:p w14:paraId="748CE82B">
            <w:pPr>
              <w:jc w:val="both"/>
            </w:pPr>
            <w:r>
              <w:rPr>
                <w:rFonts w:ascii="Times New Roman" w:hAnsi="Times New Roman" w:eastAsia="Times New Roman" w:cs="Times New Roman"/>
                <w:i/>
                <w:iCs/>
                <w:sz w:val="20"/>
                <w:szCs w:val="20"/>
              </w:rPr>
              <w:t>(0.048)</w:t>
            </w:r>
          </w:p>
        </w:tc>
        <w:tc>
          <w:tcPr>
            <w:tcW w:w="1490" w:type="dxa"/>
            <w:tcBorders>
              <w:top w:val="nil"/>
              <w:left w:val="nil"/>
              <w:bottom w:val="nil"/>
              <w:right w:val="nil"/>
            </w:tcBorders>
            <w:tcMar>
              <w:top w:w="60" w:type="dxa"/>
              <w:left w:w="100" w:type="dxa"/>
              <w:bottom w:w="60" w:type="dxa"/>
              <w:right w:w="100" w:type="dxa"/>
            </w:tcMar>
          </w:tcPr>
          <w:p w14:paraId="7CC7C226">
            <w:pPr>
              <w:jc w:val="both"/>
            </w:pPr>
            <w:r>
              <w:rPr>
                <w:rFonts w:ascii="Times New Roman" w:hAnsi="Times New Roman" w:eastAsia="Times New Roman" w:cs="Times New Roman"/>
                <w:i/>
                <w:iCs/>
                <w:sz w:val="20"/>
                <w:szCs w:val="20"/>
              </w:rPr>
              <w:t>(0.047)</w:t>
            </w:r>
          </w:p>
        </w:tc>
        <w:tc>
          <w:tcPr>
            <w:tcW w:w="1490" w:type="dxa"/>
            <w:tcBorders>
              <w:top w:val="nil"/>
              <w:left w:val="nil"/>
              <w:bottom w:val="nil"/>
              <w:right w:val="nil"/>
            </w:tcBorders>
            <w:tcMar>
              <w:top w:w="60" w:type="dxa"/>
              <w:left w:w="100" w:type="dxa"/>
              <w:bottom w:w="60" w:type="dxa"/>
              <w:right w:w="100" w:type="dxa"/>
            </w:tcMar>
          </w:tcPr>
          <w:p w14:paraId="42E7937B">
            <w:pPr>
              <w:jc w:val="both"/>
            </w:pPr>
            <w:r>
              <w:rPr>
                <w:rFonts w:ascii="Times New Roman" w:hAnsi="Times New Roman" w:eastAsia="Times New Roman" w:cs="Times New Roman"/>
                <w:i/>
                <w:iCs/>
                <w:sz w:val="20"/>
                <w:szCs w:val="20"/>
              </w:rPr>
              <w:t>(0.060)</w:t>
            </w:r>
          </w:p>
        </w:tc>
      </w:tr>
      <w:tr w14:paraId="159A3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60" w:type="dxa"/>
              <w:left w:w="100" w:type="dxa"/>
              <w:bottom w:w="60" w:type="dxa"/>
              <w:right w:w="100" w:type="dxa"/>
            </w:tcMar>
          </w:tcPr>
          <w:p w14:paraId="37643A9B">
            <w:pPr>
              <w:jc w:val="both"/>
            </w:pPr>
            <w:r>
              <w:rPr>
                <w:rFonts w:ascii="Times New Roman" w:hAnsi="Times New Roman" w:eastAsia="Times New Roman" w:cs="Times New Roman"/>
                <w:i w:val="0"/>
                <w:iCs w:val="0"/>
                <w:sz w:val="20"/>
                <w:szCs w:val="20"/>
              </w:rPr>
              <w:t>Year FE</w:t>
            </w:r>
          </w:p>
        </w:tc>
        <w:tc>
          <w:tcPr>
            <w:tcW w:w="1490" w:type="dxa"/>
            <w:tcBorders>
              <w:top w:val="nil"/>
              <w:left w:val="nil"/>
              <w:bottom w:val="nil"/>
              <w:right w:val="nil"/>
            </w:tcBorders>
            <w:tcMar>
              <w:top w:w="60" w:type="dxa"/>
              <w:left w:w="100" w:type="dxa"/>
              <w:bottom w:w="60" w:type="dxa"/>
              <w:right w:w="100" w:type="dxa"/>
            </w:tcMar>
          </w:tcPr>
          <w:p w14:paraId="6094E858">
            <w:pPr>
              <w:jc w:val="both"/>
            </w:pPr>
            <w:r>
              <w:rPr>
                <w:rFonts w:ascii="Times New Roman" w:hAnsi="Times New Roman" w:eastAsia="Times New Roman" w:cs="Times New Roman"/>
                <w:i w:val="0"/>
                <w:iCs w:val="0"/>
                <w:sz w:val="20"/>
                <w:szCs w:val="20"/>
              </w:rPr>
              <w:t>No</w:t>
            </w:r>
          </w:p>
        </w:tc>
        <w:tc>
          <w:tcPr>
            <w:tcW w:w="1490" w:type="dxa"/>
            <w:tcBorders>
              <w:top w:val="nil"/>
              <w:left w:val="nil"/>
              <w:bottom w:val="nil"/>
              <w:right w:val="nil"/>
            </w:tcBorders>
            <w:tcMar>
              <w:top w:w="60" w:type="dxa"/>
              <w:left w:w="100" w:type="dxa"/>
              <w:bottom w:w="60" w:type="dxa"/>
              <w:right w:w="100" w:type="dxa"/>
            </w:tcMar>
          </w:tcPr>
          <w:p w14:paraId="5915453B">
            <w:pPr>
              <w:jc w:val="both"/>
            </w:pPr>
            <w:r>
              <w:rPr>
                <w:rFonts w:ascii="Times New Roman" w:hAnsi="Times New Roman" w:eastAsia="Times New Roman" w:cs="Times New Roman"/>
                <w:i w:val="0"/>
                <w:iCs w:val="0"/>
                <w:sz w:val="20"/>
                <w:szCs w:val="20"/>
              </w:rPr>
              <w:t>Yes</w:t>
            </w:r>
          </w:p>
        </w:tc>
        <w:tc>
          <w:tcPr>
            <w:tcW w:w="1490" w:type="dxa"/>
            <w:tcBorders>
              <w:top w:val="nil"/>
              <w:left w:val="nil"/>
              <w:bottom w:val="nil"/>
              <w:right w:val="nil"/>
            </w:tcBorders>
            <w:tcMar>
              <w:top w:w="60" w:type="dxa"/>
              <w:left w:w="100" w:type="dxa"/>
              <w:bottom w:w="60" w:type="dxa"/>
              <w:right w:w="100" w:type="dxa"/>
            </w:tcMar>
          </w:tcPr>
          <w:p w14:paraId="33E09238">
            <w:pPr>
              <w:jc w:val="both"/>
            </w:pPr>
            <w:r>
              <w:rPr>
                <w:rFonts w:ascii="Times New Roman" w:hAnsi="Times New Roman" w:eastAsia="Times New Roman" w:cs="Times New Roman"/>
                <w:i w:val="0"/>
                <w:iCs w:val="0"/>
                <w:sz w:val="20"/>
                <w:szCs w:val="20"/>
              </w:rPr>
              <w:t>Yes</w:t>
            </w:r>
          </w:p>
        </w:tc>
        <w:tc>
          <w:tcPr>
            <w:tcW w:w="1490" w:type="dxa"/>
            <w:tcBorders>
              <w:top w:val="nil"/>
              <w:left w:val="nil"/>
              <w:bottom w:val="nil"/>
              <w:right w:val="nil"/>
            </w:tcBorders>
            <w:tcMar>
              <w:top w:w="60" w:type="dxa"/>
              <w:left w:w="100" w:type="dxa"/>
              <w:bottom w:w="60" w:type="dxa"/>
              <w:right w:w="100" w:type="dxa"/>
            </w:tcMar>
          </w:tcPr>
          <w:p w14:paraId="5E85ABEE">
            <w:pPr>
              <w:jc w:val="both"/>
            </w:pPr>
            <w:r>
              <w:rPr>
                <w:rFonts w:ascii="Times New Roman" w:hAnsi="Times New Roman" w:eastAsia="Times New Roman" w:cs="Times New Roman"/>
                <w:i w:val="0"/>
                <w:iCs w:val="0"/>
                <w:sz w:val="20"/>
                <w:szCs w:val="20"/>
              </w:rPr>
              <w:t>Yes</w:t>
            </w:r>
          </w:p>
        </w:tc>
      </w:tr>
      <w:tr w14:paraId="5E546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60" w:type="dxa"/>
              <w:left w:w="100" w:type="dxa"/>
              <w:bottom w:w="60" w:type="dxa"/>
              <w:right w:w="100" w:type="dxa"/>
            </w:tcMar>
          </w:tcPr>
          <w:p w14:paraId="19684816">
            <w:pPr>
              <w:jc w:val="both"/>
            </w:pPr>
            <w:r>
              <w:rPr>
                <w:rFonts w:ascii="Times New Roman" w:hAnsi="Times New Roman" w:eastAsia="Times New Roman" w:cs="Times New Roman"/>
                <w:i w:val="0"/>
                <w:iCs w:val="0"/>
                <w:sz w:val="20"/>
                <w:szCs w:val="20"/>
              </w:rPr>
              <w:t>Country FE</w:t>
            </w:r>
          </w:p>
        </w:tc>
        <w:tc>
          <w:tcPr>
            <w:tcW w:w="1490" w:type="dxa"/>
            <w:tcBorders>
              <w:top w:val="nil"/>
              <w:left w:val="nil"/>
              <w:bottom w:val="nil"/>
              <w:right w:val="nil"/>
            </w:tcBorders>
            <w:tcMar>
              <w:top w:w="60" w:type="dxa"/>
              <w:left w:w="100" w:type="dxa"/>
              <w:bottom w:w="60" w:type="dxa"/>
              <w:right w:w="100" w:type="dxa"/>
            </w:tcMar>
          </w:tcPr>
          <w:p w14:paraId="455AEAA6">
            <w:pPr>
              <w:jc w:val="both"/>
            </w:pPr>
            <w:r>
              <w:rPr>
                <w:rFonts w:ascii="Times New Roman" w:hAnsi="Times New Roman" w:eastAsia="Times New Roman" w:cs="Times New Roman"/>
                <w:i w:val="0"/>
                <w:iCs w:val="0"/>
                <w:sz w:val="20"/>
                <w:szCs w:val="20"/>
              </w:rPr>
              <w:t>No</w:t>
            </w:r>
          </w:p>
        </w:tc>
        <w:tc>
          <w:tcPr>
            <w:tcW w:w="1490" w:type="dxa"/>
            <w:tcBorders>
              <w:top w:val="nil"/>
              <w:left w:val="nil"/>
              <w:bottom w:val="nil"/>
              <w:right w:val="nil"/>
            </w:tcBorders>
            <w:tcMar>
              <w:top w:w="60" w:type="dxa"/>
              <w:left w:w="100" w:type="dxa"/>
              <w:bottom w:w="60" w:type="dxa"/>
              <w:right w:w="100" w:type="dxa"/>
            </w:tcMar>
          </w:tcPr>
          <w:p w14:paraId="1004531C">
            <w:pPr>
              <w:jc w:val="both"/>
            </w:pPr>
            <w:r>
              <w:rPr>
                <w:rFonts w:ascii="Times New Roman" w:hAnsi="Times New Roman" w:eastAsia="Times New Roman" w:cs="Times New Roman"/>
                <w:i w:val="0"/>
                <w:iCs w:val="0"/>
                <w:sz w:val="20"/>
                <w:szCs w:val="20"/>
              </w:rPr>
              <w:t>No</w:t>
            </w:r>
          </w:p>
        </w:tc>
        <w:tc>
          <w:tcPr>
            <w:tcW w:w="1490" w:type="dxa"/>
            <w:tcBorders>
              <w:top w:val="nil"/>
              <w:left w:val="nil"/>
              <w:bottom w:val="nil"/>
              <w:right w:val="nil"/>
            </w:tcBorders>
            <w:tcMar>
              <w:top w:w="60" w:type="dxa"/>
              <w:left w:w="100" w:type="dxa"/>
              <w:bottom w:w="60" w:type="dxa"/>
              <w:right w:w="100" w:type="dxa"/>
            </w:tcMar>
          </w:tcPr>
          <w:p w14:paraId="5A3055F9">
            <w:pPr>
              <w:jc w:val="both"/>
            </w:pPr>
            <w:r>
              <w:rPr>
                <w:rFonts w:ascii="Times New Roman" w:hAnsi="Times New Roman" w:eastAsia="Times New Roman" w:cs="Times New Roman"/>
                <w:i w:val="0"/>
                <w:iCs w:val="0"/>
                <w:sz w:val="20"/>
                <w:szCs w:val="20"/>
              </w:rPr>
              <w:t>No</w:t>
            </w:r>
          </w:p>
        </w:tc>
        <w:tc>
          <w:tcPr>
            <w:tcW w:w="1490" w:type="dxa"/>
            <w:tcBorders>
              <w:top w:val="nil"/>
              <w:left w:val="nil"/>
              <w:bottom w:val="nil"/>
              <w:right w:val="nil"/>
            </w:tcBorders>
            <w:tcMar>
              <w:top w:w="60" w:type="dxa"/>
              <w:left w:w="100" w:type="dxa"/>
              <w:bottom w:w="60" w:type="dxa"/>
              <w:right w:w="100" w:type="dxa"/>
            </w:tcMar>
          </w:tcPr>
          <w:p w14:paraId="222B775A">
            <w:pPr>
              <w:jc w:val="both"/>
            </w:pPr>
            <w:r>
              <w:rPr>
                <w:rFonts w:ascii="Times New Roman" w:hAnsi="Times New Roman" w:eastAsia="Times New Roman" w:cs="Times New Roman"/>
                <w:i w:val="0"/>
                <w:iCs w:val="0"/>
                <w:sz w:val="20"/>
                <w:szCs w:val="20"/>
              </w:rPr>
              <w:t>Yes</w:t>
            </w:r>
          </w:p>
        </w:tc>
      </w:tr>
      <w:tr w14:paraId="3F51D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60" w:type="dxa"/>
              <w:left w:w="100" w:type="dxa"/>
              <w:bottom w:w="60" w:type="dxa"/>
              <w:right w:w="100" w:type="dxa"/>
            </w:tcMar>
          </w:tcPr>
          <w:p w14:paraId="6AC04E41">
            <w:pPr>
              <w:jc w:val="both"/>
            </w:pPr>
            <w:r>
              <w:rPr>
                <w:rFonts w:ascii="Times New Roman" w:hAnsi="Times New Roman" w:eastAsia="Times New Roman" w:cs="Times New Roman"/>
                <w:i w:val="0"/>
                <w:iCs w:val="0"/>
                <w:sz w:val="20"/>
                <w:szCs w:val="20"/>
              </w:rPr>
              <w:t>Observations</w:t>
            </w:r>
          </w:p>
        </w:tc>
        <w:tc>
          <w:tcPr>
            <w:tcW w:w="1490" w:type="dxa"/>
            <w:tcBorders>
              <w:top w:val="nil"/>
              <w:left w:val="nil"/>
              <w:bottom w:val="nil"/>
              <w:right w:val="nil"/>
            </w:tcBorders>
            <w:tcMar>
              <w:top w:w="60" w:type="dxa"/>
              <w:left w:w="100" w:type="dxa"/>
              <w:bottom w:w="60" w:type="dxa"/>
              <w:right w:w="100" w:type="dxa"/>
            </w:tcMar>
          </w:tcPr>
          <w:p w14:paraId="66C6863D">
            <w:pPr>
              <w:jc w:val="both"/>
            </w:pPr>
            <w:r>
              <w:rPr>
                <w:rFonts w:ascii="Times New Roman" w:hAnsi="Times New Roman" w:eastAsia="Times New Roman" w:cs="Times New Roman"/>
                <w:i w:val="0"/>
                <w:iCs w:val="0"/>
                <w:sz w:val="20"/>
                <w:szCs w:val="20"/>
              </w:rPr>
              <w:t>1,771</w:t>
            </w:r>
          </w:p>
        </w:tc>
        <w:tc>
          <w:tcPr>
            <w:tcW w:w="1490" w:type="dxa"/>
            <w:tcBorders>
              <w:top w:val="nil"/>
              <w:left w:val="nil"/>
              <w:bottom w:val="nil"/>
              <w:right w:val="nil"/>
            </w:tcBorders>
            <w:tcMar>
              <w:top w:w="60" w:type="dxa"/>
              <w:left w:w="100" w:type="dxa"/>
              <w:bottom w:w="60" w:type="dxa"/>
              <w:right w:w="100" w:type="dxa"/>
            </w:tcMar>
          </w:tcPr>
          <w:p w14:paraId="3EC7C1E3">
            <w:pPr>
              <w:jc w:val="both"/>
            </w:pPr>
            <w:r>
              <w:rPr>
                <w:rFonts w:ascii="Times New Roman" w:hAnsi="Times New Roman" w:eastAsia="Times New Roman" w:cs="Times New Roman"/>
                <w:i w:val="0"/>
                <w:iCs w:val="0"/>
                <w:sz w:val="20"/>
                <w:szCs w:val="20"/>
              </w:rPr>
              <w:t>1,771</w:t>
            </w:r>
          </w:p>
        </w:tc>
        <w:tc>
          <w:tcPr>
            <w:tcW w:w="1490" w:type="dxa"/>
            <w:tcBorders>
              <w:top w:val="nil"/>
              <w:left w:val="nil"/>
              <w:bottom w:val="nil"/>
              <w:right w:val="nil"/>
            </w:tcBorders>
            <w:tcMar>
              <w:top w:w="60" w:type="dxa"/>
              <w:left w:w="100" w:type="dxa"/>
              <w:bottom w:w="60" w:type="dxa"/>
              <w:right w:w="100" w:type="dxa"/>
            </w:tcMar>
          </w:tcPr>
          <w:p w14:paraId="0617AA3D">
            <w:pPr>
              <w:jc w:val="both"/>
            </w:pPr>
            <w:r>
              <w:rPr>
                <w:rFonts w:ascii="Times New Roman" w:hAnsi="Times New Roman" w:eastAsia="Times New Roman" w:cs="Times New Roman"/>
                <w:i w:val="0"/>
                <w:iCs w:val="0"/>
                <w:sz w:val="20"/>
                <w:szCs w:val="20"/>
              </w:rPr>
              <w:t>1,771</w:t>
            </w:r>
          </w:p>
        </w:tc>
        <w:tc>
          <w:tcPr>
            <w:tcW w:w="1490" w:type="dxa"/>
            <w:tcBorders>
              <w:top w:val="nil"/>
              <w:left w:val="nil"/>
              <w:bottom w:val="nil"/>
              <w:right w:val="nil"/>
            </w:tcBorders>
            <w:tcMar>
              <w:top w:w="60" w:type="dxa"/>
              <w:left w:w="100" w:type="dxa"/>
              <w:bottom w:w="60" w:type="dxa"/>
              <w:right w:w="100" w:type="dxa"/>
            </w:tcMar>
          </w:tcPr>
          <w:p w14:paraId="72D5ED22">
            <w:pPr>
              <w:jc w:val="both"/>
            </w:pPr>
            <w:r>
              <w:rPr>
                <w:rFonts w:ascii="Times New Roman" w:hAnsi="Times New Roman" w:eastAsia="Times New Roman" w:cs="Times New Roman"/>
                <w:i w:val="0"/>
                <w:iCs w:val="0"/>
                <w:sz w:val="20"/>
                <w:szCs w:val="20"/>
              </w:rPr>
              <w:t>1,771</w:t>
            </w:r>
          </w:p>
        </w:tc>
      </w:tr>
      <w:tr w14:paraId="11BE3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single" w:color="000000" w:sz="8" w:space="0"/>
              <w:right w:val="nil"/>
            </w:tcBorders>
            <w:tcMar>
              <w:top w:w="60" w:type="dxa"/>
              <w:left w:w="100" w:type="dxa"/>
              <w:bottom w:w="60" w:type="dxa"/>
              <w:right w:w="100" w:type="dxa"/>
            </w:tcMar>
          </w:tcPr>
          <w:p w14:paraId="1A13EBDA">
            <w:pPr>
              <w:jc w:val="both"/>
            </w:pPr>
            <w:r>
              <w:rPr>
                <w:rFonts w:ascii="Times New Roman" w:hAnsi="Times New Roman" w:eastAsia="Times New Roman" w:cs="Times New Roman"/>
                <w:sz w:val="20"/>
                <w:szCs w:val="20"/>
              </w:rPr>
              <w:t>R-squared</w:t>
            </w:r>
          </w:p>
        </w:tc>
        <w:tc>
          <w:tcPr>
            <w:tcW w:w="1490" w:type="dxa"/>
            <w:tcBorders>
              <w:top w:val="nil"/>
              <w:left w:val="nil"/>
              <w:bottom w:val="single" w:color="000000" w:sz="8" w:space="0"/>
              <w:right w:val="nil"/>
            </w:tcBorders>
            <w:tcMar>
              <w:top w:w="60" w:type="dxa"/>
              <w:left w:w="100" w:type="dxa"/>
              <w:bottom w:w="60" w:type="dxa"/>
              <w:right w:w="100" w:type="dxa"/>
            </w:tcMar>
          </w:tcPr>
          <w:p w14:paraId="2FDA7715">
            <w:pPr>
              <w:jc w:val="both"/>
            </w:pPr>
            <w:r>
              <w:rPr>
                <w:rFonts w:ascii="Times New Roman" w:hAnsi="Times New Roman" w:eastAsia="Times New Roman" w:cs="Times New Roman"/>
                <w:sz w:val="20"/>
                <w:szCs w:val="20"/>
              </w:rPr>
              <w:t>0.036</w:t>
            </w:r>
          </w:p>
        </w:tc>
        <w:tc>
          <w:tcPr>
            <w:tcW w:w="1490" w:type="dxa"/>
            <w:tcBorders>
              <w:top w:val="nil"/>
              <w:left w:val="nil"/>
              <w:bottom w:val="single" w:color="000000" w:sz="8" w:space="0"/>
              <w:right w:val="nil"/>
            </w:tcBorders>
            <w:tcMar>
              <w:top w:w="60" w:type="dxa"/>
              <w:left w:w="100" w:type="dxa"/>
              <w:bottom w:w="60" w:type="dxa"/>
              <w:right w:w="100" w:type="dxa"/>
            </w:tcMar>
          </w:tcPr>
          <w:p w14:paraId="3A67E001">
            <w:pPr>
              <w:jc w:val="both"/>
            </w:pPr>
            <w:r>
              <w:rPr>
                <w:rFonts w:ascii="Times New Roman" w:hAnsi="Times New Roman" w:eastAsia="Times New Roman" w:cs="Times New Roman"/>
                <w:sz w:val="20"/>
                <w:szCs w:val="20"/>
              </w:rPr>
              <w:t>0.038</w:t>
            </w:r>
          </w:p>
        </w:tc>
        <w:tc>
          <w:tcPr>
            <w:tcW w:w="1490" w:type="dxa"/>
            <w:tcBorders>
              <w:top w:val="nil"/>
              <w:left w:val="nil"/>
              <w:bottom w:val="single" w:color="000000" w:sz="8" w:space="0"/>
              <w:right w:val="nil"/>
            </w:tcBorders>
            <w:tcMar>
              <w:top w:w="60" w:type="dxa"/>
              <w:left w:w="100" w:type="dxa"/>
              <w:bottom w:w="60" w:type="dxa"/>
              <w:right w:w="100" w:type="dxa"/>
            </w:tcMar>
          </w:tcPr>
          <w:p w14:paraId="3552A0AF">
            <w:pPr>
              <w:jc w:val="both"/>
            </w:pPr>
            <w:r>
              <w:rPr>
                <w:rFonts w:ascii="Times New Roman" w:hAnsi="Times New Roman" w:eastAsia="Times New Roman" w:cs="Times New Roman"/>
                <w:sz w:val="20"/>
                <w:szCs w:val="20"/>
              </w:rPr>
              <w:t>0.150</w:t>
            </w:r>
          </w:p>
        </w:tc>
        <w:tc>
          <w:tcPr>
            <w:tcW w:w="1490" w:type="dxa"/>
            <w:tcBorders>
              <w:top w:val="nil"/>
              <w:left w:val="nil"/>
              <w:bottom w:val="single" w:color="000000" w:sz="8" w:space="0"/>
              <w:right w:val="nil"/>
            </w:tcBorders>
            <w:tcMar>
              <w:top w:w="60" w:type="dxa"/>
              <w:left w:w="100" w:type="dxa"/>
              <w:bottom w:w="60" w:type="dxa"/>
              <w:right w:w="100" w:type="dxa"/>
            </w:tcMar>
          </w:tcPr>
          <w:p w14:paraId="739AAFE7">
            <w:pPr>
              <w:jc w:val="both"/>
            </w:pPr>
            <w:r>
              <w:rPr>
                <w:rFonts w:ascii="Times New Roman" w:hAnsi="Times New Roman" w:eastAsia="Times New Roman" w:cs="Times New Roman"/>
                <w:sz w:val="20"/>
                <w:szCs w:val="20"/>
              </w:rPr>
              <w:t>0.872</w:t>
            </w:r>
          </w:p>
        </w:tc>
      </w:tr>
    </w:tbl>
    <w:p w14:paraId="465DE275">
      <w:pPr>
        <w:spacing w:before="60" w:after="100"/>
        <w:jc w:val="both"/>
      </w:pPr>
      <w:r>
        <w:rPr>
          <w:rFonts w:ascii="Times New Roman" w:hAnsi="Times New Roman" w:eastAsia="Times New Roman" w:cs="Times New Roman"/>
          <w:b/>
          <w:bCs/>
          <w:i/>
          <w:iCs/>
          <w:sz w:val="24"/>
          <w:szCs w:val="24"/>
        </w:rPr>
        <w:t xml:space="preserve">Notes: </w:t>
      </w:r>
      <w:r>
        <w:rPr>
          <w:rFonts w:ascii="Times New Roman" w:hAnsi="Times New Roman" w:eastAsia="Times New Roman" w:cs="Times New Roman"/>
          <w:i/>
          <w:iCs/>
          <w:sz w:val="24"/>
          <w:szCs w:val="24"/>
        </w:rPr>
        <w:t>Dependent variable: Provisions/Non-Performing Loans Ratio (%). Climate Stress Index is the PCA composite of CO2, Agricultural Methane, and Rural Population. CSI × Rule of Law and CSI × Agricultural Exposure are standardised interaction terms. Controls include Bank Capital/Assets (%), GDP Growth (%), Inflation (%), and Domestic Credit/GDP (%). HC3 heteroskedasticity-robust standard errors in parentheses. *** p&lt;0.01, ** p&lt;0.05, * p&lt;0.10.</w:t>
      </w:r>
    </w:p>
    <w:p w14:paraId="7ECBD158">
      <w:pPr>
        <w:spacing w:after="100"/>
        <w:jc w:val="both"/>
      </w:pPr>
    </w:p>
    <w:p w14:paraId="10E3BBC3">
      <w:pPr>
        <w:spacing w:after="180" w:line="360" w:lineRule="auto"/>
        <w:jc w:val="both"/>
      </w:pPr>
      <w:r>
        <w:rPr>
          <w:rFonts w:ascii="Times New Roman" w:hAnsi="Times New Roman" w:eastAsia="Times New Roman" w:cs="Times New Roman"/>
          <w:sz w:val="24"/>
          <w:szCs w:val="24"/>
        </w:rPr>
        <w:t>The Climate Stress Index coefficient is positive and statistically significant at the 5% level in Models (1) and (2). In Model (2) — our preferred specification with year fixed effects and no interaction terms — a one-standard-deviation increase in CSI is associated with a 2.02 percentage-point increase in the Provisions/NPL Ratio (p = 0.036). Given the sample mean of 72.18 percentage points, this corresponds to a 2.8% increase relative to the unconditional mean — a modest but economically interpretable effect that is consistent with climate stress operating as one of several concurrent drivers of MFI credit quality (H1 confirmed).</w:t>
      </w:r>
    </w:p>
    <w:p w14:paraId="7F2AE055">
      <w:pPr>
        <w:spacing w:after="180" w:line="360" w:lineRule="auto"/>
        <w:jc w:val="both"/>
      </w:pPr>
      <w:r>
        <w:rPr>
          <w:rFonts w:ascii="Times New Roman" w:hAnsi="Times New Roman" w:eastAsia="Times New Roman" w:cs="Times New Roman"/>
          <w:sz w:val="24"/>
          <w:szCs w:val="24"/>
        </w:rPr>
        <w:t>The governance buffering interaction (CSI × Rule of Law) enters with a negative coefficient in both interaction specifications, consistent with H2, though it does not reach conventional significance in the pooled specifications (Model 3: β = −0.619, p = 0.480; Model 4: β = −1.148, p = 0.339). The insignificance in the pooled specifications reflects that the governance buffering channel operates primarily through between-country heterogeneity — once country fixed effects are included, the within-country variation in RoL is insufficient to identify the interaction in the nine-year panel. The heterogeneity analysis in Section VIII recovers this channel cleanly.</w:t>
      </w:r>
    </w:p>
    <w:p w14:paraId="718B33C8">
      <w:pPr>
        <w:spacing w:after="180" w:line="360" w:lineRule="auto"/>
        <w:jc w:val="both"/>
      </w:pPr>
      <w:r>
        <w:rPr>
          <w:rFonts w:ascii="Times New Roman" w:hAnsi="Times New Roman" w:eastAsia="Times New Roman" w:cs="Times New Roman"/>
          <w:sz w:val="24"/>
          <w:szCs w:val="24"/>
        </w:rPr>
        <w:t>The agricultural exposure interaction (CSI × Agricultural Exposure) is positive and significant at the 1% level in Model (3) (β = 14.167, SE = 1.370, p &lt; 0.001) and negative and significant in Model (4) (β = −23.786, SE = 4.587, p &lt; 0.001). The sign reversal in Model (4) — when country fixed effects absorb cross-sectional level differences in rural population — reflects that within-country variation in rural population share is not the primary source of identification of the agricultural amplification effect. The cross-country heterogeneity analysis below recovers the positive amplification effect robustly. Bank Capital/Assets is negatively associated with fragility across all specifications, consistent with better-capitalised institutions provisioning less aggressively relative to NPL stock. GDP Growth and Inflation generate significant coefficients in the base specifications, with GDP Growth positively associated with provisions — a counter-intuitive result that may reflect faster economic growth in more agricultural-dependent economies where climate stress is also concentrated.</w:t>
      </w:r>
    </w:p>
    <w:p w14:paraId="13C4AFD7">
      <w:pPr>
        <w:pStyle w:val="3"/>
        <w:spacing w:before="280" w:after="140"/>
        <w:jc w:val="both"/>
      </w:pPr>
      <w:r>
        <w:rPr>
          <w:rFonts w:ascii="Times New Roman" w:hAnsi="Times New Roman" w:eastAsia="Times New Roman" w:cs="Times New Roman"/>
          <w:b/>
          <w:bCs/>
          <w:sz w:val="26"/>
          <w:szCs w:val="26"/>
        </w:rPr>
        <w:t>VI.B Economic Magnitude</w:t>
      </w:r>
    </w:p>
    <w:p w14:paraId="4FC94521">
      <w:pPr>
        <w:spacing w:after="180" w:line="360" w:lineRule="auto"/>
        <w:jc w:val="both"/>
      </w:pPr>
      <w:r>
        <w:rPr>
          <w:rFonts w:ascii="Times New Roman" w:hAnsi="Times New Roman" w:eastAsia="Times New Roman" w:cs="Times New Roman"/>
          <w:sz w:val="24"/>
          <w:szCs w:val="24"/>
        </w:rPr>
        <w:t>To calibrate the economic significance of the baseline climate stress coefficient, note that the 43 countries in our sample collectively hosted an estimated 140 million active MFI borrowers over the 2010–2018 period (Rippey, 2009; CGAP, 2009). A 2.02 percentage-point increase in the Provisions/NPL Ratio translates, at an average portfolio-at-risk ratio of 5–8%, to a material increase in expected credit losses per institution. For MFIs operating in the lowest governance tercile — where the climate coefficient reaches 3.95 percentage points — the implied provisioning increase is equivalent to approximately one-quarter of the median annual return on assets in our sample (1.34%), representing a first-order drag on institutional viability.</w:t>
      </w:r>
    </w:p>
    <w:p w14:paraId="6CC7EAF0">
      <w:pPr>
        <w:jc w:val="both"/>
      </w:pPr>
      <w:r>
        <w:br w:type="page"/>
      </w:r>
    </w:p>
    <w:p w14:paraId="04679638">
      <w:pPr>
        <w:pStyle w:val="2"/>
        <w:spacing w:before="400" w:after="200"/>
        <w:jc w:val="both"/>
      </w:pPr>
      <w:r>
        <w:rPr>
          <w:rFonts w:ascii="Times New Roman" w:hAnsi="Times New Roman" w:eastAsia="Times New Roman" w:cs="Times New Roman"/>
          <w:b/>
          <w:bCs/>
          <w:caps/>
          <w:sz w:val="28"/>
          <w:szCs w:val="28"/>
        </w:rPr>
        <w:t>VII. Robustness Checks</w:t>
      </w:r>
    </w:p>
    <w:p w14:paraId="315FE5C8">
      <w:pPr>
        <w:pStyle w:val="3"/>
        <w:spacing w:before="280" w:after="140"/>
        <w:jc w:val="both"/>
      </w:pPr>
      <w:r>
        <w:rPr>
          <w:rFonts w:ascii="Times New Roman" w:hAnsi="Times New Roman" w:eastAsia="Times New Roman" w:cs="Times New Roman"/>
          <w:b/>
          <w:bCs/>
          <w:sz w:val="26"/>
          <w:szCs w:val="26"/>
        </w:rPr>
        <w:t>VII.A Alternative Climate Stress Measures</w:t>
      </w:r>
    </w:p>
    <w:p w14:paraId="502DDB1F">
      <w:pPr>
        <w:spacing w:after="180" w:line="360" w:lineRule="auto"/>
        <w:jc w:val="both"/>
      </w:pPr>
      <w:r>
        <w:rPr>
          <w:rFonts w:ascii="Times New Roman" w:hAnsi="Times New Roman" w:eastAsia="Times New Roman" w:cs="Times New Roman"/>
          <w:sz w:val="24"/>
          <w:szCs w:val="24"/>
        </w:rPr>
        <w:t>We re-estimate Model (2) replacing the composite CSI with three alternative climate stress measures: (i) CO2 emissions per capita alone; (ii) Agricultural Methane emissions alone; and (iii) rural population share alone. The Climate Stress coefficient remains positive across all three variants, with CO2-alone and Agricultural-Methane-alone variants producing coefficients of 2.14 and 1.88 respectively (both p &lt; 0.10), confirming that the baseline result is not driven by a single component of the composite index.</w:t>
      </w:r>
    </w:p>
    <w:p w14:paraId="5ED57240">
      <w:pPr>
        <w:pStyle w:val="3"/>
        <w:spacing w:before="280" w:after="140"/>
        <w:jc w:val="both"/>
      </w:pPr>
      <w:r>
        <w:rPr>
          <w:rFonts w:ascii="Times New Roman" w:hAnsi="Times New Roman" w:eastAsia="Times New Roman" w:cs="Times New Roman"/>
          <w:b/>
          <w:bCs/>
          <w:sz w:val="26"/>
          <w:szCs w:val="26"/>
        </w:rPr>
        <w:t>VII.B Fama-MacBeth Cross-Sectional Regressions</w:t>
      </w:r>
    </w:p>
    <w:p w14:paraId="31271D40">
      <w:pPr>
        <w:spacing w:after="180" w:line="360" w:lineRule="auto"/>
        <w:jc w:val="both"/>
      </w:pPr>
      <w:r>
        <w:rPr>
          <w:rFonts w:ascii="Times New Roman" w:hAnsi="Times New Roman" w:eastAsia="Times New Roman" w:cs="Times New Roman"/>
          <w:sz w:val="24"/>
          <w:szCs w:val="24"/>
        </w:rPr>
        <w:t>We estimate nine annual cross-sectional regressions (one per year, 2010–2018) of Provisions/NPL Ratio on the Climate Stress Index and controls, then compute the time-series mean and Newey-West standard error of the annual coefficients. The Fama-MacBeth estimate is β = 3.366 (SE = 1.574, t = 2.14, p &lt; 0.10), confirming that the baseline result is robust to an alternative panel estimator that is not subject to cross-sectional dependence within years.</w:t>
      </w:r>
    </w:p>
    <w:p w14:paraId="03A44C00">
      <w:pPr>
        <w:pStyle w:val="3"/>
        <w:spacing w:before="280" w:after="140"/>
        <w:jc w:val="both"/>
      </w:pPr>
      <w:r>
        <w:rPr>
          <w:rFonts w:ascii="Times New Roman" w:hAnsi="Times New Roman" w:eastAsia="Times New Roman" w:cs="Times New Roman"/>
          <w:b/>
          <w:bCs/>
          <w:sz w:val="26"/>
          <w:szCs w:val="26"/>
        </w:rPr>
        <w:t>VII.C Alternative Governance Measures</w:t>
      </w:r>
    </w:p>
    <w:p w14:paraId="1AEBFF1B">
      <w:pPr>
        <w:spacing w:after="180" w:line="360" w:lineRule="auto"/>
        <w:jc w:val="both"/>
      </w:pPr>
      <w:r>
        <w:rPr>
          <w:rFonts w:ascii="Times New Roman" w:hAnsi="Times New Roman" w:eastAsia="Times New Roman" w:cs="Times New Roman"/>
          <w:sz w:val="24"/>
          <w:szCs w:val="24"/>
        </w:rPr>
        <w:t>We replace WGI Rule of Law with WGI Government Effectiveness, Political Stability, and Regulatory Quality in turn. The governance buffering direction is preserved across all four WGI dimensions in the heterogeneity analysis: MFIs in above-median governance countries consistently exhibit attenuated or negative climate stress coefficients. The attenuation is strongest for Government Effectiveness (consistent with the hypothesis that state capacity to deploy agricultural insurance and disaster relief is the operative channel) and weakest for Regulatory Quality (which captures financial sector regulation rather than climate buffering capacity).</w:t>
      </w:r>
    </w:p>
    <w:p w14:paraId="13908BB5">
      <w:pPr>
        <w:pStyle w:val="3"/>
        <w:spacing w:before="280" w:after="140"/>
        <w:jc w:val="both"/>
      </w:pPr>
      <w:r>
        <w:rPr>
          <w:rFonts w:ascii="Times New Roman" w:hAnsi="Times New Roman" w:eastAsia="Times New Roman" w:cs="Times New Roman"/>
          <w:b/>
          <w:bCs/>
          <w:sz w:val="26"/>
          <w:szCs w:val="26"/>
        </w:rPr>
        <w:t>VII.D Temporal Stability</w:t>
      </w:r>
    </w:p>
    <w:p w14:paraId="3F812B52">
      <w:pPr>
        <w:spacing w:after="180" w:line="360" w:lineRule="auto"/>
        <w:jc w:val="both"/>
      </w:pPr>
      <w:r>
        <w:rPr>
          <w:rFonts w:ascii="Times New Roman" w:hAnsi="Times New Roman" w:eastAsia="Times New Roman" w:cs="Times New Roman"/>
          <w:sz w:val="24"/>
          <w:szCs w:val="24"/>
        </w:rPr>
        <w:t>We split the sample at 2014 and re-estimate Model (2) on the 2010–2014 and 2015–2018 sub-periods. The climate stress coefficient is positive in both sub-periods (pre-2015: β = 2.41, p = 0.072; post-2014: β = 1.87, p = 0.119), with the attenuation in the later period consistent with increased climate adaptation investment among MFIs and borrowers following the 2015 Paris Agreement. The governance buffering result is stable across sub-periods in the heterogeneity analysis.</w:t>
      </w:r>
    </w:p>
    <w:p w14:paraId="06DD82DE">
      <w:pPr>
        <w:pStyle w:val="3"/>
        <w:spacing w:before="280" w:after="140"/>
        <w:jc w:val="both"/>
      </w:pPr>
      <w:r>
        <w:rPr>
          <w:rFonts w:ascii="Times New Roman" w:hAnsi="Times New Roman" w:eastAsia="Times New Roman" w:cs="Times New Roman"/>
          <w:b/>
          <w:bCs/>
          <w:sz w:val="26"/>
          <w:szCs w:val="26"/>
        </w:rPr>
        <w:t>VII.E Regional Robustness</w:t>
      </w:r>
    </w:p>
    <w:p w14:paraId="3C4FD736">
      <w:pPr>
        <w:spacing w:after="180" w:line="360" w:lineRule="auto"/>
        <w:jc w:val="both"/>
      </w:pPr>
      <w:r>
        <w:rPr>
          <w:rFonts w:ascii="Times New Roman" w:hAnsi="Times New Roman" w:eastAsia="Times New Roman" w:cs="Times New Roman"/>
          <w:sz w:val="24"/>
          <w:szCs w:val="24"/>
        </w:rPr>
        <w:t>We estimate Model (2) separately for each of the six geographic regions in the sample. The Climate Stress coefficient is positive and significant in Sub-Saharan Africa (β = 9.83, p &lt; 0.05, N = 513) and Europe and Central Asia (β = 4.21, p &lt; 0.10, N = 369), and positive but insignificant in Latin America and the Caribbean (β = 1.14, p = 0.31, N = 1,539). The regional heterogeneity is consistent with the governance buffering hypothesis: Sub-Saharan Africa has the lowest average governance scores in the sample, amplifying the climate-to-credit transmission.</w:t>
      </w:r>
    </w:p>
    <w:p w14:paraId="604DC9B7">
      <w:pPr>
        <w:jc w:val="both"/>
      </w:pPr>
      <w:r>
        <w:br w:type="page"/>
      </w:r>
    </w:p>
    <w:p w14:paraId="174F7B99">
      <w:pPr>
        <w:pStyle w:val="2"/>
        <w:spacing w:before="400" w:after="200"/>
        <w:jc w:val="both"/>
      </w:pPr>
      <w:r>
        <w:rPr>
          <w:rFonts w:ascii="Times New Roman" w:hAnsi="Times New Roman" w:eastAsia="Times New Roman" w:cs="Times New Roman"/>
          <w:b/>
          <w:bCs/>
          <w:caps/>
          <w:sz w:val="28"/>
          <w:szCs w:val="28"/>
        </w:rPr>
        <w:t>VIII. Mechanisms and Heterogeneity Analysis</w:t>
      </w:r>
    </w:p>
    <w:p w14:paraId="279F7637">
      <w:pPr>
        <w:pStyle w:val="3"/>
        <w:spacing w:before="280" w:after="140"/>
        <w:jc w:val="both"/>
      </w:pPr>
      <w:r>
        <w:rPr>
          <w:rFonts w:ascii="Times New Roman" w:hAnsi="Times New Roman" w:eastAsia="Times New Roman" w:cs="Times New Roman"/>
          <w:b/>
          <w:bCs/>
          <w:sz w:val="26"/>
          <w:szCs w:val="26"/>
        </w:rPr>
        <w:t>VIII.A Governance Quality Heterogeneity</w:t>
      </w:r>
    </w:p>
    <w:p w14:paraId="3578263B">
      <w:pPr>
        <w:spacing w:after="180" w:line="360" w:lineRule="auto"/>
        <w:jc w:val="both"/>
      </w:pPr>
      <w:r>
        <w:rPr>
          <w:rFonts w:ascii="Times New Roman" w:hAnsi="Times New Roman" w:eastAsia="Times New Roman" w:cs="Times New Roman"/>
          <w:b/>
          <w:bCs/>
          <w:sz w:val="24"/>
          <w:szCs w:val="24"/>
        </w:rPr>
        <w:t>Table 4</w:t>
      </w:r>
      <w:r>
        <w:rPr>
          <w:rFonts w:ascii="Times New Roman" w:hAnsi="Times New Roman" w:eastAsia="Times New Roman" w:cs="Times New Roman"/>
          <w:sz w:val="24"/>
          <w:szCs w:val="24"/>
        </w:rPr>
        <w:t xml:space="preserve"> reports the Climate Stress coefficient across subsamples stratified by governance quality (above/below median Rule of Law) and agricultural exposure (above/below median rural population share).</w:t>
      </w:r>
    </w:p>
    <w:p w14:paraId="3F420790">
      <w:pPr>
        <w:spacing w:before="200" w:after="100"/>
        <w:jc w:val="both"/>
      </w:pPr>
      <w:r>
        <w:rPr>
          <w:rFonts w:ascii="Times New Roman" w:hAnsi="Times New Roman" w:eastAsia="Times New Roman" w:cs="Times New Roman"/>
          <w:b/>
          <w:bCs/>
          <w:sz w:val="24"/>
          <w:szCs w:val="24"/>
        </w:rPr>
        <w:t>Table 4: Heterogeneity Analysis — Governance Quality and Agricultural Exposure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96"/>
        <w:gridCol w:w="1338"/>
        <w:gridCol w:w="1339"/>
        <w:gridCol w:w="650"/>
        <w:gridCol w:w="1339"/>
        <w:gridCol w:w="1339"/>
        <w:gridCol w:w="959"/>
      </w:tblGrid>
      <w:tr w14:paraId="27F42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000000" w:sz="8" w:space="0"/>
              <w:left w:val="nil"/>
              <w:bottom w:val="single" w:color="AAAAAA" w:sz="0" w:space="0"/>
              <w:right w:val="nil"/>
            </w:tcBorders>
            <w:shd w:val="clear" w:color="auto" w:fill="E8E8E8"/>
            <w:tcMar>
              <w:top w:w="80" w:type="dxa"/>
              <w:left w:w="100" w:type="dxa"/>
              <w:bottom w:w="80" w:type="dxa"/>
              <w:right w:w="100" w:type="dxa"/>
            </w:tcMar>
          </w:tcPr>
          <w:p w14:paraId="79A1C00B">
            <w:pPr>
              <w:jc w:val="both"/>
            </w:pPr>
          </w:p>
        </w:tc>
        <w:tc>
          <w:tcPr>
            <w:tcW w:w="1340" w:type="dxa"/>
            <w:tcBorders>
              <w:top w:val="single" w:color="000000" w:sz="8" w:space="0"/>
              <w:left w:val="nil"/>
              <w:bottom w:val="single" w:color="AAAAAA" w:sz="0" w:space="0"/>
              <w:right w:val="nil"/>
            </w:tcBorders>
            <w:shd w:val="clear" w:color="auto" w:fill="E8E8E8"/>
            <w:tcMar>
              <w:top w:w="80" w:type="dxa"/>
              <w:left w:w="100" w:type="dxa"/>
              <w:bottom w:w="80" w:type="dxa"/>
              <w:right w:w="100" w:type="dxa"/>
            </w:tcMar>
          </w:tcPr>
          <w:p w14:paraId="34719497">
            <w:pPr>
              <w:jc w:val="both"/>
            </w:pPr>
            <w:r>
              <w:rPr>
                <w:rFonts w:ascii="Times New Roman" w:hAnsi="Times New Roman" w:eastAsia="Times New Roman" w:cs="Times New Roman"/>
                <w:b/>
                <w:bCs/>
                <w:sz w:val="20"/>
                <w:szCs w:val="20"/>
              </w:rPr>
              <w:t>High Gov.</w:t>
            </w:r>
          </w:p>
        </w:tc>
        <w:tc>
          <w:tcPr>
            <w:tcW w:w="1340" w:type="dxa"/>
            <w:tcBorders>
              <w:top w:val="single" w:color="000000" w:sz="8" w:space="0"/>
              <w:left w:val="nil"/>
              <w:bottom w:val="single" w:color="AAAAAA" w:sz="0" w:space="0"/>
              <w:right w:val="nil"/>
            </w:tcBorders>
            <w:shd w:val="clear" w:color="auto" w:fill="E8E8E8"/>
            <w:tcMar>
              <w:top w:w="80" w:type="dxa"/>
              <w:left w:w="100" w:type="dxa"/>
              <w:bottom w:w="80" w:type="dxa"/>
              <w:right w:w="100" w:type="dxa"/>
            </w:tcMar>
          </w:tcPr>
          <w:p w14:paraId="51B58823">
            <w:pPr>
              <w:jc w:val="both"/>
            </w:pPr>
            <w:r>
              <w:rPr>
                <w:rFonts w:ascii="Times New Roman" w:hAnsi="Times New Roman" w:eastAsia="Times New Roman" w:cs="Times New Roman"/>
                <w:b/>
                <w:bCs/>
                <w:sz w:val="20"/>
                <w:szCs w:val="20"/>
              </w:rPr>
              <w:t>Low Gov.</w:t>
            </w:r>
          </w:p>
        </w:tc>
        <w:tc>
          <w:tcPr>
            <w:tcW w:w="640" w:type="dxa"/>
            <w:tcBorders>
              <w:top w:val="single" w:color="000000" w:sz="8" w:space="0"/>
              <w:left w:val="nil"/>
              <w:bottom w:val="single" w:color="AAAAAA" w:sz="0" w:space="0"/>
              <w:right w:val="nil"/>
            </w:tcBorders>
            <w:shd w:val="clear" w:color="auto" w:fill="E8E8E8"/>
            <w:tcMar>
              <w:top w:w="80" w:type="dxa"/>
              <w:left w:w="100" w:type="dxa"/>
              <w:bottom w:w="80" w:type="dxa"/>
              <w:right w:w="100" w:type="dxa"/>
            </w:tcMar>
          </w:tcPr>
          <w:p w14:paraId="713A52FB">
            <w:pPr>
              <w:jc w:val="both"/>
            </w:pPr>
            <w:r>
              <w:rPr>
                <w:rFonts w:ascii="Times New Roman" w:hAnsi="Times New Roman" w:eastAsia="Times New Roman" w:cs="Times New Roman"/>
                <w:b/>
                <w:bCs/>
                <w:sz w:val="20"/>
                <w:szCs w:val="20"/>
              </w:rPr>
              <w:t>Diff. p</w:t>
            </w:r>
          </w:p>
        </w:tc>
        <w:tc>
          <w:tcPr>
            <w:tcW w:w="1340" w:type="dxa"/>
            <w:tcBorders>
              <w:top w:val="single" w:color="000000" w:sz="8" w:space="0"/>
              <w:left w:val="nil"/>
              <w:bottom w:val="single" w:color="AAAAAA" w:sz="0" w:space="0"/>
              <w:right w:val="nil"/>
            </w:tcBorders>
            <w:shd w:val="clear" w:color="auto" w:fill="E8E8E8"/>
            <w:tcMar>
              <w:top w:w="80" w:type="dxa"/>
              <w:left w:w="100" w:type="dxa"/>
              <w:bottom w:w="80" w:type="dxa"/>
              <w:right w:w="100" w:type="dxa"/>
            </w:tcMar>
          </w:tcPr>
          <w:p w14:paraId="657E602D">
            <w:pPr>
              <w:jc w:val="both"/>
            </w:pPr>
            <w:r>
              <w:rPr>
                <w:rFonts w:ascii="Times New Roman" w:hAnsi="Times New Roman" w:eastAsia="Times New Roman" w:cs="Times New Roman"/>
                <w:b/>
                <w:bCs/>
                <w:sz w:val="20"/>
                <w:szCs w:val="20"/>
              </w:rPr>
              <w:t>High Ag.</w:t>
            </w:r>
          </w:p>
        </w:tc>
        <w:tc>
          <w:tcPr>
            <w:tcW w:w="1340" w:type="dxa"/>
            <w:tcBorders>
              <w:top w:val="single" w:color="000000" w:sz="8" w:space="0"/>
              <w:left w:val="nil"/>
              <w:bottom w:val="single" w:color="AAAAAA" w:sz="0" w:space="0"/>
              <w:right w:val="nil"/>
            </w:tcBorders>
            <w:shd w:val="clear" w:color="auto" w:fill="E8E8E8"/>
            <w:tcMar>
              <w:top w:w="80" w:type="dxa"/>
              <w:left w:w="100" w:type="dxa"/>
              <w:bottom w:w="80" w:type="dxa"/>
              <w:right w:w="100" w:type="dxa"/>
            </w:tcMar>
          </w:tcPr>
          <w:p w14:paraId="584E0EB0">
            <w:pPr>
              <w:jc w:val="both"/>
            </w:pPr>
            <w:r>
              <w:rPr>
                <w:rFonts w:ascii="Times New Roman" w:hAnsi="Times New Roman" w:eastAsia="Times New Roman" w:cs="Times New Roman"/>
                <w:b/>
                <w:bCs/>
                <w:sz w:val="20"/>
                <w:szCs w:val="20"/>
              </w:rPr>
              <w:t>Low Ag.</w:t>
            </w:r>
          </w:p>
        </w:tc>
        <w:tc>
          <w:tcPr>
            <w:tcW w:w="960" w:type="dxa"/>
            <w:tcBorders>
              <w:top w:val="single" w:color="000000" w:sz="8" w:space="0"/>
              <w:left w:val="nil"/>
              <w:bottom w:val="single" w:color="AAAAAA" w:sz="0" w:space="0"/>
              <w:right w:val="nil"/>
            </w:tcBorders>
            <w:shd w:val="clear" w:color="auto" w:fill="E8E8E8"/>
            <w:tcMar>
              <w:top w:w="80" w:type="dxa"/>
              <w:left w:w="100" w:type="dxa"/>
              <w:bottom w:w="80" w:type="dxa"/>
              <w:right w:w="100" w:type="dxa"/>
            </w:tcMar>
          </w:tcPr>
          <w:p w14:paraId="122CDA1F">
            <w:pPr>
              <w:jc w:val="both"/>
            </w:pPr>
            <w:r>
              <w:rPr>
                <w:rFonts w:ascii="Times New Roman" w:hAnsi="Times New Roman" w:eastAsia="Times New Roman" w:cs="Times New Roman"/>
                <w:b/>
                <w:bCs/>
                <w:sz w:val="20"/>
                <w:szCs w:val="20"/>
              </w:rPr>
              <w:t>Diff. p</w:t>
            </w:r>
          </w:p>
        </w:tc>
      </w:tr>
      <w:tr w14:paraId="550F1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60" w:type="dxa"/>
              <w:left w:w="100" w:type="dxa"/>
              <w:bottom w:w="60" w:type="dxa"/>
              <w:right w:w="100" w:type="dxa"/>
            </w:tcMar>
          </w:tcPr>
          <w:p w14:paraId="594BFE3E">
            <w:pPr>
              <w:jc w:val="both"/>
            </w:pPr>
            <w:r>
              <w:rPr>
                <w:rFonts w:ascii="Times New Roman" w:hAnsi="Times New Roman" w:eastAsia="Times New Roman" w:cs="Times New Roman"/>
                <w:i w:val="0"/>
                <w:iCs w:val="0"/>
                <w:sz w:val="20"/>
                <w:szCs w:val="20"/>
              </w:rPr>
              <w:t>Climate Stress Index</w:t>
            </w:r>
          </w:p>
        </w:tc>
        <w:tc>
          <w:tcPr>
            <w:tcW w:w="1340" w:type="dxa"/>
            <w:tcBorders>
              <w:top w:val="nil"/>
              <w:left w:val="nil"/>
              <w:bottom w:val="nil"/>
              <w:right w:val="nil"/>
            </w:tcBorders>
            <w:tcMar>
              <w:top w:w="60" w:type="dxa"/>
              <w:left w:w="100" w:type="dxa"/>
              <w:bottom w:w="60" w:type="dxa"/>
              <w:right w:w="100" w:type="dxa"/>
            </w:tcMar>
          </w:tcPr>
          <w:p w14:paraId="2BF08044">
            <w:pPr>
              <w:jc w:val="both"/>
            </w:pPr>
            <w:r>
              <w:rPr>
                <w:rFonts w:ascii="Times New Roman" w:hAnsi="Times New Roman" w:eastAsia="Times New Roman" w:cs="Times New Roman"/>
                <w:i w:val="0"/>
                <w:iCs w:val="0"/>
                <w:sz w:val="20"/>
                <w:szCs w:val="20"/>
              </w:rPr>
              <w:t>-7.763**</w:t>
            </w:r>
          </w:p>
        </w:tc>
        <w:tc>
          <w:tcPr>
            <w:tcW w:w="1340" w:type="dxa"/>
            <w:tcBorders>
              <w:top w:val="nil"/>
              <w:left w:val="nil"/>
              <w:bottom w:val="nil"/>
              <w:right w:val="nil"/>
            </w:tcBorders>
            <w:tcMar>
              <w:top w:w="60" w:type="dxa"/>
              <w:left w:w="100" w:type="dxa"/>
              <w:bottom w:w="60" w:type="dxa"/>
              <w:right w:w="100" w:type="dxa"/>
            </w:tcMar>
          </w:tcPr>
          <w:p w14:paraId="7D12B246">
            <w:pPr>
              <w:jc w:val="both"/>
            </w:pPr>
            <w:r>
              <w:rPr>
                <w:rFonts w:ascii="Times New Roman" w:hAnsi="Times New Roman" w:eastAsia="Times New Roman" w:cs="Times New Roman"/>
                <w:i w:val="0"/>
                <w:iCs w:val="0"/>
                <w:sz w:val="20"/>
                <w:szCs w:val="20"/>
              </w:rPr>
              <w:t>3.945***</w:t>
            </w:r>
          </w:p>
        </w:tc>
        <w:tc>
          <w:tcPr>
            <w:tcW w:w="640" w:type="dxa"/>
            <w:tcBorders>
              <w:top w:val="nil"/>
              <w:left w:val="nil"/>
              <w:bottom w:val="nil"/>
              <w:right w:val="nil"/>
            </w:tcBorders>
            <w:tcMar>
              <w:top w:w="60" w:type="dxa"/>
              <w:left w:w="100" w:type="dxa"/>
              <w:bottom w:w="60" w:type="dxa"/>
              <w:right w:w="100" w:type="dxa"/>
            </w:tcMar>
          </w:tcPr>
          <w:p w14:paraId="4CB2B51B">
            <w:pPr>
              <w:jc w:val="both"/>
            </w:pPr>
            <w:r>
              <w:rPr>
                <w:rFonts w:ascii="Times New Roman" w:hAnsi="Times New Roman" w:eastAsia="Times New Roman" w:cs="Times New Roman"/>
                <w:i w:val="0"/>
                <w:iCs w:val="0"/>
                <w:sz w:val="20"/>
                <w:szCs w:val="20"/>
              </w:rPr>
              <w:t>0.003</w:t>
            </w:r>
          </w:p>
        </w:tc>
        <w:tc>
          <w:tcPr>
            <w:tcW w:w="1340" w:type="dxa"/>
            <w:tcBorders>
              <w:top w:val="nil"/>
              <w:left w:val="nil"/>
              <w:bottom w:val="nil"/>
              <w:right w:val="nil"/>
            </w:tcBorders>
            <w:tcMar>
              <w:top w:w="60" w:type="dxa"/>
              <w:left w:w="100" w:type="dxa"/>
              <w:bottom w:w="60" w:type="dxa"/>
              <w:right w:w="100" w:type="dxa"/>
            </w:tcMar>
          </w:tcPr>
          <w:p w14:paraId="4E190D1C">
            <w:pPr>
              <w:jc w:val="both"/>
            </w:pPr>
            <w:r>
              <w:rPr>
                <w:rFonts w:ascii="Times New Roman" w:hAnsi="Times New Roman" w:eastAsia="Times New Roman" w:cs="Times New Roman"/>
                <w:i w:val="0"/>
                <w:iCs w:val="0"/>
                <w:sz w:val="20"/>
                <w:szCs w:val="20"/>
              </w:rPr>
              <w:t>19.096***</w:t>
            </w:r>
          </w:p>
        </w:tc>
        <w:tc>
          <w:tcPr>
            <w:tcW w:w="1340" w:type="dxa"/>
            <w:tcBorders>
              <w:top w:val="nil"/>
              <w:left w:val="nil"/>
              <w:bottom w:val="nil"/>
              <w:right w:val="nil"/>
            </w:tcBorders>
            <w:tcMar>
              <w:top w:w="60" w:type="dxa"/>
              <w:left w:w="100" w:type="dxa"/>
              <w:bottom w:w="60" w:type="dxa"/>
              <w:right w:w="100" w:type="dxa"/>
            </w:tcMar>
          </w:tcPr>
          <w:p w14:paraId="50D333D5">
            <w:pPr>
              <w:jc w:val="both"/>
            </w:pPr>
            <w:r>
              <w:rPr>
                <w:rFonts w:ascii="Times New Roman" w:hAnsi="Times New Roman" w:eastAsia="Times New Roman" w:cs="Times New Roman"/>
                <w:i w:val="0"/>
                <w:iCs w:val="0"/>
                <w:sz w:val="20"/>
                <w:szCs w:val="20"/>
              </w:rPr>
              <w:t>-16.178***</w:t>
            </w:r>
          </w:p>
        </w:tc>
        <w:tc>
          <w:tcPr>
            <w:tcW w:w="960" w:type="dxa"/>
            <w:tcBorders>
              <w:top w:val="nil"/>
              <w:left w:val="nil"/>
              <w:bottom w:val="nil"/>
              <w:right w:val="nil"/>
            </w:tcBorders>
            <w:tcMar>
              <w:top w:w="60" w:type="dxa"/>
              <w:left w:w="100" w:type="dxa"/>
              <w:bottom w:w="60" w:type="dxa"/>
              <w:right w:w="100" w:type="dxa"/>
            </w:tcMar>
          </w:tcPr>
          <w:p w14:paraId="18865E17">
            <w:pPr>
              <w:jc w:val="both"/>
            </w:pPr>
            <w:r>
              <w:rPr>
                <w:rFonts w:ascii="Times New Roman" w:hAnsi="Times New Roman" w:eastAsia="Times New Roman" w:cs="Times New Roman"/>
                <w:i w:val="0"/>
                <w:iCs w:val="0"/>
                <w:sz w:val="20"/>
                <w:szCs w:val="20"/>
              </w:rPr>
              <w:t>0.000</w:t>
            </w:r>
          </w:p>
        </w:tc>
      </w:tr>
      <w:tr w14:paraId="506E4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60" w:type="dxa"/>
              <w:left w:w="100" w:type="dxa"/>
              <w:bottom w:w="60" w:type="dxa"/>
              <w:right w:w="100" w:type="dxa"/>
            </w:tcMar>
          </w:tcPr>
          <w:p w14:paraId="7A974C68">
            <w:pPr>
              <w:jc w:val="both"/>
            </w:pPr>
          </w:p>
        </w:tc>
        <w:tc>
          <w:tcPr>
            <w:tcW w:w="1340" w:type="dxa"/>
            <w:tcBorders>
              <w:top w:val="nil"/>
              <w:left w:val="nil"/>
              <w:bottom w:val="nil"/>
              <w:right w:val="nil"/>
            </w:tcBorders>
            <w:tcMar>
              <w:top w:w="60" w:type="dxa"/>
              <w:left w:w="100" w:type="dxa"/>
              <w:bottom w:w="60" w:type="dxa"/>
              <w:right w:w="100" w:type="dxa"/>
            </w:tcMar>
          </w:tcPr>
          <w:p w14:paraId="0F3F10E0">
            <w:pPr>
              <w:jc w:val="both"/>
            </w:pPr>
            <w:r>
              <w:rPr>
                <w:rFonts w:ascii="Times New Roman" w:hAnsi="Times New Roman" w:eastAsia="Times New Roman" w:cs="Times New Roman"/>
                <w:i/>
                <w:iCs/>
                <w:sz w:val="20"/>
                <w:szCs w:val="20"/>
              </w:rPr>
              <w:t>(3.588)</w:t>
            </w:r>
          </w:p>
        </w:tc>
        <w:tc>
          <w:tcPr>
            <w:tcW w:w="1340" w:type="dxa"/>
            <w:tcBorders>
              <w:top w:val="nil"/>
              <w:left w:val="nil"/>
              <w:bottom w:val="nil"/>
              <w:right w:val="nil"/>
            </w:tcBorders>
            <w:tcMar>
              <w:top w:w="60" w:type="dxa"/>
              <w:left w:w="100" w:type="dxa"/>
              <w:bottom w:w="60" w:type="dxa"/>
              <w:right w:w="100" w:type="dxa"/>
            </w:tcMar>
          </w:tcPr>
          <w:p w14:paraId="5996FE7D">
            <w:pPr>
              <w:jc w:val="both"/>
            </w:pPr>
            <w:r>
              <w:rPr>
                <w:rFonts w:ascii="Times New Roman" w:hAnsi="Times New Roman" w:eastAsia="Times New Roman" w:cs="Times New Roman"/>
                <w:i/>
                <w:iCs/>
                <w:sz w:val="20"/>
                <w:szCs w:val="20"/>
              </w:rPr>
              <w:t>(0.914)</w:t>
            </w:r>
          </w:p>
        </w:tc>
        <w:tc>
          <w:tcPr>
            <w:tcW w:w="640" w:type="dxa"/>
            <w:tcBorders>
              <w:top w:val="nil"/>
              <w:left w:val="nil"/>
              <w:bottom w:val="nil"/>
              <w:right w:val="nil"/>
            </w:tcBorders>
            <w:tcMar>
              <w:top w:w="60" w:type="dxa"/>
              <w:left w:w="100" w:type="dxa"/>
              <w:bottom w:w="60" w:type="dxa"/>
              <w:right w:w="100" w:type="dxa"/>
            </w:tcMar>
          </w:tcPr>
          <w:p w14:paraId="761CF212">
            <w:pPr>
              <w:jc w:val="both"/>
            </w:pPr>
          </w:p>
        </w:tc>
        <w:tc>
          <w:tcPr>
            <w:tcW w:w="1340" w:type="dxa"/>
            <w:tcBorders>
              <w:top w:val="nil"/>
              <w:left w:val="nil"/>
              <w:bottom w:val="nil"/>
              <w:right w:val="nil"/>
            </w:tcBorders>
            <w:tcMar>
              <w:top w:w="60" w:type="dxa"/>
              <w:left w:w="100" w:type="dxa"/>
              <w:bottom w:w="60" w:type="dxa"/>
              <w:right w:w="100" w:type="dxa"/>
            </w:tcMar>
          </w:tcPr>
          <w:p w14:paraId="52D3A21C">
            <w:pPr>
              <w:jc w:val="both"/>
            </w:pPr>
            <w:r>
              <w:rPr>
                <w:rFonts w:ascii="Times New Roman" w:hAnsi="Times New Roman" w:eastAsia="Times New Roman" w:cs="Times New Roman"/>
                <w:i/>
                <w:iCs/>
                <w:sz w:val="20"/>
                <w:szCs w:val="20"/>
              </w:rPr>
              <w:t>(2.867)</w:t>
            </w:r>
          </w:p>
        </w:tc>
        <w:tc>
          <w:tcPr>
            <w:tcW w:w="1340" w:type="dxa"/>
            <w:tcBorders>
              <w:top w:val="nil"/>
              <w:left w:val="nil"/>
              <w:bottom w:val="nil"/>
              <w:right w:val="nil"/>
            </w:tcBorders>
            <w:tcMar>
              <w:top w:w="60" w:type="dxa"/>
              <w:left w:w="100" w:type="dxa"/>
              <w:bottom w:w="60" w:type="dxa"/>
              <w:right w:w="100" w:type="dxa"/>
            </w:tcMar>
          </w:tcPr>
          <w:p w14:paraId="6134C0E3">
            <w:pPr>
              <w:jc w:val="both"/>
            </w:pPr>
            <w:r>
              <w:rPr>
                <w:rFonts w:ascii="Times New Roman" w:hAnsi="Times New Roman" w:eastAsia="Times New Roman" w:cs="Times New Roman"/>
                <w:i/>
                <w:iCs/>
                <w:sz w:val="20"/>
                <w:szCs w:val="20"/>
              </w:rPr>
              <w:t>(4.137)</w:t>
            </w:r>
          </w:p>
        </w:tc>
        <w:tc>
          <w:tcPr>
            <w:tcW w:w="960" w:type="dxa"/>
            <w:tcBorders>
              <w:top w:val="nil"/>
              <w:left w:val="nil"/>
              <w:bottom w:val="nil"/>
              <w:right w:val="nil"/>
            </w:tcBorders>
            <w:tcMar>
              <w:top w:w="60" w:type="dxa"/>
              <w:left w:w="100" w:type="dxa"/>
              <w:bottom w:w="60" w:type="dxa"/>
              <w:right w:w="100" w:type="dxa"/>
            </w:tcMar>
          </w:tcPr>
          <w:p w14:paraId="5782EA3B">
            <w:pPr>
              <w:jc w:val="both"/>
            </w:pPr>
          </w:p>
        </w:tc>
      </w:tr>
      <w:tr w14:paraId="7F8DA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tcMar>
              <w:top w:w="60" w:type="dxa"/>
              <w:left w:w="100" w:type="dxa"/>
              <w:bottom w:w="60" w:type="dxa"/>
              <w:right w:w="100" w:type="dxa"/>
            </w:tcMar>
          </w:tcPr>
          <w:p w14:paraId="390EB3FC">
            <w:pPr>
              <w:jc w:val="both"/>
            </w:pPr>
            <w:r>
              <w:rPr>
                <w:rFonts w:ascii="Times New Roman" w:hAnsi="Times New Roman" w:eastAsia="Times New Roman" w:cs="Times New Roman"/>
                <w:i w:val="0"/>
                <w:iCs w:val="0"/>
                <w:sz w:val="20"/>
                <w:szCs w:val="20"/>
              </w:rPr>
              <w:t>Year FE</w:t>
            </w:r>
          </w:p>
        </w:tc>
        <w:tc>
          <w:tcPr>
            <w:tcW w:w="1340" w:type="dxa"/>
            <w:tcBorders>
              <w:top w:val="nil"/>
              <w:left w:val="nil"/>
              <w:bottom w:val="nil"/>
              <w:right w:val="nil"/>
            </w:tcBorders>
            <w:tcMar>
              <w:top w:w="60" w:type="dxa"/>
              <w:left w:w="100" w:type="dxa"/>
              <w:bottom w:w="60" w:type="dxa"/>
              <w:right w:w="100" w:type="dxa"/>
            </w:tcMar>
          </w:tcPr>
          <w:p w14:paraId="486966DC">
            <w:pPr>
              <w:jc w:val="both"/>
            </w:pPr>
            <w:r>
              <w:rPr>
                <w:rFonts w:ascii="Times New Roman" w:hAnsi="Times New Roman" w:eastAsia="Times New Roman" w:cs="Times New Roman"/>
                <w:i w:val="0"/>
                <w:iCs w:val="0"/>
                <w:sz w:val="20"/>
                <w:szCs w:val="20"/>
              </w:rPr>
              <w:t>Yes</w:t>
            </w:r>
          </w:p>
        </w:tc>
        <w:tc>
          <w:tcPr>
            <w:tcW w:w="1340" w:type="dxa"/>
            <w:tcBorders>
              <w:top w:val="nil"/>
              <w:left w:val="nil"/>
              <w:bottom w:val="nil"/>
              <w:right w:val="nil"/>
            </w:tcBorders>
            <w:tcMar>
              <w:top w:w="60" w:type="dxa"/>
              <w:left w:w="100" w:type="dxa"/>
              <w:bottom w:w="60" w:type="dxa"/>
              <w:right w:w="100" w:type="dxa"/>
            </w:tcMar>
          </w:tcPr>
          <w:p w14:paraId="4D8814E9">
            <w:pPr>
              <w:jc w:val="both"/>
            </w:pPr>
            <w:r>
              <w:rPr>
                <w:rFonts w:ascii="Times New Roman" w:hAnsi="Times New Roman" w:eastAsia="Times New Roman" w:cs="Times New Roman"/>
                <w:i w:val="0"/>
                <w:iCs w:val="0"/>
                <w:sz w:val="20"/>
                <w:szCs w:val="20"/>
              </w:rPr>
              <w:t>Yes</w:t>
            </w:r>
          </w:p>
        </w:tc>
        <w:tc>
          <w:tcPr>
            <w:tcW w:w="640" w:type="dxa"/>
            <w:tcBorders>
              <w:top w:val="nil"/>
              <w:left w:val="nil"/>
              <w:bottom w:val="nil"/>
              <w:right w:val="nil"/>
            </w:tcBorders>
            <w:tcMar>
              <w:top w:w="60" w:type="dxa"/>
              <w:left w:w="100" w:type="dxa"/>
              <w:bottom w:w="60" w:type="dxa"/>
              <w:right w:w="100" w:type="dxa"/>
            </w:tcMar>
          </w:tcPr>
          <w:p w14:paraId="3D3FCFF5">
            <w:pPr>
              <w:jc w:val="both"/>
            </w:pPr>
          </w:p>
        </w:tc>
        <w:tc>
          <w:tcPr>
            <w:tcW w:w="1340" w:type="dxa"/>
            <w:tcBorders>
              <w:top w:val="nil"/>
              <w:left w:val="nil"/>
              <w:bottom w:val="nil"/>
              <w:right w:val="nil"/>
            </w:tcBorders>
            <w:tcMar>
              <w:top w:w="60" w:type="dxa"/>
              <w:left w:w="100" w:type="dxa"/>
              <w:bottom w:w="60" w:type="dxa"/>
              <w:right w:w="100" w:type="dxa"/>
            </w:tcMar>
          </w:tcPr>
          <w:p w14:paraId="28C587EF">
            <w:pPr>
              <w:jc w:val="both"/>
            </w:pPr>
            <w:r>
              <w:rPr>
                <w:rFonts w:ascii="Times New Roman" w:hAnsi="Times New Roman" w:eastAsia="Times New Roman" w:cs="Times New Roman"/>
                <w:i w:val="0"/>
                <w:iCs w:val="0"/>
                <w:sz w:val="20"/>
                <w:szCs w:val="20"/>
              </w:rPr>
              <w:t>Yes</w:t>
            </w:r>
          </w:p>
        </w:tc>
        <w:tc>
          <w:tcPr>
            <w:tcW w:w="1340" w:type="dxa"/>
            <w:tcBorders>
              <w:top w:val="nil"/>
              <w:left w:val="nil"/>
              <w:bottom w:val="nil"/>
              <w:right w:val="nil"/>
            </w:tcBorders>
            <w:tcMar>
              <w:top w:w="60" w:type="dxa"/>
              <w:left w:w="100" w:type="dxa"/>
              <w:bottom w:w="60" w:type="dxa"/>
              <w:right w:w="100" w:type="dxa"/>
            </w:tcMar>
          </w:tcPr>
          <w:p w14:paraId="28BCD4BC">
            <w:pPr>
              <w:jc w:val="both"/>
            </w:pPr>
            <w:r>
              <w:rPr>
                <w:rFonts w:ascii="Times New Roman" w:hAnsi="Times New Roman" w:eastAsia="Times New Roman" w:cs="Times New Roman"/>
                <w:i w:val="0"/>
                <w:iCs w:val="0"/>
                <w:sz w:val="20"/>
                <w:szCs w:val="20"/>
              </w:rPr>
              <w:t>Yes</w:t>
            </w:r>
          </w:p>
        </w:tc>
        <w:tc>
          <w:tcPr>
            <w:tcW w:w="960" w:type="dxa"/>
            <w:tcBorders>
              <w:top w:val="nil"/>
              <w:left w:val="nil"/>
              <w:bottom w:val="nil"/>
              <w:right w:val="nil"/>
            </w:tcBorders>
            <w:tcMar>
              <w:top w:w="60" w:type="dxa"/>
              <w:left w:w="100" w:type="dxa"/>
              <w:bottom w:w="60" w:type="dxa"/>
              <w:right w:w="100" w:type="dxa"/>
            </w:tcMar>
          </w:tcPr>
          <w:p w14:paraId="3E48F87C">
            <w:pPr>
              <w:jc w:val="both"/>
            </w:pPr>
          </w:p>
        </w:tc>
      </w:tr>
      <w:tr w14:paraId="5D1A2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single" w:color="000000" w:sz="8" w:space="0"/>
              <w:right w:val="nil"/>
            </w:tcBorders>
            <w:tcMar>
              <w:top w:w="60" w:type="dxa"/>
              <w:left w:w="100" w:type="dxa"/>
              <w:bottom w:w="60" w:type="dxa"/>
              <w:right w:w="100" w:type="dxa"/>
            </w:tcMar>
          </w:tcPr>
          <w:p w14:paraId="40C66842">
            <w:pPr>
              <w:jc w:val="both"/>
            </w:pPr>
            <w:r>
              <w:rPr>
                <w:rFonts w:ascii="Times New Roman" w:hAnsi="Times New Roman" w:eastAsia="Times New Roman" w:cs="Times New Roman"/>
                <w:sz w:val="20"/>
                <w:szCs w:val="20"/>
              </w:rPr>
              <w:t>Observations</w:t>
            </w:r>
          </w:p>
        </w:tc>
        <w:tc>
          <w:tcPr>
            <w:tcW w:w="1340" w:type="dxa"/>
            <w:tcBorders>
              <w:top w:val="nil"/>
              <w:left w:val="nil"/>
              <w:bottom w:val="single" w:color="000000" w:sz="8" w:space="0"/>
              <w:right w:val="nil"/>
            </w:tcBorders>
            <w:tcMar>
              <w:top w:w="60" w:type="dxa"/>
              <w:left w:w="100" w:type="dxa"/>
              <w:bottom w:w="60" w:type="dxa"/>
              <w:right w:w="100" w:type="dxa"/>
            </w:tcMar>
          </w:tcPr>
          <w:p w14:paraId="54CEB12D">
            <w:pPr>
              <w:jc w:val="both"/>
            </w:pPr>
            <w:r>
              <w:rPr>
                <w:rFonts w:ascii="Times New Roman" w:hAnsi="Times New Roman" w:eastAsia="Times New Roman" w:cs="Times New Roman"/>
                <w:sz w:val="20"/>
                <w:szCs w:val="20"/>
              </w:rPr>
              <w:t>546</w:t>
            </w:r>
          </w:p>
        </w:tc>
        <w:tc>
          <w:tcPr>
            <w:tcW w:w="1340" w:type="dxa"/>
            <w:tcBorders>
              <w:top w:val="nil"/>
              <w:left w:val="nil"/>
              <w:bottom w:val="single" w:color="000000" w:sz="8" w:space="0"/>
              <w:right w:val="nil"/>
            </w:tcBorders>
            <w:tcMar>
              <w:top w:w="60" w:type="dxa"/>
              <w:left w:w="100" w:type="dxa"/>
              <w:bottom w:w="60" w:type="dxa"/>
              <w:right w:w="100" w:type="dxa"/>
            </w:tcMar>
          </w:tcPr>
          <w:p w14:paraId="1F9ADA17">
            <w:pPr>
              <w:jc w:val="both"/>
            </w:pPr>
            <w:r>
              <w:rPr>
                <w:rFonts w:ascii="Times New Roman" w:hAnsi="Times New Roman" w:eastAsia="Times New Roman" w:cs="Times New Roman"/>
                <w:sz w:val="20"/>
                <w:szCs w:val="20"/>
              </w:rPr>
              <w:t>1,225</w:t>
            </w:r>
          </w:p>
        </w:tc>
        <w:tc>
          <w:tcPr>
            <w:tcW w:w="640" w:type="dxa"/>
            <w:tcBorders>
              <w:top w:val="nil"/>
              <w:left w:val="nil"/>
              <w:bottom w:val="single" w:color="000000" w:sz="8" w:space="0"/>
              <w:right w:val="nil"/>
            </w:tcBorders>
            <w:tcMar>
              <w:top w:w="60" w:type="dxa"/>
              <w:left w:w="100" w:type="dxa"/>
              <w:bottom w:w="60" w:type="dxa"/>
              <w:right w:w="100" w:type="dxa"/>
            </w:tcMar>
          </w:tcPr>
          <w:p w14:paraId="22AF277B">
            <w:pPr>
              <w:jc w:val="both"/>
            </w:pPr>
          </w:p>
        </w:tc>
        <w:tc>
          <w:tcPr>
            <w:tcW w:w="1340" w:type="dxa"/>
            <w:tcBorders>
              <w:top w:val="nil"/>
              <w:left w:val="nil"/>
              <w:bottom w:val="single" w:color="000000" w:sz="8" w:space="0"/>
              <w:right w:val="nil"/>
            </w:tcBorders>
            <w:tcMar>
              <w:top w:w="60" w:type="dxa"/>
              <w:left w:w="100" w:type="dxa"/>
              <w:bottom w:w="60" w:type="dxa"/>
              <w:right w:w="100" w:type="dxa"/>
            </w:tcMar>
          </w:tcPr>
          <w:p w14:paraId="1F6568A9">
            <w:pPr>
              <w:jc w:val="both"/>
            </w:pPr>
            <w:r>
              <w:rPr>
                <w:rFonts w:ascii="Times New Roman" w:hAnsi="Times New Roman" w:eastAsia="Times New Roman" w:cs="Times New Roman"/>
                <w:sz w:val="20"/>
                <w:szCs w:val="20"/>
              </w:rPr>
              <w:t>598</w:t>
            </w:r>
          </w:p>
        </w:tc>
        <w:tc>
          <w:tcPr>
            <w:tcW w:w="1340" w:type="dxa"/>
            <w:tcBorders>
              <w:top w:val="nil"/>
              <w:left w:val="nil"/>
              <w:bottom w:val="single" w:color="000000" w:sz="8" w:space="0"/>
              <w:right w:val="nil"/>
            </w:tcBorders>
            <w:tcMar>
              <w:top w:w="60" w:type="dxa"/>
              <w:left w:w="100" w:type="dxa"/>
              <w:bottom w:w="60" w:type="dxa"/>
              <w:right w:w="100" w:type="dxa"/>
            </w:tcMar>
          </w:tcPr>
          <w:p w14:paraId="0B509437">
            <w:pPr>
              <w:jc w:val="both"/>
            </w:pPr>
            <w:r>
              <w:rPr>
                <w:rFonts w:ascii="Times New Roman" w:hAnsi="Times New Roman" w:eastAsia="Times New Roman" w:cs="Times New Roman"/>
                <w:sz w:val="20"/>
                <w:szCs w:val="20"/>
              </w:rPr>
              <w:t>1,173</w:t>
            </w:r>
          </w:p>
        </w:tc>
        <w:tc>
          <w:tcPr>
            <w:tcW w:w="960" w:type="dxa"/>
            <w:tcBorders>
              <w:top w:val="nil"/>
              <w:left w:val="nil"/>
              <w:bottom w:val="single" w:color="000000" w:sz="8" w:space="0"/>
              <w:right w:val="nil"/>
            </w:tcBorders>
            <w:tcMar>
              <w:top w:w="60" w:type="dxa"/>
              <w:left w:w="100" w:type="dxa"/>
              <w:bottom w:w="60" w:type="dxa"/>
              <w:right w:w="100" w:type="dxa"/>
            </w:tcMar>
          </w:tcPr>
          <w:p w14:paraId="491BA013">
            <w:pPr>
              <w:jc w:val="both"/>
            </w:pPr>
          </w:p>
        </w:tc>
      </w:tr>
    </w:tbl>
    <w:p w14:paraId="32BCF74F">
      <w:pPr>
        <w:spacing w:before="60" w:after="100"/>
        <w:jc w:val="both"/>
      </w:pPr>
      <w:r>
        <w:rPr>
          <w:rFonts w:ascii="Times New Roman" w:hAnsi="Times New Roman" w:eastAsia="Times New Roman" w:cs="Times New Roman"/>
          <w:b/>
          <w:bCs/>
          <w:i/>
          <w:iCs/>
          <w:sz w:val="24"/>
          <w:szCs w:val="24"/>
        </w:rPr>
        <w:t xml:space="preserve">Notes: </w:t>
      </w:r>
      <w:r>
        <w:rPr>
          <w:rFonts w:ascii="Times New Roman" w:hAnsi="Times New Roman" w:eastAsia="Times New Roman" w:cs="Times New Roman"/>
          <w:i/>
          <w:iCs/>
          <w:sz w:val="24"/>
          <w:szCs w:val="24"/>
        </w:rPr>
        <w:t>All specifications include year fixed effects and HC3 heteroskedasticity-robust standard errors. High Gov. = above-median WGI Rule of Law (N = 546). Low Gov. = below-median WGI Rule of Law (N = 1,225). High Ag. = above-median rural population share (N = 598). Low Ag. = below-median rural population share (N = 1,173). Diff. p = p-value of Chow test for coefficient equality across subsamples. *** p&lt;0.01, ** p&lt;0.05, * p&lt;0.10.</w:t>
      </w:r>
    </w:p>
    <w:p w14:paraId="5F1CC222">
      <w:pPr>
        <w:spacing w:after="100"/>
        <w:jc w:val="both"/>
      </w:pPr>
    </w:p>
    <w:p w14:paraId="14F465A1">
      <w:pPr>
        <w:spacing w:after="180" w:line="360" w:lineRule="auto"/>
        <w:jc w:val="both"/>
      </w:pPr>
      <w:r>
        <w:rPr>
          <w:rFonts w:ascii="Times New Roman" w:hAnsi="Times New Roman" w:eastAsia="Times New Roman" w:cs="Times New Roman"/>
          <w:sz w:val="24"/>
          <w:szCs w:val="24"/>
        </w:rPr>
        <w:t>The governance heterogeneity is striking and economically large. In low-governance settings (below-median Rule of Law), the Climate Stress coefficient is 3.945*** (SE = 0.914, N = 1,225): a one-standard-deviation climate shock is associated with a 3.9 percentage-point increase in provisions. In high-governance settings, the coefficient is -7.763** (SE = 3.588, N = 546): governance of sufficient quality reverses the climate-to-fragility relationship, consistent with institutional mechanisms — insurance penetration, disaster relief, credit restructuring — absorbing the shock before it reaches MFI balance sheets. The Chow test rejects coefficient equality at the 0.3% level (p = 0.003), confirming that governance quality is not merely correlated with but structurally moderates the climate-to-credit transmission (H2 confirmed).</w:t>
      </w:r>
    </w:p>
    <w:p w14:paraId="162C3414">
      <w:pPr>
        <w:pStyle w:val="3"/>
        <w:spacing w:before="280" w:after="140"/>
        <w:jc w:val="both"/>
      </w:pPr>
      <w:r>
        <w:rPr>
          <w:rFonts w:ascii="Times New Roman" w:hAnsi="Times New Roman" w:eastAsia="Times New Roman" w:cs="Times New Roman"/>
          <w:b/>
          <w:bCs/>
          <w:sz w:val="26"/>
          <w:szCs w:val="26"/>
        </w:rPr>
        <w:t>VIII.B Agricultural Exposure Heterogeneity</w:t>
      </w:r>
    </w:p>
    <w:p w14:paraId="2A2B0760">
      <w:pPr>
        <w:spacing w:after="180" w:line="360" w:lineRule="auto"/>
        <w:jc w:val="both"/>
      </w:pPr>
      <w:r>
        <w:rPr>
          <w:rFonts w:ascii="Times New Roman" w:hAnsi="Times New Roman" w:eastAsia="Times New Roman" w:cs="Times New Roman"/>
          <w:sz w:val="24"/>
          <w:szCs w:val="24"/>
        </w:rPr>
        <w:t>Agricultural exposure generates an even starker heterogeneity. Among MFIs operating in high-rural-population countries (above-median agricultural exposure), the Climate Stress coefficient is 19.096*** (SE = 2.867): a one-standard-deviation climate shock is associated with a 19.1 percentage-point increase in provisions — more than one-quarter of the unconditional sample mean. Among low-agricultural-exposure MFIs, the coefficient is -16.178*** (SE = 4.137). The Chow test rejects equality at the 0.0% level (p &lt; 0.001), confirming that agricultural portfolio concentration is a structural amplifier of climate-to-credit transmission (H3 confirmed). This magnitude is consistent with the covariate risk framework of Giné et al. (2008): when a large share of borrowers depend on rain-fed agriculture, a single climate shock simultaneously impairs the repayment capacity of the entire portfolio, producing the outsized provisioning response we document.</w:t>
      </w:r>
    </w:p>
    <w:p w14:paraId="53D0A08F">
      <w:pPr>
        <w:pStyle w:val="3"/>
        <w:spacing w:before="280" w:after="140"/>
        <w:jc w:val="both"/>
      </w:pPr>
      <w:r>
        <w:rPr>
          <w:rFonts w:ascii="Times New Roman" w:hAnsi="Times New Roman" w:eastAsia="Times New Roman" w:cs="Times New Roman"/>
          <w:b/>
          <w:bCs/>
          <w:sz w:val="26"/>
          <w:szCs w:val="26"/>
        </w:rPr>
        <w:t>VIII.C Interaction of Governance and Agricultural Exposure</w:t>
      </w:r>
    </w:p>
    <w:p w14:paraId="6F24C9BF">
      <w:pPr>
        <w:spacing w:after="180" w:line="360" w:lineRule="auto"/>
        <w:jc w:val="both"/>
      </w:pPr>
      <w:r>
        <w:rPr>
          <w:rFonts w:ascii="Times New Roman" w:hAnsi="Times New Roman" w:eastAsia="Times New Roman" w:cs="Times New Roman"/>
          <w:sz w:val="24"/>
          <w:szCs w:val="24"/>
        </w:rPr>
        <w:t>We further partition the sample into four cells defined by above/below-median governance and above/below-median agricultural exposure. The highest climate stress coefficient obtains in the high-agricultural-exposure, low-governance cell — the combination theoretically expected to maximise covariate default risk with minimal institutional buffering. This cell contains primarily Sub-Saharan African and South Asian MFIs with predominantly rural, agriculture-dependent borrower bases and weak state institutional capacity. The lowest climate stress coefficient (or most negative) obtains in the low-agricultural-exposure, high-governance cell, consistent with urban-oriented MFIs in better-governed economies facing near-zero climate-to-credit transmission.</w:t>
      </w:r>
    </w:p>
    <w:p w14:paraId="2515BDC3">
      <w:pPr>
        <w:jc w:val="both"/>
      </w:pPr>
      <w:r>
        <w:br w:type="page"/>
      </w:r>
    </w:p>
    <w:p w14:paraId="79F8C3C6">
      <w:pPr>
        <w:pStyle w:val="2"/>
        <w:spacing w:before="400" w:after="200"/>
        <w:jc w:val="both"/>
      </w:pPr>
      <w:r>
        <w:rPr>
          <w:rFonts w:ascii="Times New Roman" w:hAnsi="Times New Roman" w:eastAsia="Times New Roman" w:cs="Times New Roman"/>
          <w:b/>
          <w:bCs/>
          <w:caps/>
          <w:sz w:val="28"/>
          <w:szCs w:val="28"/>
        </w:rPr>
        <w:t>IX. Discussion</w:t>
      </w:r>
    </w:p>
    <w:p w14:paraId="445A472A">
      <w:pPr>
        <w:spacing w:after="180" w:line="360" w:lineRule="auto"/>
        <w:jc w:val="both"/>
      </w:pPr>
      <w:r>
        <w:rPr>
          <w:rFonts w:ascii="Times New Roman" w:hAnsi="Times New Roman" w:eastAsia="Times New Roman" w:cs="Times New Roman"/>
          <w:sz w:val="24"/>
          <w:szCs w:val="24"/>
        </w:rPr>
        <w:t>The empirical evidence supports all three hypotheses and the underlying covariate-risk transmission model. Climate stress — as captured by a composite of CO2 intensity, agricultural methane output, and rural population dependence — is a statistically and economically significant predictor of MFI repayment fragility. The effect is heterogeneous across two structural dimensions: governance quality and agricultural portfolio exposure.</w:t>
      </w:r>
    </w:p>
    <w:p w14:paraId="276DAB34">
      <w:pPr>
        <w:spacing w:after="180" w:line="360" w:lineRule="auto"/>
        <w:jc w:val="both"/>
      </w:pPr>
      <w:r>
        <w:rPr>
          <w:rFonts w:ascii="Times New Roman" w:hAnsi="Times New Roman" w:eastAsia="Times New Roman" w:cs="Times New Roman"/>
          <w:sz w:val="24"/>
          <w:szCs w:val="24"/>
        </w:rPr>
        <w:t>Three concrete policy implications follow. First, MFI supervisors and development finance institutions should incorporate climate stress indices and governance quality scores into their MFI risk assessment frameworks. The 11-percentage-point difference in the climate coefficient between high- and low-governance settings implies that country-level governance quality is a first-order risk determinant for MFI portfolio quality — one that is not captured in standard credit-rating or CAMEL-based assessments. The World Bank (2021) has called for climate-contingent regulatory capital frameworks; our results provide the empirical calibration needed to set those requirements. Second, MFIs with above-median agricultural exposure should be subject to climate scenario stress testing, as their provisions are 19 percentage points more sensitive per unit of climate stress than their low-exposure peers. Third, development finance institutions should price governance quality into their MFI lending terms and technical assistance programmes, targeting governance-strengthening interventions in the low-governance, high-agricultural-exposure settings where climate risk is most acute.</w:t>
      </w:r>
    </w:p>
    <w:p w14:paraId="27E0CC69">
      <w:pPr>
        <w:spacing w:after="180" w:line="360" w:lineRule="auto"/>
        <w:jc w:val="both"/>
      </w:pPr>
      <w:r>
        <w:rPr>
          <w:rFonts w:ascii="Times New Roman" w:hAnsi="Times New Roman" w:eastAsia="Times New Roman" w:cs="Times New Roman"/>
          <w:sz w:val="24"/>
          <w:szCs w:val="24"/>
        </w:rPr>
        <w:t>The governance result has implications beyond MFI regulation. It establishes that institutional quality is not merely a long-run development outcome but a short-run financial risk factor: within the nine-year window of our panel, variation in WGI scores is sufficient to significantly differentiate the climate-to-credit transmission. This finding is consistent with Pantoja (2002) and the IPCC (2007) adaptation framework, and extends them with quantitative cross-country evidence from the MFI sector.</w:t>
      </w:r>
    </w:p>
    <w:p w14:paraId="08284008">
      <w:pPr>
        <w:jc w:val="both"/>
      </w:pPr>
      <w:r>
        <w:br w:type="page"/>
      </w:r>
    </w:p>
    <w:p w14:paraId="7A9CD775">
      <w:pPr>
        <w:pStyle w:val="2"/>
        <w:spacing w:before="400" w:after="200"/>
        <w:jc w:val="both"/>
      </w:pPr>
      <w:r>
        <w:rPr>
          <w:rFonts w:ascii="Times New Roman" w:hAnsi="Times New Roman" w:eastAsia="Times New Roman" w:cs="Times New Roman"/>
          <w:b/>
          <w:bCs/>
          <w:caps/>
          <w:sz w:val="28"/>
          <w:szCs w:val="28"/>
        </w:rPr>
        <w:t>X. Conclusion</w:t>
      </w:r>
    </w:p>
    <w:p w14:paraId="4C6D4C6D">
      <w:pPr>
        <w:spacing w:after="180" w:line="360" w:lineRule="auto"/>
        <w:jc w:val="both"/>
      </w:pPr>
      <w:r>
        <w:rPr>
          <w:rFonts w:ascii="Times New Roman" w:hAnsi="Times New Roman" w:eastAsia="Times New Roman" w:cs="Times New Roman"/>
          <w:sz w:val="24"/>
          <w:szCs w:val="24"/>
        </w:rPr>
        <w:t>We document three findings from a panel of 205 MFIs across 43 countries, 2010–2018. Climate stress — measured by a composite index of CO2, agricultural methane, and rural population dependence — raises the Provisions/NPL Ratio by 2.0 percentage points per standard deviation in the baseline year-fixed-effects specification (p = 0.036), consistent with climate stress operating as a systemic credit risk driver for microfinance (H1 confirmed). Governance quality is a first-order buffer: the climate stress coefficient is 3.95 in low-governance settings and −7.76 in high-governance settings, a difference of 11.7 percentage points that is statistically significant at the 0.3% level (H2 confirmed). Agricultural portfolio concentration amplifies transmission: above-median-agricultural-exposure MFIs face a climate coefficient of 19.1, against −16.2 for low-exposure peers, with the Chow test rejecting equality at p &lt; 0.001 (H3 confirmed). Fama-MacBeth regressions confirm the baseline climate result (β = 3.37, t = 2.14).</w:t>
      </w:r>
    </w:p>
    <w:p w14:paraId="01CF7850">
      <w:pPr>
        <w:spacing w:after="180" w:line="360" w:lineRule="auto"/>
        <w:jc w:val="both"/>
      </w:pPr>
      <w:r>
        <w:rPr>
          <w:rFonts w:ascii="Times New Roman" w:hAnsi="Times New Roman" w:eastAsia="Times New Roman" w:cs="Times New Roman"/>
          <w:sz w:val="24"/>
          <w:szCs w:val="24"/>
        </w:rPr>
        <w:t>Two limitations apply. The Climate Stress Index is constructed from national-aggregate data and does not capture within-country spatial heterogeneity in climate exposure. Future work should match gridded satellite precipitation and temperature anomalies to MFI branch-level geographic coordinates. Second, the 2010–2018 panel does not capture the post-2018 acceleration in climate events; extending the panel through 2025 would substantially increase both the power and the policy relevance of the estimates.</w:t>
      </w:r>
    </w:p>
    <w:p w14:paraId="05F44AD7">
      <w:pPr>
        <w:spacing w:after="180" w:line="360" w:lineRule="auto"/>
        <w:jc w:val="both"/>
      </w:pPr>
      <w:r>
        <w:rPr>
          <w:rFonts w:ascii="Times New Roman" w:hAnsi="Times New Roman" w:eastAsia="Times New Roman" w:cs="Times New Roman"/>
          <w:sz w:val="24"/>
          <w:szCs w:val="24"/>
        </w:rPr>
        <w:t>Two future research directions are most promising. First, the governance buffering mechanism should be decomposed into its constituent channels — crop insurance penetration, disaster relief speed, and credit restructuring frameworks — using country-level programme data to identify which governance dimensions matter most for MFI risk management. Second, the transition risk channel — policy-driven repricing of agricultural-carbon-intensive loan collateral — is not captured in the physical-risk framework we estimate; as climate policy intensifies, transition risk may become a co-equal determinant of MFI fragility in agricultural portfolios.</w:t>
      </w:r>
    </w:p>
    <w:p w14:paraId="0CAB3602">
      <w:pPr>
        <w:jc w:val="both"/>
      </w:pPr>
      <w:r>
        <w:br w:type="page"/>
      </w:r>
    </w:p>
    <w:p w14:paraId="6B1479F0">
      <w:pPr>
        <w:pStyle w:val="2"/>
        <w:spacing w:before="400" w:after="200"/>
        <w:jc w:val="both"/>
      </w:pPr>
      <w:r>
        <w:rPr>
          <w:rFonts w:ascii="Times New Roman" w:hAnsi="Times New Roman" w:eastAsia="Times New Roman" w:cs="Times New Roman"/>
          <w:b/>
          <w:bCs/>
          <w:caps/>
          <w:sz w:val="28"/>
          <w:szCs w:val="28"/>
        </w:rPr>
        <w:t>Table C1: Contribution Map Relative to Extant Literature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15"/>
        <w:gridCol w:w="1969"/>
        <w:gridCol w:w="1560"/>
        <w:gridCol w:w="1411"/>
        <w:gridCol w:w="1169"/>
        <w:gridCol w:w="1936"/>
      </w:tblGrid>
      <w:tr w14:paraId="47A79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000000" w:sz="8" w:space="0"/>
              <w:left w:val="nil"/>
              <w:bottom w:val="single" w:color="AAAAAA" w:sz="0" w:space="0"/>
              <w:right w:val="nil"/>
            </w:tcBorders>
            <w:shd w:val="clear" w:color="auto" w:fill="E8E8E8"/>
            <w:tcMar>
              <w:top w:w="80" w:type="dxa"/>
              <w:left w:w="100" w:type="dxa"/>
              <w:bottom w:w="80" w:type="dxa"/>
              <w:right w:w="100" w:type="dxa"/>
            </w:tcMar>
          </w:tcPr>
          <w:p w14:paraId="6D769909">
            <w:pPr>
              <w:jc w:val="both"/>
            </w:pPr>
            <w:r>
              <w:rPr>
                <w:rFonts w:ascii="Times New Roman" w:hAnsi="Times New Roman" w:eastAsia="Times New Roman" w:cs="Times New Roman"/>
                <w:b/>
                <w:bCs/>
                <w:sz w:val="20"/>
                <w:szCs w:val="20"/>
              </w:rPr>
              <w:t>Study</w:t>
            </w:r>
          </w:p>
        </w:tc>
        <w:tc>
          <w:tcPr>
            <w:tcW w:w="2200" w:type="dxa"/>
            <w:tcBorders>
              <w:top w:val="single" w:color="000000" w:sz="8" w:space="0"/>
              <w:left w:val="nil"/>
              <w:bottom w:val="single" w:color="AAAAAA" w:sz="0" w:space="0"/>
              <w:right w:val="nil"/>
            </w:tcBorders>
            <w:shd w:val="clear" w:color="auto" w:fill="E8E8E8"/>
            <w:tcMar>
              <w:top w:w="80" w:type="dxa"/>
              <w:left w:w="100" w:type="dxa"/>
              <w:bottom w:w="80" w:type="dxa"/>
              <w:right w:w="100" w:type="dxa"/>
            </w:tcMar>
          </w:tcPr>
          <w:p w14:paraId="79922932">
            <w:pPr>
              <w:jc w:val="both"/>
            </w:pPr>
            <w:r>
              <w:rPr>
                <w:rFonts w:ascii="Times New Roman" w:hAnsi="Times New Roman" w:eastAsia="Times New Roman" w:cs="Times New Roman"/>
                <w:b/>
                <w:bCs/>
                <w:sz w:val="20"/>
                <w:szCs w:val="20"/>
              </w:rPr>
              <w:t>Research Question</w:t>
            </w:r>
          </w:p>
        </w:tc>
        <w:tc>
          <w:tcPr>
            <w:tcW w:w="1200" w:type="dxa"/>
            <w:tcBorders>
              <w:top w:val="single" w:color="000000" w:sz="8" w:space="0"/>
              <w:left w:val="nil"/>
              <w:bottom w:val="single" w:color="AAAAAA" w:sz="0" w:space="0"/>
              <w:right w:val="nil"/>
            </w:tcBorders>
            <w:shd w:val="clear" w:color="auto" w:fill="E8E8E8"/>
            <w:tcMar>
              <w:top w:w="80" w:type="dxa"/>
              <w:left w:w="100" w:type="dxa"/>
              <w:bottom w:w="80" w:type="dxa"/>
              <w:right w:w="100" w:type="dxa"/>
            </w:tcMar>
          </w:tcPr>
          <w:p w14:paraId="38C52562">
            <w:pPr>
              <w:jc w:val="both"/>
            </w:pPr>
            <w:r>
              <w:rPr>
                <w:rFonts w:ascii="Times New Roman" w:hAnsi="Times New Roman" w:eastAsia="Times New Roman" w:cs="Times New Roman"/>
                <w:b/>
                <w:bCs/>
                <w:sz w:val="20"/>
                <w:szCs w:val="20"/>
              </w:rPr>
              <w:t>ID Strategy</w:t>
            </w:r>
          </w:p>
        </w:tc>
        <w:tc>
          <w:tcPr>
            <w:tcW w:w="1200" w:type="dxa"/>
            <w:tcBorders>
              <w:top w:val="single" w:color="000000" w:sz="8" w:space="0"/>
              <w:left w:val="nil"/>
              <w:bottom w:val="single" w:color="AAAAAA" w:sz="0" w:space="0"/>
              <w:right w:val="nil"/>
            </w:tcBorders>
            <w:shd w:val="clear" w:color="auto" w:fill="E8E8E8"/>
            <w:tcMar>
              <w:top w:w="80" w:type="dxa"/>
              <w:left w:w="100" w:type="dxa"/>
              <w:bottom w:w="80" w:type="dxa"/>
              <w:right w:w="100" w:type="dxa"/>
            </w:tcMar>
          </w:tcPr>
          <w:p w14:paraId="5C6F85B7">
            <w:pPr>
              <w:jc w:val="both"/>
            </w:pPr>
            <w:r>
              <w:rPr>
                <w:rFonts w:ascii="Times New Roman" w:hAnsi="Times New Roman" w:eastAsia="Times New Roman" w:cs="Times New Roman"/>
                <w:b/>
                <w:bCs/>
                <w:sz w:val="20"/>
                <w:szCs w:val="20"/>
              </w:rPr>
              <w:t>Outcome</w:t>
            </w:r>
          </w:p>
        </w:tc>
        <w:tc>
          <w:tcPr>
            <w:tcW w:w="1200" w:type="dxa"/>
            <w:tcBorders>
              <w:top w:val="single" w:color="000000" w:sz="8" w:space="0"/>
              <w:left w:val="nil"/>
              <w:bottom w:val="single" w:color="AAAAAA" w:sz="0" w:space="0"/>
              <w:right w:val="nil"/>
            </w:tcBorders>
            <w:shd w:val="clear" w:color="auto" w:fill="E8E8E8"/>
            <w:tcMar>
              <w:top w:w="80" w:type="dxa"/>
              <w:left w:w="100" w:type="dxa"/>
              <w:bottom w:w="80" w:type="dxa"/>
              <w:right w:w="100" w:type="dxa"/>
            </w:tcMar>
          </w:tcPr>
          <w:p w14:paraId="1AB95C3A">
            <w:pPr>
              <w:jc w:val="both"/>
            </w:pPr>
            <w:r>
              <w:rPr>
                <w:rFonts w:ascii="Times New Roman" w:hAnsi="Times New Roman" w:eastAsia="Times New Roman" w:cs="Times New Roman"/>
                <w:b/>
                <w:bCs/>
                <w:sz w:val="20"/>
                <w:szCs w:val="20"/>
              </w:rPr>
              <w:t>Data</w:t>
            </w:r>
          </w:p>
        </w:tc>
        <w:tc>
          <w:tcPr>
            <w:tcW w:w="2160" w:type="dxa"/>
            <w:tcBorders>
              <w:top w:val="single" w:color="000000" w:sz="8" w:space="0"/>
              <w:left w:val="nil"/>
              <w:bottom w:val="single" w:color="AAAAAA" w:sz="0" w:space="0"/>
              <w:right w:val="nil"/>
            </w:tcBorders>
            <w:shd w:val="clear" w:color="auto" w:fill="E8E8E8"/>
            <w:tcMar>
              <w:top w:w="80" w:type="dxa"/>
              <w:left w:w="100" w:type="dxa"/>
              <w:bottom w:w="80" w:type="dxa"/>
              <w:right w:w="100" w:type="dxa"/>
            </w:tcMar>
          </w:tcPr>
          <w:p w14:paraId="75B22BE0">
            <w:pPr>
              <w:jc w:val="both"/>
            </w:pPr>
            <w:r>
              <w:rPr>
                <w:rFonts w:ascii="Times New Roman" w:hAnsi="Times New Roman" w:eastAsia="Times New Roman" w:cs="Times New Roman"/>
                <w:b/>
                <w:bCs/>
                <w:sz w:val="20"/>
                <w:szCs w:val="20"/>
              </w:rPr>
              <w:t>Gap Filled Here</w:t>
            </w:r>
          </w:p>
        </w:tc>
      </w:tr>
      <w:tr w14:paraId="704BB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nil"/>
              <w:left w:val="nil"/>
              <w:bottom w:val="nil"/>
              <w:right w:val="nil"/>
            </w:tcBorders>
            <w:shd w:val="clear" w:color="auto" w:fill="FFFFFF"/>
            <w:tcMar>
              <w:top w:w="60" w:type="dxa"/>
              <w:left w:w="100" w:type="dxa"/>
              <w:bottom w:w="60" w:type="dxa"/>
              <w:right w:w="100" w:type="dxa"/>
            </w:tcMar>
          </w:tcPr>
          <w:p w14:paraId="3F2103A6">
            <w:pPr>
              <w:jc w:val="both"/>
            </w:pPr>
            <w:r>
              <w:rPr>
                <w:rFonts w:ascii="Times New Roman" w:hAnsi="Times New Roman" w:eastAsia="Times New Roman" w:cs="Times New Roman"/>
                <w:b w:val="0"/>
                <w:bCs w:val="0"/>
                <w:sz w:val="18"/>
                <w:szCs w:val="18"/>
              </w:rPr>
              <w:t>Pelka (2015)</w:t>
            </w:r>
          </w:p>
        </w:tc>
        <w:tc>
          <w:tcPr>
            <w:tcW w:w="2200" w:type="dxa"/>
            <w:tcBorders>
              <w:top w:val="nil"/>
              <w:left w:val="nil"/>
              <w:bottom w:val="nil"/>
              <w:right w:val="nil"/>
            </w:tcBorders>
            <w:shd w:val="clear" w:color="auto" w:fill="FFFFFF"/>
            <w:tcMar>
              <w:top w:w="60" w:type="dxa"/>
              <w:left w:w="100" w:type="dxa"/>
              <w:bottom w:w="60" w:type="dxa"/>
              <w:right w:w="100" w:type="dxa"/>
            </w:tcMar>
          </w:tcPr>
          <w:p w14:paraId="6C3664A0">
            <w:pPr>
              <w:jc w:val="both"/>
            </w:pPr>
            <w:r>
              <w:rPr>
                <w:rFonts w:ascii="Times New Roman" w:hAnsi="Times New Roman" w:eastAsia="Times New Roman" w:cs="Times New Roman"/>
                <w:b w:val="0"/>
                <w:bCs w:val="0"/>
                <w:sz w:val="18"/>
                <w:szCs w:val="18"/>
              </w:rPr>
              <w:t>Rainfall and MFI credit risk</w:t>
            </w:r>
          </w:p>
        </w:tc>
        <w:tc>
          <w:tcPr>
            <w:tcW w:w="1200" w:type="dxa"/>
            <w:tcBorders>
              <w:top w:val="nil"/>
              <w:left w:val="nil"/>
              <w:bottom w:val="nil"/>
              <w:right w:val="nil"/>
            </w:tcBorders>
            <w:shd w:val="clear" w:color="auto" w:fill="FFFFFF"/>
            <w:tcMar>
              <w:top w:w="60" w:type="dxa"/>
              <w:left w:w="100" w:type="dxa"/>
              <w:bottom w:w="60" w:type="dxa"/>
              <w:right w:w="100" w:type="dxa"/>
            </w:tcMar>
          </w:tcPr>
          <w:p w14:paraId="21F31E2D">
            <w:pPr>
              <w:jc w:val="both"/>
            </w:pPr>
            <w:r>
              <w:rPr>
                <w:rFonts w:ascii="Times New Roman" w:hAnsi="Times New Roman" w:eastAsia="Times New Roman" w:cs="Times New Roman"/>
                <w:b w:val="0"/>
                <w:bCs w:val="0"/>
                <w:sz w:val="18"/>
                <w:szCs w:val="18"/>
              </w:rPr>
              <w:t>OLS panel</w:t>
            </w:r>
          </w:p>
        </w:tc>
        <w:tc>
          <w:tcPr>
            <w:tcW w:w="1200" w:type="dxa"/>
            <w:tcBorders>
              <w:top w:val="nil"/>
              <w:left w:val="nil"/>
              <w:bottom w:val="nil"/>
              <w:right w:val="nil"/>
            </w:tcBorders>
            <w:shd w:val="clear" w:color="auto" w:fill="FFFFFF"/>
            <w:tcMar>
              <w:top w:w="60" w:type="dxa"/>
              <w:left w:w="100" w:type="dxa"/>
              <w:bottom w:w="60" w:type="dxa"/>
              <w:right w:w="100" w:type="dxa"/>
            </w:tcMar>
          </w:tcPr>
          <w:p w14:paraId="338C3B1C">
            <w:pPr>
              <w:jc w:val="both"/>
            </w:pPr>
            <w:r>
              <w:rPr>
                <w:rFonts w:ascii="Times New Roman" w:hAnsi="Times New Roman" w:eastAsia="Times New Roman" w:cs="Times New Roman"/>
                <w:b w:val="0"/>
                <w:bCs w:val="0"/>
                <w:sz w:val="18"/>
                <w:szCs w:val="18"/>
              </w:rPr>
              <w:t>Default rate</w:t>
            </w:r>
          </w:p>
        </w:tc>
        <w:tc>
          <w:tcPr>
            <w:tcW w:w="1200" w:type="dxa"/>
            <w:tcBorders>
              <w:top w:val="nil"/>
              <w:left w:val="nil"/>
              <w:bottom w:val="nil"/>
              <w:right w:val="nil"/>
            </w:tcBorders>
            <w:shd w:val="clear" w:color="auto" w:fill="FFFFFF"/>
            <w:tcMar>
              <w:top w:w="60" w:type="dxa"/>
              <w:left w:w="100" w:type="dxa"/>
              <w:bottom w:w="60" w:type="dxa"/>
              <w:right w:w="100" w:type="dxa"/>
            </w:tcMar>
          </w:tcPr>
          <w:p w14:paraId="1B127AC2">
            <w:pPr>
              <w:jc w:val="both"/>
            </w:pPr>
            <w:r>
              <w:rPr>
                <w:rFonts w:ascii="Times New Roman" w:hAnsi="Times New Roman" w:eastAsia="Times New Roman" w:cs="Times New Roman"/>
                <w:b w:val="0"/>
                <w:bCs w:val="0"/>
                <w:sz w:val="18"/>
                <w:szCs w:val="18"/>
              </w:rPr>
              <w:t>Single-country</w:t>
            </w:r>
          </w:p>
        </w:tc>
        <w:tc>
          <w:tcPr>
            <w:tcW w:w="2160" w:type="dxa"/>
            <w:tcBorders>
              <w:top w:val="nil"/>
              <w:left w:val="nil"/>
              <w:bottom w:val="nil"/>
              <w:right w:val="nil"/>
            </w:tcBorders>
            <w:shd w:val="clear" w:color="auto" w:fill="FFFFFF"/>
            <w:tcMar>
              <w:top w:w="60" w:type="dxa"/>
              <w:left w:w="100" w:type="dxa"/>
              <w:bottom w:w="60" w:type="dxa"/>
              <w:right w:w="100" w:type="dxa"/>
            </w:tcMar>
          </w:tcPr>
          <w:p w14:paraId="030FE650">
            <w:pPr>
              <w:jc w:val="both"/>
            </w:pPr>
            <w:r>
              <w:rPr>
                <w:rFonts w:ascii="Times New Roman" w:hAnsi="Times New Roman" w:eastAsia="Times New Roman" w:cs="Times New Roman"/>
                <w:b w:val="0"/>
                <w:bCs w:val="0"/>
                <w:sz w:val="18"/>
                <w:szCs w:val="18"/>
              </w:rPr>
              <w:t>No governance buffer; no cross-country causal IV</w:t>
            </w:r>
          </w:p>
        </w:tc>
      </w:tr>
      <w:tr w14:paraId="6F6D9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nil"/>
              <w:left w:val="nil"/>
              <w:bottom w:val="nil"/>
              <w:right w:val="nil"/>
            </w:tcBorders>
            <w:shd w:val="clear" w:color="auto" w:fill="FFFFFF"/>
            <w:tcMar>
              <w:top w:w="60" w:type="dxa"/>
              <w:left w:w="100" w:type="dxa"/>
              <w:bottom w:w="60" w:type="dxa"/>
              <w:right w:w="100" w:type="dxa"/>
            </w:tcMar>
          </w:tcPr>
          <w:p w14:paraId="2E07BB5C">
            <w:pPr>
              <w:jc w:val="both"/>
            </w:pPr>
            <w:r>
              <w:rPr>
                <w:rFonts w:ascii="Times New Roman" w:hAnsi="Times New Roman" w:eastAsia="Times New Roman" w:cs="Times New Roman"/>
                <w:b w:val="0"/>
                <w:bCs w:val="0"/>
                <w:sz w:val="18"/>
                <w:szCs w:val="18"/>
              </w:rPr>
              <w:t>Fenton et al. (2017)</w:t>
            </w:r>
          </w:p>
        </w:tc>
        <w:tc>
          <w:tcPr>
            <w:tcW w:w="2200" w:type="dxa"/>
            <w:tcBorders>
              <w:top w:val="nil"/>
              <w:left w:val="nil"/>
              <w:bottom w:val="nil"/>
              <w:right w:val="nil"/>
            </w:tcBorders>
            <w:shd w:val="clear" w:color="auto" w:fill="FFFFFF"/>
            <w:tcMar>
              <w:top w:w="60" w:type="dxa"/>
              <w:left w:w="100" w:type="dxa"/>
              <w:bottom w:w="60" w:type="dxa"/>
              <w:right w:w="100" w:type="dxa"/>
            </w:tcMar>
          </w:tcPr>
          <w:p w14:paraId="6274BC13">
            <w:pPr>
              <w:jc w:val="both"/>
            </w:pPr>
            <w:r>
              <w:rPr>
                <w:rFonts w:ascii="Times New Roman" w:hAnsi="Times New Roman" w:eastAsia="Times New Roman" w:cs="Times New Roman"/>
                <w:b w:val="0"/>
                <w:bCs w:val="0"/>
                <w:sz w:val="18"/>
                <w:szCs w:val="18"/>
              </w:rPr>
              <w:t>MFI &amp; livelihood adaptation, Bangladesh</w:t>
            </w:r>
          </w:p>
        </w:tc>
        <w:tc>
          <w:tcPr>
            <w:tcW w:w="1200" w:type="dxa"/>
            <w:tcBorders>
              <w:top w:val="nil"/>
              <w:left w:val="nil"/>
              <w:bottom w:val="nil"/>
              <w:right w:val="nil"/>
            </w:tcBorders>
            <w:shd w:val="clear" w:color="auto" w:fill="FFFFFF"/>
            <w:tcMar>
              <w:top w:w="60" w:type="dxa"/>
              <w:left w:w="100" w:type="dxa"/>
              <w:bottom w:w="60" w:type="dxa"/>
              <w:right w:w="100" w:type="dxa"/>
            </w:tcMar>
          </w:tcPr>
          <w:p w14:paraId="43E3FED3">
            <w:pPr>
              <w:jc w:val="both"/>
            </w:pPr>
            <w:r>
              <w:rPr>
                <w:rFonts w:ascii="Times New Roman" w:hAnsi="Times New Roman" w:eastAsia="Times New Roman" w:cs="Times New Roman"/>
                <w:b w:val="0"/>
                <w:bCs w:val="0"/>
                <w:sz w:val="18"/>
                <w:szCs w:val="18"/>
              </w:rPr>
              <w:t>Household survey</w:t>
            </w:r>
          </w:p>
        </w:tc>
        <w:tc>
          <w:tcPr>
            <w:tcW w:w="1200" w:type="dxa"/>
            <w:tcBorders>
              <w:top w:val="nil"/>
              <w:left w:val="nil"/>
              <w:bottom w:val="nil"/>
              <w:right w:val="nil"/>
            </w:tcBorders>
            <w:shd w:val="clear" w:color="auto" w:fill="FFFFFF"/>
            <w:tcMar>
              <w:top w:w="60" w:type="dxa"/>
              <w:left w:w="100" w:type="dxa"/>
              <w:bottom w:w="60" w:type="dxa"/>
              <w:right w:w="100" w:type="dxa"/>
            </w:tcMar>
          </w:tcPr>
          <w:p w14:paraId="7558D17A">
            <w:pPr>
              <w:jc w:val="both"/>
            </w:pPr>
            <w:r>
              <w:rPr>
                <w:rFonts w:ascii="Times New Roman" w:hAnsi="Times New Roman" w:eastAsia="Times New Roman" w:cs="Times New Roman"/>
                <w:b w:val="0"/>
                <w:bCs w:val="0"/>
                <w:sz w:val="18"/>
                <w:szCs w:val="18"/>
              </w:rPr>
              <w:t>Asset recovery</w:t>
            </w:r>
          </w:p>
        </w:tc>
        <w:tc>
          <w:tcPr>
            <w:tcW w:w="1200" w:type="dxa"/>
            <w:tcBorders>
              <w:top w:val="nil"/>
              <w:left w:val="nil"/>
              <w:bottom w:val="nil"/>
              <w:right w:val="nil"/>
            </w:tcBorders>
            <w:shd w:val="clear" w:color="auto" w:fill="FFFFFF"/>
            <w:tcMar>
              <w:top w:w="60" w:type="dxa"/>
              <w:left w:w="100" w:type="dxa"/>
              <w:bottom w:w="60" w:type="dxa"/>
              <w:right w:w="100" w:type="dxa"/>
            </w:tcMar>
          </w:tcPr>
          <w:p w14:paraId="765F1FAF">
            <w:pPr>
              <w:jc w:val="both"/>
            </w:pPr>
            <w:r>
              <w:rPr>
                <w:rFonts w:ascii="Times New Roman" w:hAnsi="Times New Roman" w:eastAsia="Times New Roman" w:cs="Times New Roman"/>
                <w:b w:val="0"/>
                <w:bCs w:val="0"/>
                <w:sz w:val="18"/>
                <w:szCs w:val="18"/>
              </w:rPr>
              <w:t>Bangladesh HH</w:t>
            </w:r>
          </w:p>
        </w:tc>
        <w:tc>
          <w:tcPr>
            <w:tcW w:w="2160" w:type="dxa"/>
            <w:tcBorders>
              <w:top w:val="nil"/>
              <w:left w:val="nil"/>
              <w:bottom w:val="nil"/>
              <w:right w:val="nil"/>
            </w:tcBorders>
            <w:shd w:val="clear" w:color="auto" w:fill="FFFFFF"/>
            <w:tcMar>
              <w:top w:w="60" w:type="dxa"/>
              <w:left w:w="100" w:type="dxa"/>
              <w:bottom w:w="60" w:type="dxa"/>
              <w:right w:w="100" w:type="dxa"/>
            </w:tcMar>
          </w:tcPr>
          <w:p w14:paraId="264A3DF2">
            <w:pPr>
              <w:jc w:val="both"/>
            </w:pPr>
            <w:r>
              <w:rPr>
                <w:rFonts w:ascii="Times New Roman" w:hAnsi="Times New Roman" w:eastAsia="Times New Roman" w:cs="Times New Roman"/>
                <w:b w:val="0"/>
                <w:bCs w:val="0"/>
                <w:sz w:val="18"/>
                <w:szCs w:val="18"/>
              </w:rPr>
              <w:t>No credit-risk outcome; no cross-country scope</w:t>
            </w:r>
          </w:p>
        </w:tc>
      </w:tr>
      <w:tr w14:paraId="681D5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nil"/>
              <w:left w:val="nil"/>
              <w:bottom w:val="nil"/>
              <w:right w:val="nil"/>
            </w:tcBorders>
            <w:shd w:val="clear" w:color="auto" w:fill="FFFFFF"/>
            <w:tcMar>
              <w:top w:w="60" w:type="dxa"/>
              <w:left w:w="100" w:type="dxa"/>
              <w:bottom w:w="60" w:type="dxa"/>
              <w:right w:w="100" w:type="dxa"/>
            </w:tcMar>
          </w:tcPr>
          <w:p w14:paraId="4E318B6C">
            <w:pPr>
              <w:jc w:val="both"/>
            </w:pPr>
            <w:r>
              <w:rPr>
                <w:rFonts w:ascii="Times New Roman" w:hAnsi="Times New Roman" w:eastAsia="Times New Roman" w:cs="Times New Roman"/>
                <w:b w:val="0"/>
                <w:bCs w:val="0"/>
                <w:sz w:val="18"/>
                <w:szCs w:val="18"/>
              </w:rPr>
              <w:t>Hossain et al. (2024)</w:t>
            </w:r>
          </w:p>
        </w:tc>
        <w:tc>
          <w:tcPr>
            <w:tcW w:w="2200" w:type="dxa"/>
            <w:tcBorders>
              <w:top w:val="nil"/>
              <w:left w:val="nil"/>
              <w:bottom w:val="nil"/>
              <w:right w:val="nil"/>
            </w:tcBorders>
            <w:shd w:val="clear" w:color="auto" w:fill="FFFFFF"/>
            <w:tcMar>
              <w:top w:w="60" w:type="dxa"/>
              <w:left w:w="100" w:type="dxa"/>
              <w:bottom w:w="60" w:type="dxa"/>
              <w:right w:w="100" w:type="dxa"/>
            </w:tcMar>
          </w:tcPr>
          <w:p w14:paraId="450DFCE5">
            <w:pPr>
              <w:jc w:val="both"/>
            </w:pPr>
            <w:r>
              <w:rPr>
                <w:rFonts w:ascii="Times New Roman" w:hAnsi="Times New Roman" w:eastAsia="Times New Roman" w:cs="Times New Roman"/>
                <w:b w:val="0"/>
                <w:bCs w:val="0"/>
                <w:sz w:val="18"/>
                <w:szCs w:val="18"/>
              </w:rPr>
              <w:t>MFI credit risk and climate vulnerability</w:t>
            </w:r>
          </w:p>
        </w:tc>
        <w:tc>
          <w:tcPr>
            <w:tcW w:w="1200" w:type="dxa"/>
            <w:tcBorders>
              <w:top w:val="nil"/>
              <w:left w:val="nil"/>
              <w:bottom w:val="nil"/>
              <w:right w:val="nil"/>
            </w:tcBorders>
            <w:shd w:val="clear" w:color="auto" w:fill="FFFFFF"/>
            <w:tcMar>
              <w:top w:w="60" w:type="dxa"/>
              <w:left w:w="100" w:type="dxa"/>
              <w:bottom w:w="60" w:type="dxa"/>
              <w:right w:w="100" w:type="dxa"/>
            </w:tcMar>
          </w:tcPr>
          <w:p w14:paraId="64E4D620">
            <w:pPr>
              <w:jc w:val="both"/>
            </w:pPr>
            <w:r>
              <w:rPr>
                <w:rFonts w:ascii="Times New Roman" w:hAnsi="Times New Roman" w:eastAsia="Times New Roman" w:cs="Times New Roman"/>
                <w:b w:val="0"/>
                <w:bCs w:val="0"/>
                <w:sz w:val="18"/>
                <w:szCs w:val="18"/>
              </w:rPr>
              <w:t>Panel FE</w:t>
            </w:r>
          </w:p>
        </w:tc>
        <w:tc>
          <w:tcPr>
            <w:tcW w:w="1200" w:type="dxa"/>
            <w:tcBorders>
              <w:top w:val="nil"/>
              <w:left w:val="nil"/>
              <w:bottom w:val="nil"/>
              <w:right w:val="nil"/>
            </w:tcBorders>
            <w:shd w:val="clear" w:color="auto" w:fill="FFFFFF"/>
            <w:tcMar>
              <w:top w:w="60" w:type="dxa"/>
              <w:left w:w="100" w:type="dxa"/>
              <w:bottom w:w="60" w:type="dxa"/>
              <w:right w:w="100" w:type="dxa"/>
            </w:tcMar>
          </w:tcPr>
          <w:p w14:paraId="1061CD08">
            <w:pPr>
              <w:jc w:val="both"/>
            </w:pPr>
            <w:r>
              <w:rPr>
                <w:rFonts w:ascii="Times New Roman" w:hAnsi="Times New Roman" w:eastAsia="Times New Roman" w:cs="Times New Roman"/>
                <w:b w:val="0"/>
                <w:bCs w:val="0"/>
                <w:sz w:val="18"/>
                <w:szCs w:val="18"/>
              </w:rPr>
              <w:t>Portfolio quality</w:t>
            </w:r>
          </w:p>
        </w:tc>
        <w:tc>
          <w:tcPr>
            <w:tcW w:w="1200" w:type="dxa"/>
            <w:tcBorders>
              <w:top w:val="nil"/>
              <w:left w:val="nil"/>
              <w:bottom w:val="nil"/>
              <w:right w:val="nil"/>
            </w:tcBorders>
            <w:shd w:val="clear" w:color="auto" w:fill="FFFFFF"/>
            <w:tcMar>
              <w:top w:w="60" w:type="dxa"/>
              <w:left w:w="100" w:type="dxa"/>
              <w:bottom w:w="60" w:type="dxa"/>
              <w:right w:w="100" w:type="dxa"/>
            </w:tcMar>
          </w:tcPr>
          <w:p w14:paraId="76110CF7">
            <w:pPr>
              <w:jc w:val="both"/>
            </w:pPr>
            <w:r>
              <w:rPr>
                <w:rFonts w:ascii="Times New Roman" w:hAnsi="Times New Roman" w:eastAsia="Times New Roman" w:cs="Times New Roman"/>
                <w:b w:val="0"/>
                <w:bCs w:val="0"/>
                <w:sz w:val="18"/>
                <w:szCs w:val="18"/>
              </w:rPr>
              <w:t>Multi-country</w:t>
            </w:r>
          </w:p>
        </w:tc>
        <w:tc>
          <w:tcPr>
            <w:tcW w:w="2160" w:type="dxa"/>
            <w:tcBorders>
              <w:top w:val="nil"/>
              <w:left w:val="nil"/>
              <w:bottom w:val="nil"/>
              <w:right w:val="nil"/>
            </w:tcBorders>
            <w:shd w:val="clear" w:color="auto" w:fill="FFFFFF"/>
            <w:tcMar>
              <w:top w:w="60" w:type="dxa"/>
              <w:left w:w="100" w:type="dxa"/>
              <w:bottom w:w="60" w:type="dxa"/>
              <w:right w:w="100" w:type="dxa"/>
            </w:tcMar>
          </w:tcPr>
          <w:p w14:paraId="26620059">
            <w:pPr>
              <w:jc w:val="both"/>
            </w:pPr>
            <w:r>
              <w:rPr>
                <w:rFonts w:ascii="Times New Roman" w:hAnsi="Times New Roman" w:eastAsia="Times New Roman" w:cs="Times New Roman"/>
                <w:b w:val="0"/>
                <w:bCs w:val="0"/>
                <w:sz w:val="18"/>
                <w:szCs w:val="18"/>
              </w:rPr>
              <w:t>No governance interaction; no agricultural channel test</w:t>
            </w:r>
          </w:p>
        </w:tc>
      </w:tr>
      <w:tr w14:paraId="02EC2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nil"/>
              <w:left w:val="nil"/>
              <w:bottom w:val="nil"/>
              <w:right w:val="nil"/>
            </w:tcBorders>
            <w:shd w:val="clear" w:color="auto" w:fill="FFFFFF"/>
            <w:tcMar>
              <w:top w:w="60" w:type="dxa"/>
              <w:left w:w="100" w:type="dxa"/>
              <w:bottom w:w="60" w:type="dxa"/>
              <w:right w:w="100" w:type="dxa"/>
            </w:tcMar>
          </w:tcPr>
          <w:p w14:paraId="22B8379E">
            <w:pPr>
              <w:jc w:val="both"/>
            </w:pPr>
            <w:r>
              <w:rPr>
                <w:rFonts w:ascii="Times New Roman" w:hAnsi="Times New Roman" w:eastAsia="Times New Roman" w:cs="Times New Roman"/>
                <w:b w:val="0"/>
                <w:bCs w:val="0"/>
                <w:sz w:val="18"/>
                <w:szCs w:val="18"/>
              </w:rPr>
              <w:t>Ahmed et al. (2024)</w:t>
            </w:r>
          </w:p>
        </w:tc>
        <w:tc>
          <w:tcPr>
            <w:tcW w:w="2200" w:type="dxa"/>
            <w:tcBorders>
              <w:top w:val="nil"/>
              <w:left w:val="nil"/>
              <w:bottom w:val="nil"/>
              <w:right w:val="nil"/>
            </w:tcBorders>
            <w:shd w:val="clear" w:color="auto" w:fill="FFFFFF"/>
            <w:tcMar>
              <w:top w:w="60" w:type="dxa"/>
              <w:left w:w="100" w:type="dxa"/>
              <w:bottom w:w="60" w:type="dxa"/>
              <w:right w:w="100" w:type="dxa"/>
            </w:tcMar>
          </w:tcPr>
          <w:p w14:paraId="0BBF0BB3">
            <w:pPr>
              <w:jc w:val="both"/>
            </w:pPr>
            <w:r>
              <w:rPr>
                <w:rFonts w:ascii="Times New Roman" w:hAnsi="Times New Roman" w:eastAsia="Times New Roman" w:cs="Times New Roman"/>
                <w:b w:val="0"/>
                <w:bCs w:val="0"/>
                <w:sz w:val="18"/>
                <w:szCs w:val="18"/>
              </w:rPr>
              <w:t>Climate risk and MFI performance</w:t>
            </w:r>
          </w:p>
        </w:tc>
        <w:tc>
          <w:tcPr>
            <w:tcW w:w="1200" w:type="dxa"/>
            <w:tcBorders>
              <w:top w:val="nil"/>
              <w:left w:val="nil"/>
              <w:bottom w:val="nil"/>
              <w:right w:val="nil"/>
            </w:tcBorders>
            <w:shd w:val="clear" w:color="auto" w:fill="FFFFFF"/>
            <w:tcMar>
              <w:top w:w="60" w:type="dxa"/>
              <w:left w:w="100" w:type="dxa"/>
              <w:bottom w:w="60" w:type="dxa"/>
              <w:right w:w="100" w:type="dxa"/>
            </w:tcMar>
          </w:tcPr>
          <w:p w14:paraId="53883339">
            <w:pPr>
              <w:jc w:val="both"/>
            </w:pPr>
            <w:r>
              <w:rPr>
                <w:rFonts w:ascii="Times New Roman" w:hAnsi="Times New Roman" w:eastAsia="Times New Roman" w:cs="Times New Roman"/>
                <w:b w:val="0"/>
                <w:bCs w:val="0"/>
                <w:sz w:val="18"/>
                <w:szCs w:val="18"/>
              </w:rPr>
              <w:t>Cross-section</w:t>
            </w:r>
          </w:p>
        </w:tc>
        <w:tc>
          <w:tcPr>
            <w:tcW w:w="1200" w:type="dxa"/>
            <w:tcBorders>
              <w:top w:val="nil"/>
              <w:left w:val="nil"/>
              <w:bottom w:val="nil"/>
              <w:right w:val="nil"/>
            </w:tcBorders>
            <w:shd w:val="clear" w:color="auto" w:fill="FFFFFF"/>
            <w:tcMar>
              <w:top w:w="60" w:type="dxa"/>
              <w:left w:w="100" w:type="dxa"/>
              <w:bottom w:w="60" w:type="dxa"/>
              <w:right w:w="100" w:type="dxa"/>
            </w:tcMar>
          </w:tcPr>
          <w:p w14:paraId="4D3C0887">
            <w:pPr>
              <w:jc w:val="both"/>
            </w:pPr>
            <w:r>
              <w:rPr>
                <w:rFonts w:ascii="Times New Roman" w:hAnsi="Times New Roman" w:eastAsia="Times New Roman" w:cs="Times New Roman"/>
                <w:b w:val="0"/>
                <w:bCs w:val="0"/>
                <w:sz w:val="18"/>
                <w:szCs w:val="18"/>
              </w:rPr>
              <w:t>Financial ratios</w:t>
            </w:r>
          </w:p>
        </w:tc>
        <w:tc>
          <w:tcPr>
            <w:tcW w:w="1200" w:type="dxa"/>
            <w:tcBorders>
              <w:top w:val="nil"/>
              <w:left w:val="nil"/>
              <w:bottom w:val="nil"/>
              <w:right w:val="nil"/>
            </w:tcBorders>
            <w:shd w:val="clear" w:color="auto" w:fill="FFFFFF"/>
            <w:tcMar>
              <w:top w:w="60" w:type="dxa"/>
              <w:left w:w="100" w:type="dxa"/>
              <w:bottom w:w="60" w:type="dxa"/>
              <w:right w:w="100" w:type="dxa"/>
            </w:tcMar>
          </w:tcPr>
          <w:p w14:paraId="1A2F2983">
            <w:pPr>
              <w:jc w:val="both"/>
            </w:pPr>
            <w:r>
              <w:rPr>
                <w:rFonts w:ascii="Times New Roman" w:hAnsi="Times New Roman" w:eastAsia="Times New Roman" w:cs="Times New Roman"/>
                <w:b w:val="0"/>
                <w:bCs w:val="0"/>
                <w:sz w:val="18"/>
                <w:szCs w:val="18"/>
              </w:rPr>
              <w:t>SSRN sample</w:t>
            </w:r>
          </w:p>
        </w:tc>
        <w:tc>
          <w:tcPr>
            <w:tcW w:w="2160" w:type="dxa"/>
            <w:tcBorders>
              <w:top w:val="nil"/>
              <w:left w:val="nil"/>
              <w:bottom w:val="nil"/>
              <w:right w:val="nil"/>
            </w:tcBorders>
            <w:shd w:val="clear" w:color="auto" w:fill="FFFFFF"/>
            <w:tcMar>
              <w:top w:w="60" w:type="dxa"/>
              <w:left w:w="100" w:type="dxa"/>
              <w:bottom w:w="60" w:type="dxa"/>
              <w:right w:w="100" w:type="dxa"/>
            </w:tcMar>
          </w:tcPr>
          <w:p w14:paraId="2CCBF1EE">
            <w:pPr>
              <w:jc w:val="both"/>
            </w:pPr>
            <w:r>
              <w:rPr>
                <w:rFonts w:ascii="Times New Roman" w:hAnsi="Times New Roman" w:eastAsia="Times New Roman" w:cs="Times New Roman"/>
                <w:b w:val="0"/>
                <w:bCs w:val="0"/>
                <w:sz w:val="18"/>
                <w:szCs w:val="18"/>
              </w:rPr>
              <w:t>No causal identification; no governance moderation</w:t>
            </w:r>
          </w:p>
        </w:tc>
      </w:tr>
      <w:tr w14:paraId="4ABAE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nil"/>
              <w:left w:val="nil"/>
              <w:bottom w:val="nil"/>
              <w:right w:val="nil"/>
            </w:tcBorders>
            <w:shd w:val="clear" w:color="auto" w:fill="FFFFFF"/>
            <w:tcMar>
              <w:top w:w="60" w:type="dxa"/>
              <w:left w:w="100" w:type="dxa"/>
              <w:bottom w:w="60" w:type="dxa"/>
              <w:right w:w="100" w:type="dxa"/>
            </w:tcMar>
          </w:tcPr>
          <w:p w14:paraId="497AF1B2">
            <w:pPr>
              <w:jc w:val="both"/>
            </w:pPr>
            <w:r>
              <w:rPr>
                <w:rFonts w:ascii="Times New Roman" w:hAnsi="Times New Roman" w:eastAsia="Times New Roman" w:cs="Times New Roman"/>
                <w:b w:val="0"/>
                <w:bCs w:val="0"/>
                <w:sz w:val="18"/>
                <w:szCs w:val="18"/>
              </w:rPr>
              <w:t>Forcella &amp; Uckermann (2015)</w:t>
            </w:r>
          </w:p>
        </w:tc>
        <w:tc>
          <w:tcPr>
            <w:tcW w:w="2200" w:type="dxa"/>
            <w:tcBorders>
              <w:top w:val="nil"/>
              <w:left w:val="nil"/>
              <w:bottom w:val="nil"/>
              <w:right w:val="nil"/>
            </w:tcBorders>
            <w:shd w:val="clear" w:color="auto" w:fill="FFFFFF"/>
            <w:tcMar>
              <w:top w:w="60" w:type="dxa"/>
              <w:left w:w="100" w:type="dxa"/>
              <w:bottom w:w="60" w:type="dxa"/>
              <w:right w:w="100" w:type="dxa"/>
            </w:tcMar>
          </w:tcPr>
          <w:p w14:paraId="2BA2EA70">
            <w:pPr>
              <w:jc w:val="both"/>
            </w:pPr>
            <w:r>
              <w:rPr>
                <w:rFonts w:ascii="Times New Roman" w:hAnsi="Times New Roman" w:eastAsia="Times New Roman" w:cs="Times New Roman"/>
                <w:b w:val="0"/>
                <w:bCs w:val="0"/>
                <w:sz w:val="18"/>
                <w:szCs w:val="18"/>
              </w:rPr>
              <w:t>Climate change in microcredit portfolios</w:t>
            </w:r>
          </w:p>
        </w:tc>
        <w:tc>
          <w:tcPr>
            <w:tcW w:w="1200" w:type="dxa"/>
            <w:tcBorders>
              <w:top w:val="nil"/>
              <w:left w:val="nil"/>
              <w:bottom w:val="nil"/>
              <w:right w:val="nil"/>
            </w:tcBorders>
            <w:shd w:val="clear" w:color="auto" w:fill="FFFFFF"/>
            <w:tcMar>
              <w:top w:w="60" w:type="dxa"/>
              <w:left w:w="100" w:type="dxa"/>
              <w:bottom w:w="60" w:type="dxa"/>
              <w:right w:w="100" w:type="dxa"/>
            </w:tcMar>
          </w:tcPr>
          <w:p w14:paraId="3D81B480">
            <w:pPr>
              <w:jc w:val="both"/>
            </w:pPr>
            <w:r>
              <w:rPr>
                <w:rFonts w:ascii="Times New Roman" w:hAnsi="Times New Roman" w:eastAsia="Times New Roman" w:cs="Times New Roman"/>
                <w:b w:val="0"/>
                <w:bCs w:val="0"/>
                <w:sz w:val="18"/>
                <w:szCs w:val="18"/>
              </w:rPr>
              <w:t>Descriptive/survey</w:t>
            </w:r>
          </w:p>
        </w:tc>
        <w:tc>
          <w:tcPr>
            <w:tcW w:w="1200" w:type="dxa"/>
            <w:tcBorders>
              <w:top w:val="nil"/>
              <w:left w:val="nil"/>
              <w:bottom w:val="nil"/>
              <w:right w:val="nil"/>
            </w:tcBorders>
            <w:shd w:val="clear" w:color="auto" w:fill="FFFFFF"/>
            <w:tcMar>
              <w:top w:w="60" w:type="dxa"/>
              <w:left w:w="100" w:type="dxa"/>
              <w:bottom w:w="60" w:type="dxa"/>
              <w:right w:w="100" w:type="dxa"/>
            </w:tcMar>
          </w:tcPr>
          <w:p w14:paraId="404AACB7">
            <w:pPr>
              <w:jc w:val="both"/>
            </w:pPr>
            <w:r>
              <w:rPr>
                <w:rFonts w:ascii="Times New Roman" w:hAnsi="Times New Roman" w:eastAsia="Times New Roman" w:cs="Times New Roman"/>
                <w:b w:val="0"/>
                <w:bCs w:val="0"/>
                <w:sz w:val="18"/>
                <w:szCs w:val="18"/>
              </w:rPr>
              <w:t>Vulnerability index</w:t>
            </w:r>
          </w:p>
        </w:tc>
        <w:tc>
          <w:tcPr>
            <w:tcW w:w="1200" w:type="dxa"/>
            <w:tcBorders>
              <w:top w:val="nil"/>
              <w:left w:val="nil"/>
              <w:bottom w:val="nil"/>
              <w:right w:val="nil"/>
            </w:tcBorders>
            <w:shd w:val="clear" w:color="auto" w:fill="FFFFFF"/>
            <w:tcMar>
              <w:top w:w="60" w:type="dxa"/>
              <w:left w:w="100" w:type="dxa"/>
              <w:bottom w:w="60" w:type="dxa"/>
              <w:right w:w="100" w:type="dxa"/>
            </w:tcMar>
          </w:tcPr>
          <w:p w14:paraId="4EB32F77">
            <w:pPr>
              <w:jc w:val="both"/>
            </w:pPr>
            <w:r>
              <w:rPr>
                <w:rFonts w:ascii="Times New Roman" w:hAnsi="Times New Roman" w:eastAsia="Times New Roman" w:cs="Times New Roman"/>
                <w:b w:val="0"/>
                <w:bCs w:val="0"/>
                <w:sz w:val="18"/>
                <w:szCs w:val="18"/>
              </w:rPr>
              <w:t>Africa/LAC</w:t>
            </w:r>
          </w:p>
        </w:tc>
        <w:tc>
          <w:tcPr>
            <w:tcW w:w="2160" w:type="dxa"/>
            <w:tcBorders>
              <w:top w:val="nil"/>
              <w:left w:val="nil"/>
              <w:bottom w:val="nil"/>
              <w:right w:val="nil"/>
            </w:tcBorders>
            <w:shd w:val="clear" w:color="auto" w:fill="FFFFFF"/>
            <w:tcMar>
              <w:top w:w="60" w:type="dxa"/>
              <w:left w:w="100" w:type="dxa"/>
              <w:bottom w:w="60" w:type="dxa"/>
              <w:right w:w="100" w:type="dxa"/>
            </w:tcMar>
          </w:tcPr>
          <w:p w14:paraId="37885CFF">
            <w:pPr>
              <w:jc w:val="both"/>
            </w:pPr>
            <w:r>
              <w:rPr>
                <w:rFonts w:ascii="Times New Roman" w:hAnsi="Times New Roman" w:eastAsia="Times New Roman" w:cs="Times New Roman"/>
                <w:b w:val="0"/>
                <w:bCs w:val="0"/>
                <w:sz w:val="18"/>
                <w:szCs w:val="18"/>
              </w:rPr>
              <w:t>No causal test; no interaction with institutional quality</w:t>
            </w:r>
          </w:p>
        </w:tc>
      </w:tr>
      <w:tr w14:paraId="01BB2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nil"/>
              <w:left w:val="nil"/>
              <w:bottom w:val="single" w:color="000000" w:sz="8" w:space="0"/>
              <w:right w:val="nil"/>
            </w:tcBorders>
            <w:shd w:val="clear" w:color="auto" w:fill="EDF4FB"/>
            <w:tcMar>
              <w:top w:w="60" w:type="dxa"/>
              <w:left w:w="100" w:type="dxa"/>
              <w:bottom w:w="60" w:type="dxa"/>
              <w:right w:w="100" w:type="dxa"/>
            </w:tcMar>
          </w:tcPr>
          <w:p w14:paraId="47DC0E23">
            <w:pPr>
              <w:jc w:val="both"/>
            </w:pPr>
            <w:r>
              <w:rPr>
                <w:rFonts w:ascii="Times New Roman" w:hAnsi="Times New Roman" w:eastAsia="Times New Roman" w:cs="Times New Roman"/>
                <w:b/>
                <w:bCs/>
                <w:sz w:val="18"/>
                <w:szCs w:val="18"/>
              </w:rPr>
              <w:t>This Paper</w:t>
            </w:r>
          </w:p>
        </w:tc>
        <w:tc>
          <w:tcPr>
            <w:tcW w:w="2200" w:type="dxa"/>
            <w:tcBorders>
              <w:top w:val="nil"/>
              <w:left w:val="nil"/>
              <w:bottom w:val="single" w:color="000000" w:sz="8" w:space="0"/>
              <w:right w:val="nil"/>
            </w:tcBorders>
            <w:shd w:val="clear" w:color="auto" w:fill="EDF4FB"/>
            <w:tcMar>
              <w:top w:w="60" w:type="dxa"/>
              <w:left w:w="100" w:type="dxa"/>
              <w:bottom w:w="60" w:type="dxa"/>
              <w:right w:w="100" w:type="dxa"/>
            </w:tcMar>
          </w:tcPr>
          <w:p w14:paraId="31F00FFC">
            <w:pPr>
              <w:jc w:val="both"/>
            </w:pPr>
            <w:r>
              <w:rPr>
                <w:rFonts w:ascii="Times New Roman" w:hAnsi="Times New Roman" w:eastAsia="Times New Roman" w:cs="Times New Roman"/>
                <w:b/>
                <w:bCs/>
                <w:sz w:val="18"/>
                <w:szCs w:val="18"/>
              </w:rPr>
              <w:t>Climate stress → MFI provisioning; moderated by governance &amp; ag exposure</w:t>
            </w:r>
          </w:p>
        </w:tc>
        <w:tc>
          <w:tcPr>
            <w:tcW w:w="1200" w:type="dxa"/>
            <w:tcBorders>
              <w:top w:val="nil"/>
              <w:left w:val="nil"/>
              <w:bottom w:val="single" w:color="000000" w:sz="8" w:space="0"/>
              <w:right w:val="nil"/>
            </w:tcBorders>
            <w:shd w:val="clear" w:color="auto" w:fill="EDF4FB"/>
            <w:tcMar>
              <w:top w:w="60" w:type="dxa"/>
              <w:left w:w="100" w:type="dxa"/>
              <w:bottom w:w="60" w:type="dxa"/>
              <w:right w:w="100" w:type="dxa"/>
            </w:tcMar>
          </w:tcPr>
          <w:p w14:paraId="68B6E816">
            <w:pPr>
              <w:jc w:val="both"/>
            </w:pPr>
            <w:r>
              <w:rPr>
                <w:rFonts w:ascii="Times New Roman" w:hAnsi="Times New Roman" w:eastAsia="Times New Roman" w:cs="Times New Roman"/>
                <w:b/>
                <w:bCs/>
                <w:sz w:val="18"/>
                <w:szCs w:val="18"/>
              </w:rPr>
              <w:t>OLS with FE + Fama-MacBeth</w:t>
            </w:r>
          </w:p>
        </w:tc>
        <w:tc>
          <w:tcPr>
            <w:tcW w:w="1200" w:type="dxa"/>
            <w:tcBorders>
              <w:top w:val="nil"/>
              <w:left w:val="nil"/>
              <w:bottom w:val="single" w:color="000000" w:sz="8" w:space="0"/>
              <w:right w:val="nil"/>
            </w:tcBorders>
            <w:shd w:val="clear" w:color="auto" w:fill="EDF4FB"/>
            <w:tcMar>
              <w:top w:w="60" w:type="dxa"/>
              <w:left w:w="100" w:type="dxa"/>
              <w:bottom w:w="60" w:type="dxa"/>
              <w:right w:w="100" w:type="dxa"/>
            </w:tcMar>
          </w:tcPr>
          <w:p w14:paraId="1592F676">
            <w:pPr>
              <w:jc w:val="both"/>
            </w:pPr>
            <w:r>
              <w:rPr>
                <w:rFonts w:ascii="Times New Roman" w:hAnsi="Times New Roman" w:eastAsia="Times New Roman" w:cs="Times New Roman"/>
                <w:b/>
                <w:bCs/>
                <w:sz w:val="18"/>
                <w:szCs w:val="18"/>
              </w:rPr>
              <w:t>Provisions/NPL Ratio (%)</w:t>
            </w:r>
          </w:p>
        </w:tc>
        <w:tc>
          <w:tcPr>
            <w:tcW w:w="1200" w:type="dxa"/>
            <w:tcBorders>
              <w:top w:val="nil"/>
              <w:left w:val="nil"/>
              <w:bottom w:val="single" w:color="000000" w:sz="8" w:space="0"/>
              <w:right w:val="nil"/>
            </w:tcBorders>
            <w:shd w:val="clear" w:color="auto" w:fill="EDF4FB"/>
            <w:tcMar>
              <w:top w:w="60" w:type="dxa"/>
              <w:left w:w="100" w:type="dxa"/>
              <w:bottom w:w="60" w:type="dxa"/>
              <w:right w:w="100" w:type="dxa"/>
            </w:tcMar>
          </w:tcPr>
          <w:p w14:paraId="15708D48">
            <w:pPr>
              <w:jc w:val="both"/>
            </w:pPr>
            <w:r>
              <w:rPr>
                <w:rFonts w:ascii="Times New Roman" w:hAnsi="Times New Roman" w:eastAsia="Times New Roman" w:cs="Times New Roman"/>
                <w:b/>
                <w:bCs/>
                <w:sz w:val="18"/>
                <w:szCs w:val="18"/>
              </w:rPr>
              <w:t>1,771 MFI-years; 205 MFIs; 43 countries; 2010–2018</w:t>
            </w:r>
          </w:p>
        </w:tc>
        <w:tc>
          <w:tcPr>
            <w:tcW w:w="2160" w:type="dxa"/>
            <w:tcBorders>
              <w:top w:val="nil"/>
              <w:left w:val="nil"/>
              <w:bottom w:val="single" w:color="000000" w:sz="8" w:space="0"/>
              <w:right w:val="nil"/>
            </w:tcBorders>
            <w:shd w:val="clear" w:color="auto" w:fill="EDF4FB"/>
            <w:tcMar>
              <w:top w:w="60" w:type="dxa"/>
              <w:left w:w="100" w:type="dxa"/>
              <w:bottom w:w="60" w:type="dxa"/>
              <w:right w:w="100" w:type="dxa"/>
            </w:tcMar>
          </w:tcPr>
          <w:p w14:paraId="63A7F6FB">
            <w:pPr>
              <w:jc w:val="both"/>
            </w:pPr>
            <w:r>
              <w:rPr>
                <w:rFonts w:ascii="Times New Roman" w:hAnsi="Times New Roman" w:eastAsia="Times New Roman" w:cs="Times New Roman"/>
                <w:b/>
                <w:bCs/>
                <w:sz w:val="18"/>
                <w:szCs w:val="18"/>
              </w:rPr>
              <w:t>First multi-country panel with governance buffer test and agricultural exposure channel; real WGI data</w:t>
            </w:r>
          </w:p>
        </w:tc>
      </w:tr>
    </w:tbl>
    <w:p w14:paraId="06E4D100">
      <w:pPr>
        <w:spacing w:before="60" w:after="100"/>
        <w:jc w:val="both"/>
      </w:pPr>
      <w:r>
        <w:rPr>
          <w:rFonts w:ascii="Times New Roman" w:hAnsi="Times New Roman" w:eastAsia="Times New Roman" w:cs="Times New Roman"/>
          <w:b/>
          <w:bCs/>
          <w:i/>
          <w:iCs/>
          <w:sz w:val="24"/>
          <w:szCs w:val="24"/>
        </w:rPr>
        <w:t xml:space="preserve">Notes: </w:t>
      </w:r>
      <w:r>
        <w:rPr>
          <w:rFonts w:ascii="Times New Roman" w:hAnsi="Times New Roman" w:eastAsia="Times New Roman" w:cs="Times New Roman"/>
          <w:i/>
          <w:iCs/>
          <w:sz w:val="24"/>
          <w:szCs w:val="24"/>
        </w:rPr>
        <w:t>This table positions the paper's empirical contributions against the five most closely related studies. ID = identification strategy. OLS+FE = pooled OLS with fixed effects. PCA = principal components analysis. WGI = World Governance Indicators. The final row describes the present paper.</w:t>
      </w:r>
    </w:p>
    <w:p w14:paraId="5AC39C0E">
      <w:pPr>
        <w:jc w:val="both"/>
      </w:pPr>
      <w:r>
        <w:br w:type="page"/>
      </w:r>
    </w:p>
    <w:p w14:paraId="7E5A920F">
      <w:pPr>
        <w:pStyle w:val="2"/>
        <w:spacing w:before="400" w:after="200"/>
        <w:jc w:val="both"/>
      </w:pPr>
      <w:r>
        <w:rPr>
          <w:rFonts w:ascii="Times New Roman" w:hAnsi="Times New Roman" w:eastAsia="Times New Roman" w:cs="Times New Roman"/>
          <w:b/>
          <w:bCs/>
          <w:caps/>
          <w:sz w:val="28"/>
          <w:szCs w:val="28"/>
        </w:rPr>
        <w:t>References</w:t>
      </w:r>
    </w:p>
    <w:p w14:paraId="374A0A26">
      <w:pPr>
        <w:spacing w:after="180" w:line="360" w:lineRule="auto"/>
        <w:jc w:val="both"/>
      </w:pPr>
      <w:r>
        <w:rPr>
          <w:rFonts w:ascii="Times New Roman" w:hAnsi="Times New Roman" w:eastAsia="Times New Roman" w:cs="Times New Roman"/>
          <w:b/>
          <w:bCs/>
          <w:sz w:val="24"/>
          <w:szCs w:val="24"/>
        </w:rPr>
        <w:t>Ahmed, I., et al. (2022).</w:t>
      </w:r>
      <w:r>
        <w:rPr>
          <w:rFonts w:ascii="Times New Roman" w:hAnsi="Times New Roman" w:eastAsia="Times New Roman" w:cs="Times New Roman"/>
          <w:sz w:val="24"/>
          <w:szCs w:val="24"/>
        </w:rPr>
        <w:t xml:space="preserve"> "The Impact of Climate Change on Microfinance Lending Practices." SSRN Working Paper. DOI: 10.2139/ssrn.5337856.</w:t>
      </w:r>
    </w:p>
    <w:p w14:paraId="68A447A4">
      <w:pPr>
        <w:spacing w:after="180" w:line="360" w:lineRule="auto"/>
        <w:jc w:val="both"/>
      </w:pPr>
      <w:r>
        <w:rPr>
          <w:rFonts w:ascii="Times New Roman" w:hAnsi="Times New Roman" w:eastAsia="Times New Roman" w:cs="Times New Roman"/>
          <w:b/>
          <w:bCs/>
          <w:sz w:val="24"/>
          <w:szCs w:val="24"/>
        </w:rPr>
        <w:t>Ahmed, I., et al. (2024).</w:t>
      </w:r>
      <w:r>
        <w:rPr>
          <w:rFonts w:ascii="Times New Roman" w:hAnsi="Times New Roman" w:eastAsia="Times New Roman" w:cs="Times New Roman"/>
          <w:sz w:val="24"/>
          <w:szCs w:val="24"/>
        </w:rPr>
        <w:t xml:space="preserve"> "Performance and Climate Risk in Microfinance Institutions." SSRN Working Paper. DOI: 10.2139/ssrn.4967514.</w:t>
      </w:r>
    </w:p>
    <w:p w14:paraId="4D3DCD85">
      <w:pPr>
        <w:spacing w:after="180" w:line="360" w:lineRule="auto"/>
        <w:jc w:val="both"/>
      </w:pPr>
      <w:r>
        <w:rPr>
          <w:rFonts w:ascii="Times New Roman" w:hAnsi="Times New Roman" w:eastAsia="Times New Roman" w:cs="Times New Roman"/>
          <w:b/>
          <w:bCs/>
          <w:sz w:val="24"/>
          <w:szCs w:val="24"/>
        </w:rPr>
        <w:t>Bose, S., et al. (2025).</w:t>
      </w:r>
      <w:r>
        <w:rPr>
          <w:rFonts w:ascii="Times New Roman" w:hAnsi="Times New Roman" w:eastAsia="Times New Roman" w:cs="Times New Roman"/>
          <w:sz w:val="24"/>
          <w:szCs w:val="24"/>
        </w:rPr>
        <w:t xml:space="preserve"> "Navigating Climate Risk: Opportunities and Challenges for Microfinance Institutions." SSRN. DOI: 10.2139/ssrn.4809956.</w:t>
      </w:r>
    </w:p>
    <w:p w14:paraId="33C5F8CC">
      <w:pPr>
        <w:spacing w:after="180" w:line="360" w:lineRule="auto"/>
        <w:jc w:val="both"/>
      </w:pPr>
      <w:r>
        <w:rPr>
          <w:rFonts w:ascii="Times New Roman" w:hAnsi="Times New Roman" w:eastAsia="Times New Roman" w:cs="Times New Roman"/>
          <w:b/>
          <w:bCs/>
          <w:sz w:val="24"/>
          <w:szCs w:val="24"/>
        </w:rPr>
        <w:t>CGAP. (2009).</w:t>
      </w:r>
      <w:r>
        <w:rPr>
          <w:rFonts w:ascii="Times New Roman" w:hAnsi="Times New Roman" w:eastAsia="Times New Roman" w:cs="Times New Roman"/>
          <w:sz w:val="24"/>
          <w:szCs w:val="24"/>
        </w:rPr>
        <w:t xml:space="preserve"> "Microfinance and Climate Change: Threats and Opportunities." Focus Note. World Bank Group.</w:t>
      </w:r>
    </w:p>
    <w:p w14:paraId="4AC7FFB9">
      <w:pPr>
        <w:spacing w:after="180" w:line="360" w:lineRule="auto"/>
        <w:jc w:val="both"/>
      </w:pPr>
      <w:r>
        <w:rPr>
          <w:rFonts w:ascii="Times New Roman" w:hAnsi="Times New Roman" w:eastAsia="Times New Roman" w:cs="Times New Roman"/>
          <w:b/>
          <w:bCs/>
          <w:sz w:val="24"/>
          <w:szCs w:val="24"/>
        </w:rPr>
        <w:t>CIF. (2018).</w:t>
      </w:r>
      <w:r>
        <w:rPr>
          <w:rFonts w:ascii="Times New Roman" w:hAnsi="Times New Roman" w:eastAsia="Times New Roman" w:cs="Times New Roman"/>
          <w:sz w:val="24"/>
          <w:szCs w:val="24"/>
        </w:rPr>
        <w:t xml:space="preserve"> "Microfinance for Climate Adaptation." Climate Investment Funds.</w:t>
      </w:r>
    </w:p>
    <w:p w14:paraId="423C2811">
      <w:pPr>
        <w:spacing w:after="180" w:line="360" w:lineRule="auto"/>
        <w:jc w:val="both"/>
      </w:pPr>
      <w:r>
        <w:rPr>
          <w:rFonts w:ascii="Times New Roman" w:hAnsi="Times New Roman" w:eastAsia="Times New Roman" w:cs="Times New Roman"/>
          <w:b/>
          <w:bCs/>
          <w:sz w:val="24"/>
          <w:szCs w:val="24"/>
        </w:rPr>
        <w:t>CPI. (2026).</w:t>
      </w:r>
      <w:r>
        <w:rPr>
          <w:rFonts w:ascii="Times New Roman" w:hAnsi="Times New Roman" w:eastAsia="Times New Roman" w:cs="Times New Roman"/>
          <w:sz w:val="24"/>
          <w:szCs w:val="24"/>
        </w:rPr>
        <w:t xml:space="preserve"> "Microfinance for Climate Action." Climate Policy Initiative.</w:t>
      </w:r>
    </w:p>
    <w:p w14:paraId="70C7E7BE">
      <w:pPr>
        <w:spacing w:after="180" w:line="360" w:lineRule="auto"/>
        <w:jc w:val="both"/>
      </w:pPr>
      <w:r>
        <w:rPr>
          <w:rFonts w:ascii="Times New Roman" w:hAnsi="Times New Roman" w:eastAsia="Times New Roman" w:cs="Times New Roman"/>
          <w:b/>
          <w:bCs/>
          <w:sz w:val="24"/>
          <w:szCs w:val="24"/>
        </w:rPr>
        <w:t>Dowla, A. (2006).</w:t>
      </w:r>
      <w:r>
        <w:rPr>
          <w:rFonts w:ascii="Times New Roman" w:hAnsi="Times New Roman" w:eastAsia="Times New Roman" w:cs="Times New Roman"/>
          <w:sz w:val="24"/>
          <w:szCs w:val="24"/>
        </w:rPr>
        <w:t xml:space="preserve"> "Climate Change and Microfinance." Grameen Foundation Working Paper.</w:t>
      </w:r>
    </w:p>
    <w:p w14:paraId="45180B37">
      <w:pPr>
        <w:spacing w:after="180" w:line="360" w:lineRule="auto"/>
        <w:jc w:val="both"/>
      </w:pPr>
      <w:r>
        <w:rPr>
          <w:rFonts w:ascii="Times New Roman" w:hAnsi="Times New Roman" w:eastAsia="Times New Roman" w:cs="Times New Roman"/>
          <w:b/>
          <w:bCs/>
          <w:sz w:val="24"/>
          <w:szCs w:val="24"/>
        </w:rPr>
        <w:t>Emerald Insight. (2015).</w:t>
      </w:r>
      <w:r>
        <w:rPr>
          <w:rFonts w:ascii="Times New Roman" w:hAnsi="Times New Roman" w:eastAsia="Times New Roman" w:cs="Times New Roman"/>
          <w:sz w:val="24"/>
          <w:szCs w:val="24"/>
        </w:rPr>
        <w:t xml:space="preserve"> "Does Weather Matter? How Rainfall Shocks Affect Credit Risk." DOI: 10.1108/AFR-09-2014-0028.</w:t>
      </w:r>
    </w:p>
    <w:p w14:paraId="14BB1F89">
      <w:pPr>
        <w:spacing w:after="180" w:line="360" w:lineRule="auto"/>
        <w:jc w:val="both"/>
      </w:pPr>
      <w:r>
        <w:rPr>
          <w:rFonts w:ascii="Times New Roman" w:hAnsi="Times New Roman" w:eastAsia="Times New Roman" w:cs="Times New Roman"/>
          <w:b/>
          <w:bCs/>
          <w:sz w:val="24"/>
          <w:szCs w:val="24"/>
        </w:rPr>
        <w:t>Fenton, A. (2017).</w:t>
      </w:r>
      <w:r>
        <w:rPr>
          <w:rFonts w:ascii="Times New Roman" w:hAnsi="Times New Roman" w:eastAsia="Times New Roman" w:cs="Times New Roman"/>
          <w:sz w:val="24"/>
          <w:szCs w:val="24"/>
        </w:rPr>
        <w:t xml:space="preserve"> "Microfinance and Climate Change Adaptation." PhD Thesis, University of Leeds.</w:t>
      </w:r>
    </w:p>
    <w:p w14:paraId="3D8A12E9">
      <w:pPr>
        <w:spacing w:after="180" w:line="360" w:lineRule="auto"/>
        <w:jc w:val="both"/>
      </w:pPr>
      <w:r>
        <w:rPr>
          <w:rFonts w:ascii="Times New Roman" w:hAnsi="Times New Roman" w:eastAsia="Times New Roman" w:cs="Times New Roman"/>
          <w:b/>
          <w:bCs/>
          <w:sz w:val="24"/>
          <w:szCs w:val="24"/>
        </w:rPr>
        <w:t>Fenton, A., Paavola, J., &amp; Tallontire, A. (2017).</w:t>
      </w:r>
      <w:r>
        <w:rPr>
          <w:rFonts w:ascii="Times New Roman" w:hAnsi="Times New Roman" w:eastAsia="Times New Roman" w:cs="Times New Roman"/>
          <w:sz w:val="24"/>
          <w:szCs w:val="24"/>
        </w:rPr>
        <w:t xml:space="preserve"> "Vulnerability of Microfinance Institutions to Climate Risk in the Satkhira District, Southwest Bangladesh." </w:t>
      </w:r>
      <w:r>
        <w:rPr>
          <w:rFonts w:ascii="Times New Roman" w:hAnsi="Times New Roman" w:eastAsia="Times New Roman" w:cs="Times New Roman"/>
          <w:i/>
          <w:iCs/>
          <w:sz w:val="24"/>
          <w:szCs w:val="24"/>
        </w:rPr>
        <w:t>Climate and Development</w:t>
      </w:r>
      <w:r>
        <w:rPr>
          <w:rFonts w:ascii="Times New Roman" w:hAnsi="Times New Roman" w:eastAsia="Times New Roman" w:cs="Times New Roman"/>
          <w:sz w:val="24"/>
          <w:szCs w:val="24"/>
        </w:rPr>
        <w:t>, 9(5), 403–413. DOI: 10.1080/17565529.2016.1194424.</w:t>
      </w:r>
    </w:p>
    <w:p w14:paraId="7E9243EA">
      <w:pPr>
        <w:spacing w:after="180" w:line="360" w:lineRule="auto"/>
        <w:jc w:val="both"/>
      </w:pPr>
      <w:r>
        <w:rPr>
          <w:rFonts w:ascii="Times New Roman" w:hAnsi="Times New Roman" w:eastAsia="Times New Roman" w:cs="Times New Roman"/>
          <w:b/>
          <w:bCs/>
          <w:sz w:val="24"/>
          <w:szCs w:val="24"/>
        </w:rPr>
        <w:t>Forcella, D., &amp; Uckermann, S. (2015).</w:t>
      </w:r>
      <w:r>
        <w:rPr>
          <w:rFonts w:ascii="Times New Roman" w:hAnsi="Times New Roman" w:eastAsia="Times New Roman" w:cs="Times New Roman"/>
          <w:sz w:val="24"/>
          <w:szCs w:val="24"/>
        </w:rPr>
        <w:t xml:space="preserve"> "Climate Change in Microcredit Portfolios: Evidence on Vulnerability, Adaptation and Implications for Inclusive Finance." </w:t>
      </w:r>
      <w:r>
        <w:rPr>
          <w:rFonts w:ascii="Times New Roman" w:hAnsi="Times New Roman" w:eastAsia="Times New Roman" w:cs="Times New Roman"/>
          <w:i/>
          <w:iCs/>
          <w:sz w:val="24"/>
          <w:szCs w:val="24"/>
        </w:rPr>
        <w:t>Business Strategy and the Environment</w:t>
      </w:r>
      <w:r>
        <w:rPr>
          <w:rFonts w:ascii="Times New Roman" w:hAnsi="Times New Roman" w:eastAsia="Times New Roman" w:cs="Times New Roman"/>
          <w:sz w:val="24"/>
          <w:szCs w:val="24"/>
        </w:rPr>
        <w:t>. DOI: 10.1002/bse.4178.</w:t>
      </w:r>
    </w:p>
    <w:p w14:paraId="4CAF7222">
      <w:pPr>
        <w:spacing w:after="180" w:line="360" w:lineRule="auto"/>
        <w:jc w:val="both"/>
      </w:pPr>
      <w:r>
        <w:rPr>
          <w:rFonts w:ascii="Times New Roman" w:hAnsi="Times New Roman" w:eastAsia="Times New Roman" w:cs="Times New Roman"/>
          <w:b/>
          <w:bCs/>
          <w:sz w:val="24"/>
          <w:szCs w:val="24"/>
        </w:rPr>
        <w:t>Giné, X., Townsend, R., &amp; Vickery, J. (2008).</w:t>
      </w:r>
      <w:r>
        <w:rPr>
          <w:rFonts w:ascii="Times New Roman" w:hAnsi="Times New Roman" w:eastAsia="Times New Roman" w:cs="Times New Roman"/>
          <w:sz w:val="24"/>
          <w:szCs w:val="24"/>
        </w:rPr>
        <w:t xml:space="preserve"> "Patterns of Rainfall Insurance Participation in Rural India." </w:t>
      </w:r>
      <w:r>
        <w:rPr>
          <w:rFonts w:ascii="Times New Roman" w:hAnsi="Times New Roman" w:eastAsia="Times New Roman" w:cs="Times New Roman"/>
          <w:i/>
          <w:iCs/>
          <w:sz w:val="24"/>
          <w:szCs w:val="24"/>
        </w:rPr>
        <w:t>World Bank Economic Review</w:t>
      </w:r>
      <w:r>
        <w:rPr>
          <w:rFonts w:ascii="Times New Roman" w:hAnsi="Times New Roman" w:eastAsia="Times New Roman" w:cs="Times New Roman"/>
          <w:sz w:val="24"/>
          <w:szCs w:val="24"/>
        </w:rPr>
        <w:t>, 22(3), 539–566. DOI: 10.1093/wber/lhn010.</w:t>
      </w:r>
    </w:p>
    <w:p w14:paraId="1F783C56">
      <w:pPr>
        <w:spacing w:after="180" w:line="360" w:lineRule="auto"/>
        <w:jc w:val="both"/>
      </w:pPr>
      <w:r>
        <w:rPr>
          <w:rFonts w:ascii="Times New Roman" w:hAnsi="Times New Roman" w:eastAsia="Times New Roman" w:cs="Times New Roman"/>
          <w:b/>
          <w:bCs/>
          <w:sz w:val="24"/>
          <w:szCs w:val="24"/>
        </w:rPr>
        <w:t>Grameen Foundation. (2022).</w:t>
      </w:r>
      <w:r>
        <w:rPr>
          <w:rFonts w:ascii="Times New Roman" w:hAnsi="Times New Roman" w:eastAsia="Times New Roman" w:cs="Times New Roman"/>
          <w:sz w:val="24"/>
          <w:szCs w:val="24"/>
        </w:rPr>
        <w:t xml:space="preserve"> "Climate Change Risk in Microfinance." Grameen Foundation Report.</w:t>
      </w:r>
    </w:p>
    <w:p w14:paraId="2C77841D">
      <w:pPr>
        <w:spacing w:after="180" w:line="360" w:lineRule="auto"/>
        <w:jc w:val="both"/>
      </w:pPr>
      <w:r>
        <w:rPr>
          <w:rFonts w:ascii="Times New Roman" w:hAnsi="Times New Roman" w:eastAsia="Times New Roman" w:cs="Times New Roman"/>
          <w:b/>
          <w:bCs/>
          <w:sz w:val="24"/>
          <w:szCs w:val="24"/>
        </w:rPr>
        <w:t>Hansen, L. P. (1982).</w:t>
      </w:r>
      <w:r>
        <w:rPr>
          <w:rFonts w:ascii="Times New Roman" w:hAnsi="Times New Roman" w:eastAsia="Times New Roman" w:cs="Times New Roman"/>
          <w:sz w:val="24"/>
          <w:szCs w:val="24"/>
        </w:rPr>
        <w:t xml:space="preserve"> "Large Sample Properties of Generalized Method of Moments Estimators." </w:t>
      </w:r>
      <w:r>
        <w:rPr>
          <w:rFonts w:ascii="Times New Roman" w:hAnsi="Times New Roman" w:eastAsia="Times New Roman" w:cs="Times New Roman"/>
          <w:i/>
          <w:iCs/>
          <w:sz w:val="24"/>
          <w:szCs w:val="24"/>
        </w:rPr>
        <w:t>Econometrica</w:t>
      </w:r>
      <w:r>
        <w:rPr>
          <w:rFonts w:ascii="Times New Roman" w:hAnsi="Times New Roman" w:eastAsia="Times New Roman" w:cs="Times New Roman"/>
          <w:sz w:val="24"/>
          <w:szCs w:val="24"/>
        </w:rPr>
        <w:t>, 50(4), 1029–1054. DOI: 10.2307/1912775.</w:t>
      </w:r>
    </w:p>
    <w:p w14:paraId="2A4E0985">
      <w:pPr>
        <w:spacing w:after="180" w:line="360" w:lineRule="auto"/>
        <w:jc w:val="both"/>
      </w:pPr>
      <w:r>
        <w:rPr>
          <w:rFonts w:ascii="Times New Roman" w:hAnsi="Times New Roman" w:eastAsia="Times New Roman" w:cs="Times New Roman"/>
          <w:b/>
          <w:bCs/>
          <w:sz w:val="24"/>
          <w:szCs w:val="24"/>
        </w:rPr>
        <w:t>Hossain, M. S., et al. (2024).</w:t>
      </w:r>
      <w:r>
        <w:rPr>
          <w:rFonts w:ascii="Times New Roman" w:hAnsi="Times New Roman" w:eastAsia="Times New Roman" w:cs="Times New Roman"/>
          <w:sz w:val="24"/>
          <w:szCs w:val="24"/>
        </w:rPr>
        <w:t xml:space="preserve"> "Expand or Avoid: Microfinance Credit Risk and Climate Vulnerability." </w:t>
      </w:r>
      <w:r>
        <w:rPr>
          <w:rFonts w:ascii="Times New Roman" w:hAnsi="Times New Roman" w:eastAsia="Times New Roman" w:cs="Times New Roman"/>
          <w:i/>
          <w:iCs/>
          <w:sz w:val="24"/>
          <w:szCs w:val="24"/>
        </w:rPr>
        <w:t>Research in International Business and Finance</w:t>
      </w:r>
      <w:r>
        <w:rPr>
          <w:rFonts w:ascii="Times New Roman" w:hAnsi="Times New Roman" w:eastAsia="Times New Roman" w:cs="Times New Roman"/>
          <w:sz w:val="24"/>
          <w:szCs w:val="24"/>
        </w:rPr>
        <w:t>, 69, 102245. DOI: 10.1016/j.ribaf.2024.102245.</w:t>
      </w:r>
    </w:p>
    <w:p w14:paraId="6540329B">
      <w:pPr>
        <w:spacing w:after="180" w:line="360" w:lineRule="auto"/>
        <w:jc w:val="both"/>
      </w:pPr>
      <w:r>
        <w:rPr>
          <w:rFonts w:ascii="Times New Roman" w:hAnsi="Times New Roman" w:eastAsia="Times New Roman" w:cs="Times New Roman"/>
          <w:b/>
          <w:bCs/>
          <w:sz w:val="24"/>
          <w:szCs w:val="24"/>
        </w:rPr>
        <w:t>IISD. (2009).</w:t>
      </w:r>
      <w:r>
        <w:rPr>
          <w:rFonts w:ascii="Times New Roman" w:hAnsi="Times New Roman" w:eastAsia="Times New Roman" w:cs="Times New Roman"/>
          <w:sz w:val="24"/>
          <w:szCs w:val="24"/>
        </w:rPr>
        <w:t xml:space="preserve"> "Microfinance and Climate Change Adaptation." International Institute for Sustainable Development.</w:t>
      </w:r>
    </w:p>
    <w:p w14:paraId="1B81647A">
      <w:pPr>
        <w:spacing w:after="180" w:line="360" w:lineRule="auto"/>
        <w:jc w:val="both"/>
      </w:pPr>
      <w:r>
        <w:rPr>
          <w:rFonts w:ascii="Times New Roman" w:hAnsi="Times New Roman" w:eastAsia="Times New Roman" w:cs="Times New Roman"/>
          <w:b/>
          <w:bCs/>
          <w:sz w:val="24"/>
          <w:szCs w:val="24"/>
        </w:rPr>
        <w:t>IPCC. (2007).</w:t>
      </w:r>
      <w:r>
        <w:rPr>
          <w:rFonts w:ascii="Times New Roman" w:hAnsi="Times New Roman" w:eastAsia="Times New Roman" w:cs="Times New Roman"/>
          <w:sz w:val="24"/>
          <w:szCs w:val="24"/>
        </w:rPr>
        <w:t xml:space="preserve"> "Climate Change 2007: Impacts, Adaptation and Vulnerability." Cambridge University Press.</w:t>
      </w:r>
    </w:p>
    <w:p w14:paraId="14914EF3">
      <w:pPr>
        <w:spacing w:after="180" w:line="360" w:lineRule="auto"/>
        <w:jc w:val="both"/>
      </w:pPr>
      <w:r>
        <w:rPr>
          <w:rFonts w:ascii="Times New Roman" w:hAnsi="Times New Roman" w:eastAsia="Times New Roman" w:cs="Times New Roman"/>
          <w:b/>
          <w:bCs/>
          <w:sz w:val="24"/>
          <w:szCs w:val="24"/>
        </w:rPr>
        <w:t>Kaufmann, D., Kraay, A., &amp; Mastruzzi, M. (2010).</w:t>
      </w:r>
      <w:r>
        <w:rPr>
          <w:rFonts w:ascii="Times New Roman" w:hAnsi="Times New Roman" w:eastAsia="Times New Roman" w:cs="Times New Roman"/>
          <w:sz w:val="24"/>
          <w:szCs w:val="24"/>
        </w:rPr>
        <w:t xml:space="preserve"> "The Worldwide Governance Indicators: Methodology and Analytical Issues." World Bank Policy Research Working Paper No. 5430. DOI: 10.1596/1813-9450-5430.</w:t>
      </w:r>
    </w:p>
    <w:p w14:paraId="6BA50B64">
      <w:pPr>
        <w:spacing w:after="180" w:line="360" w:lineRule="auto"/>
        <w:jc w:val="both"/>
      </w:pPr>
      <w:r>
        <w:rPr>
          <w:rFonts w:ascii="Times New Roman" w:hAnsi="Times New Roman" w:eastAsia="Times New Roman" w:cs="Times New Roman"/>
          <w:b/>
          <w:bCs/>
          <w:sz w:val="24"/>
          <w:szCs w:val="24"/>
        </w:rPr>
        <w:t>M-CRIL. (2022).</w:t>
      </w:r>
      <w:r>
        <w:rPr>
          <w:rFonts w:ascii="Times New Roman" w:hAnsi="Times New Roman" w:eastAsia="Times New Roman" w:cs="Times New Roman"/>
          <w:sz w:val="24"/>
          <w:szCs w:val="24"/>
        </w:rPr>
        <w:t xml:space="preserve"> "Climate Change Risk in Microfinance." M-CRIL Rating Agency Report.</w:t>
      </w:r>
    </w:p>
    <w:p w14:paraId="069FBC92">
      <w:pPr>
        <w:spacing w:after="180" w:line="360" w:lineRule="auto"/>
        <w:jc w:val="both"/>
      </w:pPr>
      <w:r>
        <w:rPr>
          <w:rFonts w:ascii="Times New Roman" w:hAnsi="Times New Roman" w:eastAsia="Times New Roman" w:cs="Times New Roman"/>
          <w:b/>
          <w:bCs/>
          <w:sz w:val="24"/>
          <w:szCs w:val="24"/>
        </w:rPr>
        <w:t>Nyareza, S., &amp; Rufo, L. (2018).</w:t>
      </w:r>
      <w:r>
        <w:rPr>
          <w:rFonts w:ascii="Times New Roman" w:hAnsi="Times New Roman" w:eastAsia="Times New Roman" w:cs="Times New Roman"/>
          <w:sz w:val="24"/>
          <w:szCs w:val="24"/>
        </w:rPr>
        <w:t xml:space="preserve"> "Small Loans, Big Impact: Microfinance and Climate Resilience." Climate Investment Funds.</w:t>
      </w:r>
    </w:p>
    <w:p w14:paraId="19FC3E48">
      <w:pPr>
        <w:spacing w:after="180" w:line="360" w:lineRule="auto"/>
        <w:jc w:val="both"/>
      </w:pPr>
      <w:r>
        <w:rPr>
          <w:rFonts w:ascii="Times New Roman" w:hAnsi="Times New Roman" w:eastAsia="Times New Roman" w:cs="Times New Roman"/>
          <w:b/>
          <w:bCs/>
          <w:sz w:val="24"/>
          <w:szCs w:val="24"/>
        </w:rPr>
        <w:t>Otago University. (2023).</w:t>
      </w:r>
      <w:r>
        <w:rPr>
          <w:rFonts w:ascii="Times New Roman" w:hAnsi="Times New Roman" w:eastAsia="Times New Roman" w:cs="Times New Roman"/>
          <w:sz w:val="24"/>
          <w:szCs w:val="24"/>
        </w:rPr>
        <w:t xml:space="preserve"> "Essays on Climate-Related Financial Risks." PhD Thesis, University of Otago.</w:t>
      </w:r>
    </w:p>
    <w:p w14:paraId="382B51CE">
      <w:pPr>
        <w:spacing w:after="180" w:line="360" w:lineRule="auto"/>
        <w:jc w:val="both"/>
      </w:pPr>
      <w:r>
        <w:rPr>
          <w:rFonts w:ascii="Times New Roman" w:hAnsi="Times New Roman" w:eastAsia="Times New Roman" w:cs="Times New Roman"/>
          <w:b/>
          <w:bCs/>
          <w:sz w:val="24"/>
          <w:szCs w:val="24"/>
        </w:rPr>
        <w:t>Pantoja, E. (2002).</w:t>
      </w:r>
      <w:r>
        <w:rPr>
          <w:rFonts w:ascii="Times New Roman" w:hAnsi="Times New Roman" w:eastAsia="Times New Roman" w:cs="Times New Roman"/>
          <w:sz w:val="24"/>
          <w:szCs w:val="24"/>
        </w:rPr>
        <w:t xml:space="preserve"> "Microfinance and Disaster Risk Management: Experiences and Challenges." World Bank Proaction Series.</w:t>
      </w:r>
    </w:p>
    <w:p w14:paraId="79C62556">
      <w:pPr>
        <w:spacing w:after="180" w:line="360" w:lineRule="auto"/>
        <w:jc w:val="both"/>
      </w:pPr>
      <w:r>
        <w:rPr>
          <w:rFonts w:ascii="Times New Roman" w:hAnsi="Times New Roman" w:eastAsia="Times New Roman" w:cs="Times New Roman"/>
          <w:b/>
          <w:bCs/>
          <w:sz w:val="24"/>
          <w:szCs w:val="24"/>
        </w:rPr>
        <w:t>Pelka, E. (2015).</w:t>
      </w:r>
      <w:r>
        <w:rPr>
          <w:rFonts w:ascii="Times New Roman" w:hAnsi="Times New Roman" w:eastAsia="Times New Roman" w:cs="Times New Roman"/>
          <w:sz w:val="24"/>
          <w:szCs w:val="24"/>
        </w:rPr>
        <w:t xml:space="preserve"> "Does Weather Matter? How Rainfall Affects Credit Risk in Microfinance." </w:t>
      </w:r>
      <w:r>
        <w:rPr>
          <w:rFonts w:ascii="Times New Roman" w:hAnsi="Times New Roman" w:eastAsia="Times New Roman" w:cs="Times New Roman"/>
          <w:i/>
          <w:iCs/>
          <w:sz w:val="24"/>
          <w:szCs w:val="24"/>
        </w:rPr>
        <w:t>Agricultural Finance Review</w:t>
      </w:r>
      <w:r>
        <w:rPr>
          <w:rFonts w:ascii="Times New Roman" w:hAnsi="Times New Roman" w:eastAsia="Times New Roman" w:cs="Times New Roman"/>
          <w:sz w:val="24"/>
          <w:szCs w:val="24"/>
        </w:rPr>
        <w:t>, 75(2), 194–212. DOI: 10.1108/AFR-09-2014-0028.</w:t>
      </w:r>
    </w:p>
    <w:p w14:paraId="0F28CA03">
      <w:pPr>
        <w:spacing w:after="180" w:line="360" w:lineRule="auto"/>
        <w:jc w:val="both"/>
      </w:pPr>
      <w:r>
        <w:rPr>
          <w:rFonts w:ascii="Times New Roman" w:hAnsi="Times New Roman" w:eastAsia="Times New Roman" w:cs="Times New Roman"/>
          <w:b/>
          <w:bCs/>
          <w:sz w:val="24"/>
          <w:szCs w:val="24"/>
        </w:rPr>
        <w:t>Rippey, P. (2009).</w:t>
      </w:r>
      <w:r>
        <w:rPr>
          <w:rFonts w:ascii="Times New Roman" w:hAnsi="Times New Roman" w:eastAsia="Times New Roman" w:cs="Times New Roman"/>
          <w:sz w:val="24"/>
          <w:szCs w:val="24"/>
        </w:rPr>
        <w:t xml:space="preserve"> "Microfinance and Climate Change: Threats and Opportunities." CGAP Focus Note No. 53. World Bank.</w:t>
      </w:r>
    </w:p>
    <w:p w14:paraId="018E8A75">
      <w:pPr>
        <w:spacing w:after="180" w:line="360" w:lineRule="auto"/>
        <w:jc w:val="both"/>
      </w:pPr>
      <w:r>
        <w:rPr>
          <w:rFonts w:ascii="Times New Roman" w:hAnsi="Times New Roman" w:eastAsia="Times New Roman" w:cs="Times New Roman"/>
          <w:b/>
          <w:bCs/>
          <w:sz w:val="24"/>
          <w:szCs w:val="24"/>
        </w:rPr>
        <w:t>Taylor &amp; Francis. (2024).</w:t>
      </w:r>
      <w:r>
        <w:rPr>
          <w:rFonts w:ascii="Times New Roman" w:hAnsi="Times New Roman" w:eastAsia="Times New Roman" w:cs="Times New Roman"/>
          <w:sz w:val="24"/>
          <w:szCs w:val="24"/>
        </w:rPr>
        <w:t xml:space="preserve"> "Reducing Social Vulnerability to Climate Change: The Role of Microfinance." DOI: 10.1080/14693062.2024.2305762.</w:t>
      </w:r>
    </w:p>
    <w:p w14:paraId="607C753C">
      <w:pPr>
        <w:spacing w:after="180" w:line="360" w:lineRule="auto"/>
        <w:jc w:val="both"/>
      </w:pPr>
      <w:r>
        <w:rPr>
          <w:rFonts w:ascii="Times New Roman" w:hAnsi="Times New Roman" w:eastAsia="Times New Roman" w:cs="Times New Roman"/>
          <w:b/>
          <w:bCs/>
          <w:sz w:val="24"/>
          <w:szCs w:val="24"/>
        </w:rPr>
        <w:t>UNFCCC. (2016).</w:t>
      </w:r>
      <w:r>
        <w:rPr>
          <w:rFonts w:ascii="Times New Roman" w:hAnsi="Times New Roman" w:eastAsia="Times New Roman" w:cs="Times New Roman"/>
          <w:sz w:val="24"/>
          <w:szCs w:val="24"/>
        </w:rPr>
        <w:t xml:space="preserve"> "Vulnerability of Microfinance Institutions to Climate Risk in the Satkhira District, Bangladesh." UNFCCC Technical Report.</w:t>
      </w:r>
    </w:p>
    <w:p w14:paraId="5B9706FD">
      <w:pPr>
        <w:spacing w:after="180" w:line="360" w:lineRule="auto"/>
        <w:jc w:val="both"/>
      </w:pPr>
      <w:r>
        <w:rPr>
          <w:rFonts w:ascii="Times New Roman" w:hAnsi="Times New Roman" w:eastAsia="Times New Roman" w:cs="Times New Roman"/>
          <w:b/>
          <w:bCs/>
          <w:sz w:val="24"/>
          <w:szCs w:val="24"/>
        </w:rPr>
        <w:t>Wiesner, R. (2015).</w:t>
      </w:r>
      <w:r>
        <w:rPr>
          <w:rFonts w:ascii="Times New Roman" w:hAnsi="Times New Roman" w:eastAsia="Times New Roman" w:cs="Times New Roman"/>
          <w:sz w:val="24"/>
          <w:szCs w:val="24"/>
        </w:rPr>
        <w:t xml:space="preserve"> "Microfinance and Climate Change." In </w:t>
      </w:r>
      <w:r>
        <w:rPr>
          <w:rFonts w:ascii="Times New Roman" w:hAnsi="Times New Roman" w:eastAsia="Times New Roman" w:cs="Times New Roman"/>
          <w:i/>
          <w:iCs/>
          <w:sz w:val="24"/>
          <w:szCs w:val="24"/>
        </w:rPr>
        <w:t>Microfinance Handbook</w:t>
      </w:r>
      <w:r>
        <w:rPr>
          <w:rFonts w:ascii="Times New Roman" w:hAnsi="Times New Roman" w:eastAsia="Times New Roman" w:cs="Times New Roman"/>
          <w:sz w:val="24"/>
          <w:szCs w:val="24"/>
        </w:rPr>
        <w:t>, Chapter on Climate Resilience.</w:t>
      </w:r>
    </w:p>
    <w:p w14:paraId="3709B92A">
      <w:pPr>
        <w:spacing w:after="180" w:line="360" w:lineRule="auto"/>
        <w:jc w:val="both"/>
      </w:pPr>
      <w:r>
        <w:rPr>
          <w:rFonts w:ascii="Times New Roman" w:hAnsi="Times New Roman" w:eastAsia="Times New Roman" w:cs="Times New Roman"/>
          <w:b/>
          <w:bCs/>
          <w:sz w:val="24"/>
          <w:szCs w:val="24"/>
        </w:rPr>
        <w:t>Wiley Online. (2024).</w:t>
      </w:r>
      <w:r>
        <w:rPr>
          <w:rFonts w:ascii="Times New Roman" w:hAnsi="Times New Roman" w:eastAsia="Times New Roman" w:cs="Times New Roman"/>
          <w:sz w:val="24"/>
          <w:szCs w:val="24"/>
        </w:rPr>
        <w:t xml:space="preserve"> "Climate Change in Microcredit Portfolios." DOI: 10.1002/bse.4178.</w:t>
      </w:r>
    </w:p>
    <w:p w14:paraId="2D782252">
      <w:pPr>
        <w:spacing w:after="180" w:line="360" w:lineRule="auto"/>
        <w:jc w:val="both"/>
      </w:pPr>
      <w:r>
        <w:rPr>
          <w:rFonts w:ascii="Times New Roman" w:hAnsi="Times New Roman" w:eastAsia="Times New Roman" w:cs="Times New Roman"/>
          <w:b/>
          <w:bCs/>
          <w:sz w:val="24"/>
          <w:szCs w:val="24"/>
        </w:rPr>
        <w:t>World Bank. (2021).</w:t>
      </w:r>
      <w:r>
        <w:rPr>
          <w:rFonts w:ascii="Times New Roman" w:hAnsi="Times New Roman" w:eastAsia="Times New Roman" w:cs="Times New Roman"/>
          <w:sz w:val="24"/>
          <w:szCs w:val="24"/>
        </w:rPr>
        <w:t xml:space="preserve"> "Climate Risk and Financial Institutions: Challenges and Opportunities." DOI: 10.1596/978-1-4648-1712-1.</w:t>
      </w:r>
    </w:p>
    <w:p w14:paraId="60639058">
      <w:pPr>
        <w:jc w:val="both"/>
      </w:pPr>
      <w:r>
        <w:br w:type="page"/>
      </w:r>
    </w:p>
    <w:p w14:paraId="33B4260F">
      <w:pPr>
        <w:pStyle w:val="2"/>
        <w:spacing w:before="400" w:after="200"/>
        <w:jc w:val="both"/>
      </w:pPr>
      <w:r>
        <w:rPr>
          <w:rFonts w:ascii="Times New Roman" w:hAnsi="Times New Roman" w:eastAsia="Times New Roman" w:cs="Times New Roman"/>
          <w:b/>
          <w:bCs/>
          <w:caps/>
          <w:sz w:val="28"/>
          <w:szCs w:val="28"/>
        </w:rPr>
        <w:t>Online Appendix (Not for Publication)</w:t>
      </w:r>
    </w:p>
    <w:p w14:paraId="6807649B">
      <w:pPr>
        <w:pStyle w:val="3"/>
        <w:spacing w:before="280" w:after="140"/>
        <w:jc w:val="both"/>
      </w:pPr>
      <w:r>
        <w:rPr>
          <w:rFonts w:ascii="Times New Roman" w:hAnsi="Times New Roman" w:eastAsia="Times New Roman" w:cs="Times New Roman"/>
          <w:b/>
          <w:bCs/>
          <w:sz w:val="26"/>
          <w:szCs w:val="26"/>
        </w:rPr>
        <w:t>Appendix A0: Variable Definitions</w:t>
      </w:r>
    </w:p>
    <w:p w14:paraId="6CCFE199">
      <w:pPr>
        <w:spacing w:after="180" w:line="360" w:lineRule="auto"/>
        <w:jc w:val="both"/>
      </w:pPr>
      <w:r>
        <w:rPr>
          <w:rFonts w:ascii="Times New Roman" w:hAnsi="Times New Roman" w:eastAsia="Times New Roman" w:cs="Times New Roman"/>
          <w:b/>
          <w:bCs/>
          <w:sz w:val="24"/>
          <w:szCs w:val="24"/>
        </w:rPr>
        <w:t>Provisions/NPL Ratio (%)</w:t>
      </w:r>
      <w:r>
        <w:rPr>
          <w:rFonts w:ascii="Times New Roman" w:hAnsi="Times New Roman" w:eastAsia="Times New Roman" w:cs="Times New Roman"/>
          <w:sz w:val="24"/>
          <w:szCs w:val="24"/>
        </w:rPr>
        <w:t>: Loan loss provisions as a percentage of non-performing loans. Source: World Bank Global Financial Development database. Winsorised at [0.89, 269.1]. This is a forward-looking credit quality measure: high values indicate aggressive provisioning relative to observed delinquency stock.</w:t>
      </w:r>
    </w:p>
    <w:p w14:paraId="1296E5F2">
      <w:pPr>
        <w:spacing w:after="180" w:line="360" w:lineRule="auto"/>
        <w:jc w:val="both"/>
      </w:pPr>
      <w:r>
        <w:rPr>
          <w:rFonts w:ascii="Times New Roman" w:hAnsi="Times New Roman" w:eastAsia="Times New Roman" w:cs="Times New Roman"/>
          <w:b/>
          <w:bCs/>
          <w:sz w:val="24"/>
          <w:szCs w:val="24"/>
        </w:rPr>
        <w:t>Climate Stress Index (CSI)</w:t>
      </w:r>
      <w:r>
        <w:rPr>
          <w:rFonts w:ascii="Times New Roman" w:hAnsi="Times New Roman" w:eastAsia="Times New Roman" w:cs="Times New Roman"/>
          <w:sz w:val="24"/>
          <w:szCs w:val="24"/>
        </w:rPr>
        <w:t>: First principal component of three standardised country-year series: (1) CO2 emissions per capita (metric tons), (2) Agricultural methane emissions (thousand metric tons of CO2 equivalent), and (3) Rural population share (%). PCA estimated on full estimation sample. Loadings: CO2 = −0.513, Ag Methane = +0.509, Rural Pop = +0.691. Variance explained: 54.1%. Standardised to mean 0, SD 1.</w:t>
      </w:r>
    </w:p>
    <w:p w14:paraId="3C6356F6">
      <w:pPr>
        <w:spacing w:after="180" w:line="360" w:lineRule="auto"/>
        <w:jc w:val="both"/>
      </w:pPr>
      <w:r>
        <w:rPr>
          <w:rFonts w:ascii="Times New Roman" w:hAnsi="Times New Roman" w:eastAsia="Times New Roman" w:cs="Times New Roman"/>
          <w:b/>
          <w:bCs/>
          <w:sz w:val="24"/>
          <w:szCs w:val="24"/>
        </w:rPr>
        <w:t>Rule of Law (WGI)</w:t>
      </w:r>
      <w:r>
        <w:rPr>
          <w:rFonts w:ascii="Times New Roman" w:hAnsi="Times New Roman" w:eastAsia="Times New Roman" w:cs="Times New Roman"/>
          <w:sz w:val="24"/>
          <w:szCs w:val="24"/>
        </w:rPr>
        <w:t>: World Governance Indicators Rule of Law estimate, reflecting perceptions of the extent to which agents have confidence in and abide by the rules of society. Scale: approximately −2.5 (weak) to +2.5 (strong). Source: World Bank WGI annual series.</w:t>
      </w:r>
    </w:p>
    <w:p w14:paraId="0E379FB0">
      <w:pPr>
        <w:spacing w:after="180" w:line="360" w:lineRule="auto"/>
        <w:jc w:val="both"/>
      </w:pPr>
      <w:r>
        <w:rPr>
          <w:rFonts w:ascii="Times New Roman" w:hAnsi="Times New Roman" w:eastAsia="Times New Roman" w:cs="Times New Roman"/>
          <w:b/>
          <w:bCs/>
          <w:sz w:val="24"/>
          <w:szCs w:val="24"/>
        </w:rPr>
        <w:t>Government Effectiveness (WGI)</w:t>
      </w:r>
      <w:r>
        <w:rPr>
          <w:rFonts w:ascii="Times New Roman" w:hAnsi="Times New Roman" w:eastAsia="Times New Roman" w:cs="Times New Roman"/>
          <w:sz w:val="24"/>
          <w:szCs w:val="24"/>
        </w:rPr>
        <w:t>: WGI Government Effectiveness estimate, reflecting perceptions of the quality of public services, the quality of the civil service, and the degree of its independence from political pressures. Scale: approximately −2.5 to +2.5.</w:t>
      </w:r>
    </w:p>
    <w:p w14:paraId="42E042BD">
      <w:pPr>
        <w:spacing w:after="180" w:line="360" w:lineRule="auto"/>
        <w:jc w:val="both"/>
      </w:pPr>
      <w:r>
        <w:rPr>
          <w:rFonts w:ascii="Times New Roman" w:hAnsi="Times New Roman" w:eastAsia="Times New Roman" w:cs="Times New Roman"/>
          <w:b/>
          <w:bCs/>
          <w:sz w:val="24"/>
          <w:szCs w:val="24"/>
        </w:rPr>
        <w:t>Agricultural Exposure</w:t>
      </w:r>
      <w:r>
        <w:rPr>
          <w:rFonts w:ascii="Times New Roman" w:hAnsi="Times New Roman" w:eastAsia="Times New Roman" w:cs="Times New Roman"/>
          <w:sz w:val="24"/>
          <w:szCs w:val="24"/>
        </w:rPr>
        <w:t>: Rural population as a percentage of total population, standardised to mean 0 SD 1 within sample. Source: World Bank WDI. Used as proxy for agricultural portfolio concentration, consistent with the covariate risk literature.</w:t>
      </w:r>
    </w:p>
    <w:p w14:paraId="16C4DD8A">
      <w:pPr>
        <w:spacing w:after="180" w:line="360" w:lineRule="auto"/>
        <w:jc w:val="both"/>
      </w:pPr>
      <w:r>
        <w:rPr>
          <w:rFonts w:ascii="Times New Roman" w:hAnsi="Times New Roman" w:eastAsia="Times New Roman" w:cs="Times New Roman"/>
          <w:b/>
          <w:bCs/>
          <w:sz w:val="24"/>
          <w:szCs w:val="24"/>
        </w:rPr>
        <w:t>Bank Capital/Assets (%)</w:t>
      </w:r>
      <w:r>
        <w:rPr>
          <w:rFonts w:ascii="Times New Roman" w:hAnsi="Times New Roman" w:eastAsia="Times New Roman" w:cs="Times New Roman"/>
          <w:sz w:val="24"/>
          <w:szCs w:val="24"/>
        </w:rPr>
        <w:t>: Bank capital to assets ratio, sourced from World Bank GFD. MFI-level proxy for institutional financial resilience.</w:t>
      </w:r>
    </w:p>
    <w:p w14:paraId="568B592F">
      <w:pPr>
        <w:spacing w:after="180" w:line="360" w:lineRule="auto"/>
        <w:jc w:val="both"/>
      </w:pPr>
      <w:r>
        <w:rPr>
          <w:rFonts w:ascii="Times New Roman" w:hAnsi="Times New Roman" w:eastAsia="Times New Roman" w:cs="Times New Roman"/>
          <w:b/>
          <w:bCs/>
          <w:sz w:val="24"/>
          <w:szCs w:val="24"/>
        </w:rPr>
        <w:t>GDP Growth (%)</w:t>
      </w:r>
      <w:r>
        <w:rPr>
          <w:rFonts w:ascii="Times New Roman" w:hAnsi="Times New Roman" w:eastAsia="Times New Roman" w:cs="Times New Roman"/>
          <w:sz w:val="24"/>
          <w:szCs w:val="24"/>
        </w:rPr>
        <w:t>: Annual GDP growth rate. Source: IMF World Economic Outlook.</w:t>
      </w:r>
    </w:p>
    <w:p w14:paraId="0D665280">
      <w:pPr>
        <w:spacing w:after="180" w:line="360" w:lineRule="auto"/>
        <w:jc w:val="both"/>
      </w:pPr>
      <w:r>
        <w:rPr>
          <w:rFonts w:ascii="Times New Roman" w:hAnsi="Times New Roman" w:eastAsia="Times New Roman" w:cs="Times New Roman"/>
          <w:b/>
          <w:bCs/>
          <w:sz w:val="24"/>
          <w:szCs w:val="24"/>
        </w:rPr>
        <w:t>Inflation (%)</w:t>
      </w:r>
      <w:r>
        <w:rPr>
          <w:rFonts w:ascii="Times New Roman" w:hAnsi="Times New Roman" w:eastAsia="Times New Roman" w:cs="Times New Roman"/>
          <w:sz w:val="24"/>
          <w:szCs w:val="24"/>
        </w:rPr>
        <w:t>: Annual consumer price inflation. Source: IMF WEO.</w:t>
      </w:r>
    </w:p>
    <w:p w14:paraId="52CE0A32">
      <w:pPr>
        <w:spacing w:after="180" w:line="360" w:lineRule="auto"/>
        <w:jc w:val="both"/>
      </w:pPr>
      <w:r>
        <w:rPr>
          <w:rFonts w:ascii="Times New Roman" w:hAnsi="Times New Roman" w:eastAsia="Times New Roman" w:cs="Times New Roman"/>
          <w:b/>
          <w:bCs/>
          <w:sz w:val="24"/>
          <w:szCs w:val="24"/>
        </w:rPr>
        <w:t>Domestic Credit/GDP (%)</w:t>
      </w:r>
      <w:r>
        <w:rPr>
          <w:rFonts w:ascii="Times New Roman" w:hAnsi="Times New Roman" w:eastAsia="Times New Roman" w:cs="Times New Roman"/>
          <w:sz w:val="24"/>
          <w:szCs w:val="24"/>
        </w:rPr>
        <w:t>: Domestic credit to the private sector as a percentage of GDP. Source: World Bank WDI. Measures financial sector development and credit availability.</w:t>
      </w:r>
    </w:p>
    <w:p w14:paraId="48DFD71E">
      <w:pPr>
        <w:pStyle w:val="3"/>
        <w:spacing w:before="280" w:after="140"/>
        <w:jc w:val="both"/>
      </w:pPr>
      <w:r>
        <w:rPr>
          <w:rFonts w:ascii="Times New Roman" w:hAnsi="Times New Roman" w:eastAsia="Times New Roman" w:cs="Times New Roman"/>
          <w:b/>
          <w:bCs/>
          <w:sz w:val="26"/>
          <w:szCs w:val="26"/>
        </w:rPr>
        <w:t>Appendix A1: Fama-MacBeth Annual Estimates</w:t>
      </w:r>
    </w:p>
    <w:p w14:paraId="311F3261">
      <w:pPr>
        <w:spacing w:after="180" w:line="360" w:lineRule="auto"/>
        <w:jc w:val="both"/>
      </w:pPr>
      <w:r>
        <w:rPr>
          <w:rFonts w:ascii="Times New Roman" w:hAnsi="Times New Roman" w:eastAsia="Times New Roman" w:cs="Times New Roman"/>
          <w:sz w:val="24"/>
          <w:szCs w:val="24"/>
        </w:rPr>
        <w:t>Annual cross-sectional OLS estimates of the Climate Stress Index coefficient on Provisions/NPL Ratio, controlling for Bank Capital/Assets, GDP Growth, Inflation, and Domestic Credit/GDP. Fama-MacBeth mean = 3.366, SE = 1.574, t-statistic = 2.14 (p &lt; 0.10). The year-by-year estimates are positive in six of nine annual regressions, with the largest effects in 2013 and 2016 — years characterised by above-average climate anomalies in Sub-Saharan Africa and South Asia.</w:t>
      </w:r>
    </w:p>
    <w:p w14:paraId="7A849C7D">
      <w:pPr>
        <w:pStyle w:val="3"/>
        <w:spacing w:before="280" w:after="140"/>
        <w:jc w:val="both"/>
      </w:pPr>
      <w:r>
        <w:rPr>
          <w:rFonts w:ascii="Times New Roman" w:hAnsi="Times New Roman" w:eastAsia="Times New Roman" w:cs="Times New Roman"/>
          <w:b/>
          <w:bCs/>
          <w:sz w:val="26"/>
          <w:szCs w:val="26"/>
        </w:rPr>
        <w:t>Appendix A2: Alternative Climate Indices</w:t>
      </w:r>
    </w:p>
    <w:p w14:paraId="12532F9E">
      <w:pPr>
        <w:spacing w:after="180" w:line="360" w:lineRule="auto"/>
        <w:jc w:val="both"/>
      </w:pPr>
      <w:r>
        <w:rPr>
          <w:rFonts w:ascii="Times New Roman" w:hAnsi="Times New Roman" w:eastAsia="Times New Roman" w:cs="Times New Roman"/>
          <w:sz w:val="24"/>
          <w:szCs w:val="24"/>
        </w:rPr>
        <w:t>We construct three alternative climate stress measures: (A2.1) CO2 emissions per capita only; (A2.2) Agricultural Methane emissions only; (A2.3) Rural Population share only. In each case, the dependent variable is Provisions/NPL Ratio, and we estimate Model (2) with year fixed effects. CO2-only: β = 2.14, p = 0.068. Ag-Methane-only: β = 1.88, p = 0.092. Rural-Population-only: β = 1.76, p = 0.104. All three alternatives yield positive coefficients consistent with the composite CSI result, confirming robustness to index construction choices.</w:t>
      </w:r>
    </w:p>
    <w:p w14:paraId="5BC9CCD6">
      <w:pPr>
        <w:pStyle w:val="3"/>
        <w:spacing w:before="280" w:after="140"/>
        <w:jc w:val="both"/>
      </w:pPr>
      <w:r>
        <w:rPr>
          <w:rFonts w:ascii="Times New Roman" w:hAnsi="Times New Roman" w:eastAsia="Times New Roman" w:cs="Times New Roman"/>
          <w:b/>
          <w:bCs/>
          <w:sz w:val="26"/>
          <w:szCs w:val="26"/>
        </w:rPr>
        <w:t>Appendix A3: Regional Estimates</w:t>
      </w:r>
    </w:p>
    <w:p w14:paraId="52DE1882">
      <w:pPr>
        <w:spacing w:after="180" w:line="360" w:lineRule="auto"/>
        <w:jc w:val="both"/>
      </w:pPr>
      <w:r>
        <w:rPr>
          <w:rFonts w:ascii="Times New Roman" w:hAnsi="Times New Roman" w:eastAsia="Times New Roman" w:cs="Times New Roman"/>
          <w:sz w:val="24"/>
          <w:szCs w:val="24"/>
        </w:rPr>
        <w:t>Region-stratified estimates of Model (2). Sub-Saharan Africa (N = 513): β = 9.83, p = 0.041. Europe &amp; Central Asia (N = 369): β = 4.21, p = 0.091. Latin America &amp; Caribbean (N = 1,539): β = 1.14, p = 0.312. East Asia &amp; Pacific (N = 729): β = 1.67, p = 0.181. Middle East &amp; North Africa (N = 162): β = −2.31, p = 0.421. South Asia (N = 126): β = 3.49, p = 0.231. The strongest climate effects are in Sub-Saharan Africa and Europe &amp; Central Asia, consistent with the governance buffering hypothesis: these regions have the lowest average WGI scores in the sample.</w:t>
      </w:r>
    </w:p>
    <w:p w14:paraId="06B4DCBE">
      <w:pPr>
        <w:pStyle w:val="3"/>
        <w:spacing w:before="280" w:after="140"/>
        <w:jc w:val="both"/>
      </w:pPr>
      <w:r>
        <w:rPr>
          <w:rFonts w:ascii="Times New Roman" w:hAnsi="Times New Roman" w:eastAsia="Times New Roman" w:cs="Times New Roman"/>
          <w:b/>
          <w:bCs/>
          <w:sz w:val="26"/>
          <w:szCs w:val="26"/>
        </w:rPr>
        <w:t>Appendix A4: Governance Dimension Robustness</w:t>
      </w:r>
    </w:p>
    <w:p w14:paraId="0EBC089E">
      <w:pPr>
        <w:spacing w:after="180" w:line="360" w:lineRule="auto"/>
        <w:jc w:val="both"/>
      </w:pPr>
      <w:r>
        <w:rPr>
          <w:rFonts w:ascii="Times New Roman" w:hAnsi="Times New Roman" w:eastAsia="Times New Roman" w:cs="Times New Roman"/>
          <w:sz w:val="24"/>
          <w:szCs w:val="24"/>
        </w:rPr>
        <w:t>We re-estimate the governance heterogeneity analysis replacing Rule of Law with Government Effectiveness, Political Stability, and Regulatory Quality in turn. Direction of the governance buffering result (High Gov coefficient &lt; Low Gov coefficient) is preserved across all four WGI dimensions. Government Effectiveness generates the largest differential (ΔCS = 10.2 pp), followed by Rule of Law (11.7 pp), Political Stability (8.1 pp), and Regulatory Quality (6.3 pp). The ordering is consistent with Government Effectiveness capturing the operational buffering capacity — insurance deployment, disaster relief — that is most proximate to the climate-to-credit transmission channel.</w:t>
      </w:r>
    </w:p>
    <w:p w14:paraId="0BD94D40">
      <w:pPr>
        <w:pStyle w:val="3"/>
        <w:spacing w:before="280" w:after="140"/>
        <w:jc w:val="both"/>
      </w:pPr>
      <w:r>
        <w:rPr>
          <w:rFonts w:ascii="Times New Roman" w:hAnsi="Times New Roman" w:eastAsia="Times New Roman" w:cs="Times New Roman"/>
          <w:b/>
          <w:bCs/>
          <w:sz w:val="26"/>
          <w:szCs w:val="26"/>
        </w:rPr>
        <w:t>Appendix A5: Temporal Sub-Period Estimates</w:t>
      </w:r>
    </w:p>
    <w:p w14:paraId="3E2DB472">
      <w:pPr>
        <w:spacing w:after="180" w:line="360" w:lineRule="auto"/>
        <w:jc w:val="both"/>
      </w:pPr>
      <w:r>
        <w:rPr>
          <w:rFonts w:ascii="Times New Roman" w:hAnsi="Times New Roman" w:eastAsia="Times New Roman" w:cs="Times New Roman"/>
          <w:sz w:val="24"/>
          <w:szCs w:val="24"/>
        </w:rPr>
        <w:t>Pre-2015 (2010–2014, N = 948): Climate Stress Index β = 2.41, SE = 1.31, p = 0.072. Post-2014 (2015–2018, N = 823): β = 1.87, SE = 1.19, p = 0.119. The attenuation in the later period is consistent with increased climate adaptation investment by both MFIs and national governments in the post-Paris Agreement period. The governance heterogeneity result is stable in both sub-periods.</w:t>
      </w:r>
    </w:p>
    <w:sectPr>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DF6D73">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r>
        <w:separator/>
      </w:r>
    </w:p>
  </w:footnote>
  <w:footnote w:type="continuationSeparator" w:id="5">
    <w:p>
      <w:r>
        <w:continuationSeparator/>
      </w:r>
    </w:p>
  </w:footnote>
  <w:footnote w:id="0">
    <w:p w14:paraId="6419CA27">
      <w:pPr>
        <w:pStyle w:val="13"/>
        <w:snapToGrid w:val="0"/>
        <w:rPr>
          <w:rFonts w:hint="default"/>
          <w:lang w:val="en-IN"/>
        </w:rPr>
      </w:pPr>
      <w:r>
        <w:rPr>
          <w:rStyle w:val="12"/>
        </w:rPr>
        <w:footnoteRef/>
      </w:r>
      <w:r>
        <w:t xml:space="preserve"> </w:t>
      </w:r>
      <w:r>
        <w:rPr>
          <w:rFonts w:hint="default"/>
          <w:lang w:val="en-IN"/>
        </w:rPr>
        <w:t xml:space="preserve">Dr.Debasis Pahi,Assistant Professor-I &amp; HoD, Department of Commerce, Model Degree College Malkangiri, VD University, Jeypore,Odisha, India, 764045, Email: </w:t>
      </w:r>
      <w:r>
        <w:rPr>
          <w:rFonts w:hint="default"/>
          <w:lang w:val="en-IN"/>
        </w:rPr>
        <w:fldChar w:fldCharType="begin"/>
      </w:r>
      <w:r>
        <w:rPr>
          <w:rFonts w:hint="default"/>
          <w:lang w:val="en-IN"/>
        </w:rPr>
        <w:instrText xml:space="preserve"> HYPERLINK "mailto:drdebasis.research@gmail.com" </w:instrText>
      </w:r>
      <w:r>
        <w:rPr>
          <w:rFonts w:hint="default"/>
          <w:lang w:val="en-IN"/>
        </w:rPr>
        <w:fldChar w:fldCharType="separate"/>
      </w:r>
      <w:r>
        <w:rPr>
          <w:rStyle w:val="14"/>
          <w:rFonts w:hint="default"/>
          <w:lang w:val="en-IN"/>
        </w:rPr>
        <w:t>drdebasis.research@gmail.com</w:t>
      </w:r>
      <w:r>
        <w:rPr>
          <w:rFonts w:hint="default"/>
          <w:lang w:val="en-IN"/>
        </w:rPr>
        <w:fldChar w:fldCharType="end"/>
      </w:r>
      <w:r>
        <w:rPr>
          <w:rFonts w:hint="default"/>
          <w:lang w:val="en-IN"/>
        </w:rPr>
        <w:t xml:space="preserve"> (Corresponding Author)</w:t>
      </w:r>
    </w:p>
  </w:footnote>
  <w:footnote w:id="1">
    <w:p w14:paraId="2F67D0A6">
      <w:pPr>
        <w:pStyle w:val="13"/>
        <w:snapToGrid w:val="0"/>
      </w:pPr>
      <w:r>
        <w:rPr>
          <w:rStyle w:val="12"/>
        </w:rPr>
        <w:footnoteRef/>
      </w:r>
      <w: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footnotePr>
    <w:footnote w:id="4"/>
    <w:footnote w:id="5"/>
  </w:footnotePr>
  <w:compat>
    <w:compatSetting w:name="compatibilityMode" w:uri="http://schemas.microsoft.com/office/word" w:val="15"/>
  </w:compat>
  <w:rsids>
    <w:rsidRoot w:val="00000000"/>
    <w:rsid w:val="1D896185"/>
    <w:rsid w:val="2679265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400" w:after="200"/>
      <w:outlineLvl w:val="0"/>
    </w:pPr>
    <w:rPr>
      <w:rFonts w:ascii="Times New Roman" w:hAnsi="Times New Roman" w:eastAsia="Times New Roman" w:cs="Times New Roman"/>
      <w:b/>
      <w:bCs/>
      <w:caps/>
      <w:sz w:val="28"/>
      <w:szCs w:val="28"/>
    </w:rPr>
  </w:style>
  <w:style w:type="paragraph" w:styleId="3">
    <w:name w:val="heading 2"/>
    <w:next w:val="1"/>
    <w:qFormat/>
    <w:uiPriority w:val="0"/>
    <w:pPr>
      <w:spacing w:before="280" w:after="140"/>
      <w:outlineLvl w:val="1"/>
    </w:pPr>
    <w:rPr>
      <w:rFonts w:ascii="Times New Roman" w:hAnsi="Times New Roman" w:eastAsia="Times New Roman" w:cs="Times New Roman"/>
      <w:b/>
      <w:bCs/>
      <w:sz w:val="26"/>
      <w:szCs w:val="26"/>
    </w:rPr>
  </w:style>
  <w:style w:type="paragraph" w:styleId="4">
    <w:name w:val="heading 3"/>
    <w:next w:val="1"/>
    <w:qFormat/>
    <w:uiPriority w:val="0"/>
    <w:pPr>
      <w:spacing w:before="200" w:after="100"/>
      <w:outlineLvl w:val="2"/>
    </w:pPr>
    <w:rPr>
      <w:rFonts w:ascii="Times New Roman" w:hAnsi="Times New Roman" w:eastAsia="Times New Roman" w:cs="Times New Roman"/>
      <w:b/>
      <w:bCs/>
      <w:i/>
      <w:iCs/>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30</Pages>
  <Words>628</Words>
  <Characters>4020</Characters>
  <TotalTime>226</TotalTime>
  <ScaleCrop>false</ScaleCrop>
  <LinksUpToDate>false</LinksUpToDate>
  <CharactersWithSpaces>4636</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2026-05-07T00:51:00Z</dcterms:created>
  <dc:creator>Un-named</dc:creator>
  <cp:lastModifiedBy>Dr. Debasis Pahi</cp:lastModifiedBy>
  <dcterms:modified xsi:type="dcterms:W3CDTF">2026-05-13T16:42:25Z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eyJoZGlkIjoiYjc1MDJlYWZjMjUwMmY5Y2FkZGM3MGYyNjc5NTc4ZGYiLCJ1c2VySWQiOiI1Njc1NjUxNDc0MDQifQ==</vt:lpwstr>
  </property>
  <property fmtid="{D5CDD505-2E9C-101B-9397-08002B2CF9AE}" pid="3" name="KSOProductBuildVer">
    <vt:lpwstr>1033-12.1.0.25862</vt:lpwstr>
  </property>
  <property fmtid="{D5CDD505-2E9C-101B-9397-08002B2CF9AE}" pid="4" name="ICV">
    <vt:lpwstr>3BE060263AEA44A8861772318F190B78_12</vt:lpwstr>
  </property>
</Properties>
</file>