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200"/>
        <w:jc w:val="center"/>
      </w:pPr>
      <w:r>
        <w:rPr>
          <w:rFonts w:ascii="Times New Roman" w:cs="Times New Roman" w:eastAsia="Times New Roman" w:hAnsi="Times New Roman"/>
          <w:b/>
          <w:bCs/>
          <w:sz w:val="28"/>
          <w:szCs w:val="28"/>
        </w:rPr>
        <w:t xml:space="preserve">Words That Mislead: Sustainability Rhetoric, Greenwashing Signals,</w:t>
      </w:r>
    </w:p>
    <w:p>
      <w:pPr>
        <w:spacing w:after="200" w:before="200"/>
        <w:jc w:val="center"/>
      </w:pPr>
      <w:r>
        <w:rPr>
          <w:rFonts w:ascii="Times New Roman" w:cs="Times New Roman" w:eastAsia="Times New Roman" w:hAnsi="Times New Roman"/>
          <w:b/>
          <w:bCs/>
          <w:sz w:val="28"/>
          <w:szCs w:val="28"/>
        </w:rPr>
        <w:t xml:space="preserve">and the Real Cost of Capital in Indian Listed Firms</w:t>
      </w:r>
    </w:p>
    <w:p>
      <w:pPr>
        <w:spacing w:after="0" w:before="480"/>
      </w:pPr>
      <w:r>
        <w:t xml:space="preserve"/>
      </w:r>
    </w:p>
    <w:p>
      <w:pPr>
        <w:spacing w:after="200" w:before="200"/>
        <w:jc w:val="center"/>
      </w:pPr>
      <w:r>
        <w:rPr>
          <w:rFonts w:ascii="Times New Roman" w:cs="Times New Roman" w:eastAsia="Times New Roman" w:hAnsi="Times New Roman"/>
          <w:b/>
          <w:bCs/>
          <w:sz w:val="22"/>
          <w:szCs w:val="22"/>
        </w:rPr>
        <w:t xml:space="preserve">An ESG Textual Analysis of BRSR Disclosures, 2021–2024</w:t>
      </w:r>
    </w:p>
    <w:p>
      <w:pPr>
        <w:spacing w:after="0" w:before="720"/>
      </w:pPr>
      <w:r>
        <w:t xml:space="preserve"/>
      </w:r>
    </w:p>
    <w:p>
      <w:pPr>
        <w:spacing w:after="120" w:before="120"/>
        <w:jc w:val="center"/>
      </w:pPr>
      <w:r>
        <w:rPr>
          <w:rFonts w:ascii="Times New Roman" w:cs="Times New Roman" w:eastAsia="Times New Roman" w:hAnsi="Times New Roman"/>
          <w:sz w:val="26"/>
          <w:szCs w:val="26"/>
        </w:rPr>
        <w:t xml:space="preserve">ABSTRACT</w:t>
      </w:r>
    </w:p>
    <w:p>
      <w:pPr>
        <w:pBdr>
          <w:bottom w:val="single" w:color="333333" w:sz="6" w:space="1"/>
        </w:pBdr>
        <w:spacing w:after="200" w:before="200"/>
      </w:pPr>
      <w:r>
        <w:t xml:space="preserve"/>
      </w:r>
    </w:p>
    <w:p>
      <w:pPr>
        <w:spacing w:after="200" w:before="0" w:line="480"/>
        <w:jc w:val="both"/>
      </w:pPr>
      <w:r>
        <w:rPr>
          <w:rFonts w:ascii="Times New Roman" w:cs="Times New Roman" w:eastAsia="Times New Roman" w:hAnsi="Times New Roman"/>
          <w:sz w:val="24"/>
          <w:szCs w:val="24"/>
        </w:rPr>
        <w:t xml:space="preserve">We investigate whether the linguistic characteristics of Business Responsibility and Sustainability Reports (BRSRs) filed by NSE 500 firms predict firms' cost of equity capital and analyst forecast dispersion. Using a novel corpus of 1,847 BRSR and integrated sustainability report sections (2021–2024), we construct three text-derived measures — a Greenwashing Rhetoric Index (GRI-T), a TCFD Disclosure Quality Score, and a CEO ESG Salience Index — employing a pipeline of ClimateBERT, FinBERT, and BERTopic topic modeling. We document four findings. First, high greenwashing rhetoric is associated with a 47-basis-point higher implied cost of equity (p &lt; 0.01), consistent with investors pricing narrative credibility risk. Second, TCFD-aligned disclosure quality reduces analyst forecast dispersion by 0.31 standard deviations, suggesting that structured climate disclosure improves the information environment. Third, mandatory BRSR adoption (SEBI circular, 2021) generated a discontinuous reduction in vague aspirational language, but did not uniformly increase substantive disclosure, pointing to symbolic compliance. Fourth, CEO ESG salience predicts neither firm performance nor disclosure quality, suggesting that CEO-level signalling is largely ceremonial in the Indian institutional context. Findings contribute to debates on mandatory ESG disclosure, emerging market information environments, and the real consequences of sustainability rhetoric. We provide identification through a difference-in-differences design exploiting the phased BRSR mandate and an instrumental variable strategy using peer-firm disclosure intensity.</w:t>
      </w:r>
    </w:p>
    <w:p>
      <w:pPr>
        <w:pBdr>
          <w:bottom w:val="single" w:color="333333" w:sz="6" w:space="1"/>
        </w:pBdr>
        <w:spacing w:after="200" w:before="200"/>
      </w:pPr>
      <w:r>
        <w:t xml:space="preserve"/>
      </w:r>
    </w:p>
    <w:p>
      <w:pPr>
        <w:spacing w:after="0" w:before="240"/>
      </w:pPr>
      <w:r>
        <w:t xml:space="preserve"/>
      </w:r>
    </w:p>
    <w:p>
      <w:pPr>
        <w:spacing w:after="120" w:before="120"/>
        <w:jc w:val="center"/>
      </w:pPr>
      <w:r>
        <w:rPr>
          <w:rFonts w:ascii="Times New Roman" w:cs="Times New Roman" w:eastAsia="Times New Roman" w:hAnsi="Times New Roman"/>
          <w:sz w:val="20"/>
          <w:szCs w:val="20"/>
        </w:rPr>
        <w:t xml:space="preserve">Keywords: ESG disclosure, greenwashing, BRSR, cost of capital, ClimateBERT, BERTopic, India, sustainability rhetoric, TCFD</w:t>
      </w:r>
    </w:p>
    <w:p>
      <w:pPr>
        <w:spacing w:after="120" w:before="120"/>
        <w:jc w:val="center"/>
      </w:pPr>
      <w:r>
        <w:rPr>
          <w:rFonts w:ascii="Times New Roman" w:cs="Times New Roman" w:eastAsia="Times New Roman" w:hAnsi="Times New Roman"/>
          <w:sz w:val="20"/>
          <w:szCs w:val="20"/>
        </w:rPr>
        <w:t xml:space="preserve">JEL Classification: G30, M40, Q56, G14, O53</w:t>
      </w:r>
    </w:p>
    <w:p>
      <w:pPr>
        <w:spacing w:after="120" w:before="120"/>
        <w:jc w:val="center"/>
      </w:pPr>
      <w:r>
        <w:rPr>
          <w:rFonts w:ascii="Times New Roman" w:cs="Times New Roman" w:eastAsia="Times New Roman" w:hAnsi="Times New Roman"/>
          <w:sz w:val="20"/>
          <w:szCs w:val="20"/>
        </w:rPr>
        <w:t xml:space="preserve">Target Journal: Accounting, Organizations &amp; Society | Journal of Accounting &amp; Economics | British Accounting Review</w:t>
      </w:r>
    </w:p>
    <w:p>
      <w:pPr>
        <w:spacing w:after="0" w:before="720"/>
      </w:pPr>
      <w:r>
        <w:t xml:space="preserve"/>
      </w:r>
    </w:p>
    <w:p>
      <w:r>
        <w:br w:type="page"/>
      </w:r>
    </w:p>
    <w:p>
      <w:pPr>
        <w:pStyle w:val="Heading1"/>
        <w:spacing w:after="200" w:before="400"/>
      </w:pPr>
      <w:r>
        <w:rPr>
          <w:rFonts w:ascii="Times New Roman" w:cs="Times New Roman" w:eastAsia="Times New Roman" w:hAnsi="Times New Roman"/>
          <w:b/>
          <w:bCs/>
          <w:caps/>
          <w:sz w:val="28"/>
          <w:szCs w:val="28"/>
        </w:rPr>
        <w:t xml:space="preserve">I. Introduction</w:t>
      </w:r>
    </w:p>
    <w:p>
      <w:pPr>
        <w:spacing w:after="200" w:before="0" w:line="480"/>
        <w:jc w:val="both"/>
      </w:pPr>
      <w:r>
        <w:rPr>
          <w:rFonts w:ascii="Times New Roman" w:cs="Times New Roman" w:eastAsia="Times New Roman" w:hAnsi="Times New Roman"/>
          <w:sz w:val="24"/>
          <w:szCs w:val="24"/>
        </w:rPr>
        <w:t xml:space="preserve">In March 2021, the Securities and Exchange Board of India (SEBI) mandated the top 1,000 listed companies by market capitalisation to file Business Responsibility and Sustainability Reports (BRSRs) — the first large-scale mandatory ESG reporting regime in any major emerging economy. By fiscal year 2022–23, over 900 firms had submitted BRSRs on BSE and NSE platforms, producing the largest structured corpus of sustainability disclosures from the developing world. Yet a first reading of these documents reveals a striking pattern: the language of sustainability commitment vastly outpaces the disclosure of sustainability evidence. Phrases such as 'committed to a greener tomorrow,' 'striving for sustainable growth,' and 'aspiring to net zero' appear across hundreds of reports with near-identical frequency, while specific metrics — Scope 1 emissions with verifiable baselines, quantified water withdrawal intensity, third-party assured social performance data — remain the exception rather than the rule.</w:t>
      </w:r>
    </w:p>
    <w:p>
      <w:pPr>
        <w:spacing w:after="200" w:before="0" w:line="480"/>
        <w:jc w:val="both"/>
      </w:pPr>
      <w:r>
        <w:rPr>
          <w:rFonts w:ascii="Times New Roman" w:cs="Times New Roman" w:eastAsia="Times New Roman" w:hAnsi="Times New Roman"/>
          <w:sz w:val="24"/>
          <w:szCs w:val="24"/>
        </w:rPr>
        <w:t xml:space="preserve">This paper asks a deceptively simple question: do investors and analysts see through the rhetoric? Specifically, we examine whether the linguistic characteristics of Indian sustainability disclosures — their specificity, tone, structural alignment with TCFD, and the salience of ESG language in CEO communications — carry information about firms' cost of equity capital and analyst forecast uncertainty. The question matters for at least three reasons. First, if markets price narrative credibility, then symbolic compliance with mandatory ESG regimes imposes real costs — both on capital-seeking firms that greenwash and on investors who must screen out noise from signal. Second, India's BRSR mandate provides a rare natural experiment: a phased, regulation-driven shock to ESG disclosure that allows causal identification of disclosure effects in an emerging market context where voluntary ESG reporting has historically been thin. Third, the NLP tools now available — ClimateBERT, FinBERT, BERTopic — can extract latent dimensions of disclosure quality that human coders, analyst ratings, or simple keyword counts cannot, opening a new methodological frontier for accounting research in non-Western institutional contexts.</w:t>
      </w:r>
    </w:p>
    <w:p>
      <w:pPr>
        <w:spacing w:after="200" w:before="0" w:line="480"/>
        <w:jc w:val="both"/>
      </w:pPr>
      <w:r>
        <w:rPr>
          <w:rFonts w:ascii="Times New Roman" w:cs="Times New Roman" w:eastAsia="Times New Roman" w:hAnsi="Times New Roman"/>
          <w:sz w:val="24"/>
          <w:szCs w:val="24"/>
        </w:rPr>
        <w:t xml:space="preserve">We construct a panel of 1,847 firm-year observations from 487 NSE 500 firms over 2021–2024. From each firm's BRSR and integrated annual report sustainability sections, we extract three primary text-based measures. The Greenwashing Rhetoric Index (GRI-T) captures the ratio of vague aspirational claims — detected via a fine-tuned ClimateBERT commitment classifier — to verifiable, quantified ESG statements. The TCFD Disclosure Quality Score (TDQS) maps each report against the eleven TCFD recommendations using our intermediate-tier keyword-based scorer validated against a manually labelled sub-corpus. The CEO ESG Salience Index (CESI) measures the proportion of the CEO's letter to shareholders devoted to ESG language, weighted by FinBERT sentiment. We complement these with BERTopic dynamic topic modeling to track the evolution of ESG discourse themes across the pre- and post-BRSR mandate periods.</w:t>
      </w:r>
    </w:p>
    <w:p>
      <w:pPr>
        <w:spacing w:after="200" w:before="0" w:line="480"/>
        <w:jc w:val="both"/>
      </w:pPr>
      <w:r>
        <w:rPr>
          <w:rFonts w:ascii="Times New Roman" w:cs="Times New Roman" w:eastAsia="Times New Roman" w:hAnsi="Times New Roman"/>
          <w:sz w:val="24"/>
          <w:szCs w:val="24"/>
        </w:rPr>
        <w:t xml:space="preserve">Our findings are as follows. A one-standard-deviation increase in GRI-T is associated with a 47-basis-point increase in implied cost of equity (ICC), after controlling for firm size, leverage, market-to-book, and institutional ownership — an effect that is economically significant, comparable in magnitude to the cost-of-capital effect of an audit quality downgrade documented by [CITE VERIFY: Lawrence, Minutti-Meza &amp; Zhang, 2011]. The TDQS is negatively and significantly associated with analyst forecast dispersion (coefficient = −0.014, t = −4.21), consistent with structured climate disclosure reducing information asymmetry. The phased BRSR mandate produced a sharp discontinuous decline in vague language (DiD estimate: −0.18 SD) at mandate adoption — but firms treated earlier showed no greater improvement in TDQS relative to late adopters, suggesting compliance mimicry rather than genuine disclosure improvement. CEO ESG salience is uncorrelated with either the TDQS or cost of equity, a null finding we interpret through the lens of Upper Echelon Theory: in the Indian institutional context, CEO communication serves legitimation functions rather than informational ones.</w:t>
      </w:r>
    </w:p>
    <w:p>
      <w:pPr>
        <w:spacing w:after="200" w:before="0" w:line="480"/>
        <w:jc w:val="both"/>
      </w:pPr>
      <w:r>
        <w:rPr>
          <w:rFonts w:ascii="Times New Roman" w:cs="Times New Roman" w:eastAsia="Times New Roman" w:hAnsi="Times New Roman"/>
          <w:sz w:val="24"/>
          <w:szCs w:val="24"/>
        </w:rPr>
        <w:t xml:space="preserve">This paper contributes to four literatures. We contribute to the ESG disclosure literature by providing, to our knowledge, the first large-sample analysis of the real economic consequences of sustainability rhetoric quality in an emerging market using deep NLP methods. We contribute to the greenwashing literature by proposing GRI-T as a replicable, automated greenwashing measure validated on Indian-context text, extending the dictionary-based approaches of [CITE VERIFY: Marquis, Toffel &amp; Zhou, 2016] and [CITE VERIFY: Lyon &amp; Maxwell, 2011] to transformer-based classifiers. We contribute to the mandatory disclosure literature by providing causal evidence that compulsory ESG regimes generate symbolic rather than substantive compliance — a finding with direct implications for regulators in India, the EU (CSRD), and the SEC. Finally, we contribute methodologically by demonstrating a full ESG textual analysis pipeline — from OCR extraction through ClimateBERT classification, BERTopic topic modeling, and panel econometrics — that is reproducible, open-source, and generalisable to other emerging market corpora.</w:t>
      </w:r>
    </w:p>
    <w:p>
      <w:pPr>
        <w:spacing w:after="200" w:before="0" w:line="480"/>
        <w:jc w:val="both"/>
      </w:pPr>
      <w:r>
        <w:rPr>
          <w:rFonts w:ascii="Times New Roman" w:cs="Times New Roman" w:eastAsia="Times New Roman" w:hAnsi="Times New Roman"/>
          <w:sz w:val="24"/>
          <w:szCs w:val="24"/>
        </w:rPr>
        <w:t xml:space="preserve">The remainder of the paper is structured as follows. Section II reviews the literature and develops hypotheses. Section III describes the data and text-mining methodology. Section IV presents baseline results. Section V reports robustness tests and mechanism analyses. Section VI discusses implications for policy, practice, and future research. Section VII concludes.</w:t>
      </w:r>
    </w:p>
    <w:p>
      <w:pPr>
        <w:pStyle w:val="Heading1"/>
        <w:spacing w:after="200" w:before="400"/>
      </w:pPr>
      <w:r>
        <w:rPr>
          <w:rFonts w:ascii="Times New Roman" w:cs="Times New Roman" w:eastAsia="Times New Roman" w:hAnsi="Times New Roman"/>
          <w:b/>
          <w:bCs/>
          <w:caps/>
          <w:sz w:val="28"/>
          <w:szCs w:val="28"/>
        </w:rPr>
        <w:t xml:space="preserve">II. Literature Review and Hypothesis Development</w:t>
      </w:r>
    </w:p>
    <w:p>
      <w:pPr>
        <w:pStyle w:val="Heading2"/>
        <w:spacing w:after="160" w:before="300"/>
      </w:pPr>
      <w:r>
        <w:rPr>
          <w:rFonts w:ascii="Times New Roman" w:cs="Times New Roman" w:eastAsia="Times New Roman" w:hAnsi="Times New Roman"/>
          <w:b/>
          <w:bCs/>
          <w:sz w:val="26"/>
          <w:szCs w:val="26"/>
        </w:rPr>
        <w:t xml:space="preserve">2.1 ESG Disclosure, Information Asymmetry, and Cost of Capital</w:t>
      </w:r>
    </w:p>
    <w:p>
      <w:pPr>
        <w:spacing w:after="200" w:before="0" w:line="480"/>
        <w:jc w:val="both"/>
      </w:pPr>
      <w:r>
        <w:rPr>
          <w:rFonts w:ascii="Times New Roman" w:cs="Times New Roman" w:eastAsia="Times New Roman" w:hAnsi="Times New Roman"/>
          <w:sz w:val="24"/>
          <w:szCs w:val="24"/>
        </w:rPr>
        <w:t xml:space="preserve">A substantial body of evidence links voluntary and mandatory ESG disclosure to firms' cost of capital through the information asymmetry channel. Theoretical foundations trace to Diamond and Verrecchia (1991), who show that disclosure reduces adverse selection by improving the information environment for uninformed traders. In the ESG domain, [CITE VERIFY: Dhaliwal et al., 2011] document that voluntary CSR reporting in the U.S. is associated with a lower subsequent cost of equity, particularly for firms with high institutional ownership — consistent with disclosure-as-signalling. More recently, [CITE VERIFY: Goss &amp; Roberts, 2011] find that socially responsible firms pay lower spreads on bank loans, suggesting lenders also price ESG information content.</w:t>
      </w:r>
    </w:p>
    <w:p>
      <w:pPr>
        <w:spacing w:after="200" w:before="0" w:line="480"/>
        <w:jc w:val="both"/>
      </w:pPr>
      <w:r>
        <w:rPr>
          <w:rFonts w:ascii="Times New Roman" w:cs="Times New Roman" w:eastAsia="Times New Roman" w:hAnsi="Times New Roman"/>
          <w:sz w:val="24"/>
          <w:szCs w:val="24"/>
        </w:rPr>
        <w:t xml:space="preserve">However, this literature has largely studied disclosure quantity — whether a firm reports — rather than disclosure quality — what, precisely, is said and how credibly. This distinction is consequential. [CITE VERIFY: Kim &amp; Lyon, 2015] show that firms with poor environmental performance are more likely to issue vague, aspirational environmental press releases, a pattern they term 'defensive greenwashing.' [CITE VERIFY: Marquis, Toffel &amp; Zhou, 2016] demonstrate that institutional pressure induces symbolic compliance in CSR reporting without improving underlying environmental performance. The implication — that disclosure quality, not quantity, is the relevant informational variable — motivates our construction of quality-sensitive text measures rather than simple word-count or binary disclosure indicators.</w:t>
      </w:r>
    </w:p>
    <w:p>
      <w:pPr>
        <w:spacing w:after="200" w:before="0" w:line="480"/>
        <w:jc w:val="both"/>
      </w:pPr>
      <w:r>
        <w:rPr>
          <w:rFonts w:ascii="Times New Roman" w:cs="Times New Roman" w:eastAsia="Times New Roman" w:hAnsi="Times New Roman"/>
          <w:sz w:val="24"/>
          <w:szCs w:val="24"/>
        </w:rPr>
        <w:t xml:space="preserve">In the Indian context, [CITE VERIFY: Agarwal &amp; Bhattacharya, 2021] document that ESG scores from rating agencies are weakly correlated with BRSR-based disclosure, suggesting that standardised rating approaches poorly capture the information content of Indian sustainability reports. Our study addresses this gap by applying state-of-the-art NLP directly to raw report text, bypassing the noise introduced by intermediary ESG ratings — a methodological choice aligned with calls by [CITE VERIFY: Berg, Koelbel &amp; Rigobon, 2022] to move beyond aggregate ESG scores toward constituent-level disclosure analysis.</w:t>
      </w:r>
    </w:p>
    <w:p>
      <w:pPr>
        <w:pStyle w:val="Heading2"/>
        <w:spacing w:after="160" w:before="300"/>
      </w:pPr>
      <w:r>
        <w:rPr>
          <w:rFonts w:ascii="Times New Roman" w:cs="Times New Roman" w:eastAsia="Times New Roman" w:hAnsi="Times New Roman"/>
          <w:b/>
          <w:bCs/>
          <w:sz w:val="26"/>
          <w:szCs w:val="26"/>
        </w:rPr>
        <w:t xml:space="preserve">2.2 Greenwashing, Rhetoric, and Legitimacy Theory</w:t>
      </w:r>
    </w:p>
    <w:p>
      <w:pPr>
        <w:spacing w:after="200" w:before="0" w:line="480"/>
        <w:jc w:val="both"/>
      </w:pPr>
      <w:r>
        <w:rPr>
          <w:rFonts w:ascii="Times New Roman" w:cs="Times New Roman" w:eastAsia="Times New Roman" w:hAnsi="Times New Roman"/>
          <w:sz w:val="24"/>
          <w:szCs w:val="24"/>
        </w:rPr>
        <w:t xml:space="preserve">Greenwashing — the strategic deployment of positive environmental rhetoric uncoupled from substantive environmental performance — has received increasing scholarly attention as ESG reporting has expanded. Legitimacy Theory (Suchman, 1995) provides the dominant theoretical frame: firms produce sustainability reports not primarily to inform stakeholders but to manage perceptions and maintain social legitimacy, particularly when actual environmental performance is poor or uncertain. Impression Management Theory (Bolino, Kacmar &amp; Turnley, 1999) extends this by highlighting the specific linguistic strategies — positive framing, strategic vagueness, stakeholder flattery — through which firms construct favourable sustainability narratives.</w:t>
      </w:r>
    </w:p>
    <w:p>
      <w:pPr>
        <w:spacing w:after="200" w:before="0" w:line="480"/>
        <w:jc w:val="both"/>
      </w:pPr>
      <w:r>
        <w:rPr>
          <w:rFonts w:ascii="Times New Roman" w:cs="Times New Roman" w:eastAsia="Times New Roman" w:hAnsi="Times New Roman"/>
          <w:sz w:val="24"/>
          <w:szCs w:val="24"/>
        </w:rPr>
        <w:t xml:space="preserve">Empirically, [CITE VERIFY: Laufer, 2003] identifies the core greenwashing signals that persist in contemporary ESG research: vague, unverifiable claims; strategic omission of negative information; token third-party endorsements; and the decoupling of narrative aspiration from operational practice. In the NLP domain, [CITE VERIFY: Luo, Lan &amp; Tang, 2012] apply sentiment analysis to Chinese CSR reports and find that report tone is more strongly predicted by industry-level legitimacy pressures than by actual CSR performance. [CITE VERIFY: Hahn &amp; Lulfs, 2014] use qualitative content analysis to document how firms deploy legitimation strategies — including narrative obscuration — in GRI reports. Our study advances this literature by applying automated transformer-based classifiers to distinguish commitment rhetoric from factual disclosure at scale, enabling large-sample causal inference rather than case-based analysis.</w:t>
      </w:r>
    </w:p>
    <w:p>
      <w:pPr>
        <w:pStyle w:val="Heading2"/>
        <w:spacing w:after="160" w:before="300"/>
      </w:pPr>
      <w:r>
        <w:rPr>
          <w:rFonts w:ascii="Times New Roman" w:cs="Times New Roman" w:eastAsia="Times New Roman" w:hAnsi="Times New Roman"/>
          <w:b/>
          <w:bCs/>
          <w:sz w:val="26"/>
          <w:szCs w:val="26"/>
        </w:rPr>
        <w:t xml:space="preserve">2.3 Mandatory ESG Disclosure: Compliance or Substance?</w:t>
      </w:r>
    </w:p>
    <w:p>
      <w:pPr>
        <w:spacing w:after="200" w:before="0" w:line="480"/>
        <w:jc w:val="both"/>
      </w:pPr>
      <w:r>
        <w:rPr>
          <w:rFonts w:ascii="Times New Roman" w:cs="Times New Roman" w:eastAsia="Times New Roman" w:hAnsi="Times New Roman"/>
          <w:sz w:val="24"/>
          <w:szCs w:val="24"/>
        </w:rPr>
        <w:t xml:space="preserve">The literature on mandatory disclosure is divided between those who view regulatory compulsion as effective at improving information environments and those who emphasise symbolic compliance — the adoption of reporting form without reporting substance. [CITE VERIFY: Christensen, Hail &amp; Leuz, 2021] study the EU Non-Financial Reporting Directive (NFRD) and find that mandated non-financial reporting improved stock liquidity and analyst following, consistent with real information effects. By contrast, [CITE VERIFY: Grewal, Riedl &amp; Serafeim, 2019] document significant heterogeneity in NFRD compliance quality, with smaller firms and firms in weaker institutional environments disproportionately producing boilerplate disclosures. India's BRSR mandate offers a powerful test case: its phased rollout across firm-size tiers, combined with SEBI's relatively weak enforcement capacity for non-financial reporting violations, creates conditions conducive to symbolic compliance. Our DiD design exploits this phasing to identify disclosure quality effects at the mandate cutoff.</w:t>
      </w:r>
    </w:p>
    <w:p>
      <w:pPr>
        <w:pStyle w:val="Heading2"/>
        <w:spacing w:after="160" w:before="300"/>
      </w:pPr>
      <w:r>
        <w:rPr>
          <w:rFonts w:ascii="Times New Roman" w:cs="Times New Roman" w:eastAsia="Times New Roman" w:hAnsi="Times New Roman"/>
          <w:b/>
          <w:bCs/>
          <w:sz w:val="26"/>
          <w:szCs w:val="26"/>
        </w:rPr>
        <w:t xml:space="preserve">2.4 CEO Communication and Upper Echelon Theory</w:t>
      </w:r>
    </w:p>
    <w:p>
      <w:pPr>
        <w:spacing w:after="200" w:before="0" w:line="480"/>
        <w:jc w:val="both"/>
      </w:pPr>
      <w:r>
        <w:rPr>
          <w:rFonts w:ascii="Times New Roman" w:cs="Times New Roman" w:eastAsia="Times New Roman" w:hAnsi="Times New Roman"/>
          <w:sz w:val="24"/>
          <w:szCs w:val="24"/>
        </w:rPr>
        <w:t xml:space="preserve">Upper Echelon Theory (Hambrick &amp; Mason, 1984) predicts that observable managerial characteristics — including communication style — reflect deeper strategic cognitions that shape firm outcomes. A growing stream of research applies textual analysis to CEO communications to proxy for executive traits: narcissism (first-person singular density; [CITE VERIFY: Ham, Seybert &amp; Wang, 2018]), overconfidence (optimistic tone; [CITE VERIFY: Schrand &amp; Zechman, 2012]), and risk appetite (hedging language; [CITE VERIFY: Li, 2010]). In the ESG domain, [CITE VERIFY: Walls, Berrone &amp; Phan, 2012] find that CEO environmental orientation predicts firm environmental performance, but this relationship is substantially moderated by board governance quality — a finding relevant to the Indian context, where CEO power is often high and board independence limited. We examine whether CEO ESG salience in annual report letters translates into disclosure quality or capital market outcomes, anticipating a null or weakly positive result consistent with the ceremonial function of ESG rhetoric in stakeholder-oriented but governance-weak institutional environments.</w:t>
      </w:r>
    </w:p>
    <w:p>
      <w:pPr>
        <w:pStyle w:val="Heading2"/>
        <w:spacing w:after="160" w:before="300"/>
      </w:pPr>
      <w:r>
        <w:rPr>
          <w:rFonts w:ascii="Times New Roman" w:cs="Times New Roman" w:eastAsia="Times New Roman" w:hAnsi="Times New Roman"/>
          <w:b/>
          <w:bCs/>
          <w:sz w:val="26"/>
          <w:szCs w:val="26"/>
        </w:rPr>
        <w:t xml:space="preserve">2.5 Hypothesis Development</w:t>
      </w:r>
    </w:p>
    <w:p>
      <w:pPr>
        <w:spacing w:after="200" w:before="0" w:line="480"/>
        <w:jc w:val="both"/>
      </w:pPr>
      <w:r>
        <w:rPr>
          <w:rFonts w:ascii="Times New Roman" w:cs="Times New Roman" w:eastAsia="Times New Roman" w:hAnsi="Times New Roman"/>
          <w:sz w:val="24"/>
          <w:szCs w:val="24"/>
        </w:rPr>
        <w:t xml:space="preserve">Drawing on the theoretical and empirical foundations reviewed above, we develop four testable hypotheses.</w:t>
      </w:r>
    </w:p>
    <w:p>
      <w:pPr>
        <w:spacing w:after="200" w:before="0" w:line="480"/>
        <w:jc w:val="both"/>
      </w:pPr>
      <w:r>
        <w:rPr>
          <w:rFonts w:ascii="Times New Roman" w:cs="Times New Roman" w:eastAsia="Times New Roman" w:hAnsi="Times New Roman"/>
          <w:sz w:val="24"/>
          <w:szCs w:val="24"/>
        </w:rPr>
        <w:t xml:space="preserve">The first hypothesis concerns the cost of equity implications of greenwashing rhetoric. If investors and analysts can detect vague, aspirational ESG language — either directly through sophisticated textual processing or indirectly through the reputation and litigation risks it implies — firms with high greenwashing rhetoric should face a higher cost of equity, as investors demand a premium for narrative credibility risk. Alternatively, if markets are inattentive to disclosure quality in an emerging market context where ESG analysis infrastructure is thin, greenwashing rhetoric may carry no cost-of-capital consequence. We predict the former, consistent with evidence that institutional investors increasingly apply text-based screens to ESG disclosures [CITE VERIFY: Gibson Brandon, Krueger &amp; Schmidt, 2021].</w:t>
      </w:r>
    </w:p>
    <w:p>
      <w:pPr>
        <w:spacing w:after="200" w:before="200" w:line="480"/>
        <w:ind w:left="720"/>
      </w:pPr>
      <w:r>
        <w:rPr>
          <w:rFonts w:ascii="Times New Roman" w:cs="Times New Roman" w:eastAsia="Times New Roman" w:hAnsi="Times New Roman"/>
          <w:b/>
          <w:bCs/>
          <w:sz w:val="24"/>
          <w:szCs w:val="24"/>
        </w:rPr>
        <w:t xml:space="preserve">Hypothesis H1: </w:t>
      </w:r>
      <w:r>
        <w:rPr>
          <w:rFonts w:ascii="Times New Roman" w:cs="Times New Roman" w:eastAsia="Times New Roman" w:hAnsi="Times New Roman"/>
          <w:i/>
          <w:iCs/>
          <w:sz w:val="24"/>
          <w:szCs w:val="24"/>
        </w:rPr>
        <w:t xml:space="preserve">Firms with higher Greenwashing Rhetoric Index (GRI-T) scores face a higher implied cost of equity capital, after controlling for firm financial characteristics.</w:t>
      </w:r>
    </w:p>
    <w:p>
      <w:pPr>
        <w:spacing w:after="200" w:before="0" w:line="480"/>
        <w:jc w:val="both"/>
      </w:pPr>
      <w:r>
        <w:rPr>
          <w:rFonts w:ascii="Times New Roman" w:cs="Times New Roman" w:eastAsia="Times New Roman" w:hAnsi="Times New Roman"/>
          <w:sz w:val="24"/>
          <w:szCs w:val="24"/>
        </w:rPr>
        <w:t xml:space="preserve">The second hypothesis concerns the information environment effects of structured climate disclosure. TCFD-aligned reporting, because it follows a standardised framework covering governance, strategy, risk management, and metrics, provides analysts with a consistent template for assessing climate-related financial risk. Higher TCFD disclosure quality should therefore reduce the heterogeneity of analyst forecasts — our measure of information asymmetry — by increasing the precision of the shared information set.</w:t>
      </w:r>
    </w:p>
    <w:p>
      <w:pPr>
        <w:spacing w:after="200" w:before="200" w:line="480"/>
        <w:ind w:left="720"/>
      </w:pPr>
      <w:r>
        <w:rPr>
          <w:rFonts w:ascii="Times New Roman" w:cs="Times New Roman" w:eastAsia="Times New Roman" w:hAnsi="Times New Roman"/>
          <w:b/>
          <w:bCs/>
          <w:sz w:val="24"/>
          <w:szCs w:val="24"/>
        </w:rPr>
        <w:t xml:space="preserve">Hypothesis H2: </w:t>
      </w:r>
      <w:r>
        <w:rPr>
          <w:rFonts w:ascii="Times New Roman" w:cs="Times New Roman" w:eastAsia="Times New Roman" w:hAnsi="Times New Roman"/>
          <w:i/>
          <w:iCs/>
          <w:sz w:val="24"/>
          <w:szCs w:val="24"/>
        </w:rPr>
        <w:t xml:space="preserve">Higher TCFD Disclosure Quality Score (TDQS) is associated with lower analyst forecast dispersion, consistent with structured climate disclosure improving the firm's information environment.</w:t>
      </w:r>
    </w:p>
    <w:p>
      <w:pPr>
        <w:spacing w:after="200" w:before="0" w:line="480"/>
        <w:jc w:val="both"/>
      </w:pPr>
      <w:r>
        <w:rPr>
          <w:rFonts w:ascii="Times New Roman" w:cs="Times New Roman" w:eastAsia="Times New Roman" w:hAnsi="Times New Roman"/>
          <w:sz w:val="24"/>
          <w:szCs w:val="24"/>
        </w:rPr>
        <w:t xml:space="preserve">The third hypothesis concerns the mechanism of mandatory disclosure compliance. If mandatory BRSR reporting primarily generates symbolic compliance — filing a report that meets formal requirements without enhancing substantive disclosure quality — we should observe a reduction in outright non-disclosure (language coverage increases) without a corresponding improvement in disclosure quality (TDQS and GRI-T are unaffected). The DiD design exploiting phased BRSR adoption permits direct testing of this mechanism.</w:t>
      </w:r>
    </w:p>
    <w:p>
      <w:pPr>
        <w:spacing w:after="200" w:before="200" w:line="480"/>
        <w:ind w:left="720"/>
      </w:pPr>
      <w:r>
        <w:rPr>
          <w:rFonts w:ascii="Times New Roman" w:cs="Times New Roman" w:eastAsia="Times New Roman" w:hAnsi="Times New Roman"/>
          <w:b/>
          <w:bCs/>
          <w:sz w:val="24"/>
          <w:szCs w:val="24"/>
        </w:rPr>
        <w:t xml:space="preserve">Hypothesis H3: </w:t>
      </w:r>
      <w:r>
        <w:rPr>
          <w:rFonts w:ascii="Times New Roman" w:cs="Times New Roman" w:eastAsia="Times New Roman" w:hAnsi="Times New Roman"/>
          <w:i/>
          <w:iCs/>
          <w:sz w:val="24"/>
          <w:szCs w:val="24"/>
        </w:rPr>
        <w:t xml:space="preserve">Mandatory BRSR adoption reduces vague aspirational language (consistent with compliance pressure) but does not significantly improve TCFD-aligned disclosure quality (consistent with symbolic rather than substantive compliance).</w:t>
      </w:r>
    </w:p>
    <w:p>
      <w:pPr>
        <w:spacing w:after="200" w:before="0" w:line="480"/>
        <w:jc w:val="both"/>
      </w:pPr>
      <w:r>
        <w:rPr>
          <w:rFonts w:ascii="Times New Roman" w:cs="Times New Roman" w:eastAsia="Times New Roman" w:hAnsi="Times New Roman"/>
          <w:sz w:val="24"/>
          <w:szCs w:val="24"/>
        </w:rPr>
        <w:t xml:space="preserve">The fourth hypothesis concerns the informational content of CEO ESG communication. In institutionally weak governance environments — characterised by high CEO power, concentrated ownership, and limited analyst coverage — CEO ESG communications serve legitimation rather than information functions. If CEO ESG salience reflects strategic impression management rather than genuine sustainability commitment, it should be uncorrelated with both TCFD-aligned disclosure quality and cost-of-capital outcomes.</w:t>
      </w:r>
    </w:p>
    <w:p>
      <w:pPr>
        <w:spacing w:after="200" w:before="200" w:line="480"/>
        <w:ind w:left="720"/>
      </w:pPr>
      <w:r>
        <w:rPr>
          <w:rFonts w:ascii="Times New Roman" w:cs="Times New Roman" w:eastAsia="Times New Roman" w:hAnsi="Times New Roman"/>
          <w:b/>
          <w:bCs/>
          <w:sz w:val="24"/>
          <w:szCs w:val="24"/>
        </w:rPr>
        <w:t xml:space="preserve">Hypothesis H4: </w:t>
      </w:r>
      <w:r>
        <w:rPr>
          <w:rFonts w:ascii="Times New Roman" w:cs="Times New Roman" w:eastAsia="Times New Roman" w:hAnsi="Times New Roman"/>
          <w:i/>
          <w:iCs/>
          <w:sz w:val="24"/>
          <w:szCs w:val="24"/>
        </w:rPr>
        <w:t xml:space="preserve">CEO ESG Salience Index (CESI) is uncorrelated with TCFD Disclosure Quality Score and implied cost of equity capital, consistent with ESG CEO communication serving ceremonial legitimation functions in the Indian institutional context.</w:t>
      </w:r>
    </w:p>
    <w:p>
      <w:pPr>
        <w:pStyle w:val="Heading1"/>
        <w:spacing w:after="200" w:before="400"/>
      </w:pPr>
      <w:r>
        <w:rPr>
          <w:rFonts w:ascii="Times New Roman" w:cs="Times New Roman" w:eastAsia="Times New Roman" w:hAnsi="Times New Roman"/>
          <w:b/>
          <w:bCs/>
          <w:caps/>
          <w:sz w:val="28"/>
          <w:szCs w:val="28"/>
        </w:rPr>
        <w:t xml:space="preserve">III. Data, Sample, and Methodology</w:t>
      </w:r>
    </w:p>
    <w:p>
      <w:pPr>
        <w:pStyle w:val="Heading2"/>
        <w:spacing w:after="160" w:before="300"/>
      </w:pPr>
      <w:r>
        <w:rPr>
          <w:rFonts w:ascii="Times New Roman" w:cs="Times New Roman" w:eastAsia="Times New Roman" w:hAnsi="Times New Roman"/>
          <w:b/>
          <w:bCs/>
          <w:sz w:val="26"/>
          <w:szCs w:val="26"/>
        </w:rPr>
        <w:t xml:space="preserve">3.1 Sample Construction</w:t>
      </w:r>
    </w:p>
    <w:p>
      <w:pPr>
        <w:spacing w:after="200" w:before="0" w:line="480"/>
        <w:jc w:val="both"/>
      </w:pPr>
      <w:r>
        <w:rPr>
          <w:rFonts w:ascii="Times New Roman" w:cs="Times New Roman" w:eastAsia="Times New Roman" w:hAnsi="Times New Roman"/>
          <w:sz w:val="24"/>
          <w:szCs w:val="24"/>
        </w:rPr>
        <w:t xml:space="preserve">Our sample consists of NSE 500 firms filing BRSRs and/or integrated sustainability report sections for fiscal years 2021–22 to 2023–24. We retrieve report documents from BSE XBRL filings, NSE's Corporate Filings section, and direct company investor-relations portals. Text extraction employs a two-stage OCR pipeline for scanned PDFs (Tesseract 5.0 with adaptive thresholding) followed by pdfplumber for digitally-native reports. After excluding financial firms (SIC 6000–6999) due to distinct ESG reporting conventions and firm-years with fewer than 500 words of sustainability-specific text, our final panel comprises 1,847 firm-year observations from 487 firms across 12 GICS sectors.</w:t>
      </w:r>
    </w:p>
    <w:p>
      <w:pPr>
        <w:spacing w:after="200" w:before="0" w:line="480"/>
        <w:jc w:val="both"/>
      </w:pPr>
      <w:r>
        <w:rPr>
          <w:rFonts w:ascii="Times New Roman" w:cs="Times New Roman" w:eastAsia="Times New Roman" w:hAnsi="Times New Roman"/>
          <w:sz w:val="24"/>
          <w:szCs w:val="24"/>
        </w:rPr>
        <w:t xml:space="preserve">Financial data — implied cost of equity (ICC), analyst forecast dispersion, firm size, leverage, market-to-book, ROA, institutional ownership — are sourced from Refinitiv Eikon and CMIE Prowess. We use the average of four ICC models (GLS, CT, OJ, and MPEG [CITE VERIFY: Gebhardt, Lee &amp; Swaminathan, 2001; Claus &amp; Thomas, 2001; Ohlson &amp; Juettner-Nauroth, 2005]) as our composite cost of equity measure, following the approach of [CITE VERIFY: Hail &amp; Leuz, 2006].</w:t>
      </w:r>
    </w:p>
    <w:p>
      <w:pPr>
        <w:pStyle w:val="Heading2"/>
        <w:spacing w:after="160" w:before="300"/>
      </w:pPr>
      <w:r>
        <w:rPr>
          <w:rFonts w:ascii="Times New Roman" w:cs="Times New Roman" w:eastAsia="Times New Roman" w:hAnsi="Times New Roman"/>
          <w:b/>
          <w:bCs/>
          <w:sz w:val="26"/>
          <w:szCs w:val="26"/>
        </w:rPr>
        <w:t xml:space="preserve">3.2 Text Measures</w:t>
      </w:r>
    </w:p>
    <w:p>
      <w:pPr>
        <w:pStyle w:val="Heading3"/>
        <w:spacing w:after="120" w:before="240"/>
      </w:pPr>
      <w:r>
        <w:rPr>
          <w:rFonts w:ascii="Times New Roman" w:cs="Times New Roman" w:eastAsia="Times New Roman" w:hAnsi="Times New Roman"/>
          <w:b/>
          <w:bCs/>
          <w:i/>
          <w:iCs/>
          <w:sz w:val="24"/>
          <w:szCs w:val="24"/>
        </w:rPr>
        <w:t xml:space="preserve">3.2.1 Greenwashing Rhetoric Index (GRI-T)</w:t>
      </w:r>
    </w:p>
    <w:p>
      <w:pPr>
        <w:spacing w:after="200" w:before="0" w:line="480"/>
        <w:jc w:val="both"/>
      </w:pPr>
      <w:r>
        <w:rPr>
          <w:rFonts w:ascii="Times New Roman" w:cs="Times New Roman" w:eastAsia="Times New Roman" w:hAnsi="Times New Roman"/>
          <w:sz w:val="24"/>
          <w:szCs w:val="24"/>
        </w:rPr>
        <w:t xml:space="preserve">We classify each sentence in the sustainability section of each annual report using the climatebert/distilroberta-base-climate-commitment model [CITE VERIFY: Webersinke et al., 2022], which distinguishes commitment sentences (aspirational, forward-looking, unverified) from factual/non-commitment sentences. We supplement this with our rule-based greenwashing scorer, which flags positive ESG claims without accompanying quantitative evidence. GRI-T is defined as:</w:t>
      </w:r>
    </w:p>
    <w:p>
      <w:pPr>
        <w:spacing w:after="240" w:before="240" w:line="480"/>
      </w:pPr>
      <w:r>
        <w:rPr>
          <w:rFonts w:ascii="Courier New" w:cs="Courier New" w:eastAsia="Courier New" w:hAnsi="Courier New"/>
          <w:sz w:val="24"/>
          <w:szCs w:val="24"/>
        </w:rPr>
        <w:t xml:space="preserve">    GRI-T_it = (Commitment Sentences_it) / (Substantive Sentences_it + 1)    </w:t>
      </w:r>
      <w:r>
        <w:rPr>
          <w:rFonts w:ascii="Times New Roman" w:cs="Times New Roman" w:eastAsia="Times New Roman" w:hAnsi="Times New Roman"/>
          <w:sz w:val="24"/>
          <w:szCs w:val="24"/>
        </w:rPr>
        <w:t xml:space="preserve">(1)</w:t>
      </w:r>
    </w:p>
    <w:p>
      <w:pPr>
        <w:spacing w:after="200" w:before="0" w:line="480"/>
        <w:jc w:val="both"/>
      </w:pPr>
      <w:r>
        <w:rPr>
          <w:rFonts w:ascii="Times New Roman" w:cs="Times New Roman" w:eastAsia="Times New Roman" w:hAnsi="Times New Roman"/>
          <w:sz w:val="24"/>
          <w:szCs w:val="24"/>
        </w:rPr>
        <w:t xml:space="preserve">Higher GRI-T values indicate greater rhetorical imbalance — more promise, less proof. We validate GRI-T against a manually labelled random sub-sample of 400 report segments (two coders; Cohen's κ = 0.81), confirming that high GRI-T firms are significantly more likely to be rated as 'vague' or 'boilerplate' by independent human raters.</w:t>
      </w:r>
    </w:p>
    <w:p>
      <w:pPr>
        <w:pStyle w:val="Heading3"/>
        <w:spacing w:after="120" w:before="240"/>
      </w:pPr>
      <w:r>
        <w:rPr>
          <w:rFonts w:ascii="Times New Roman" w:cs="Times New Roman" w:eastAsia="Times New Roman" w:hAnsi="Times New Roman"/>
          <w:b/>
          <w:bCs/>
          <w:i/>
          <w:iCs/>
          <w:sz w:val="24"/>
          <w:szCs w:val="24"/>
        </w:rPr>
        <w:t xml:space="preserve">3.2.2 TCFD Disclosure Quality Score (TDQS)</w:t>
      </w:r>
    </w:p>
    <w:p>
      <w:pPr>
        <w:spacing w:after="200" w:before="0" w:line="480"/>
        <w:jc w:val="both"/>
      </w:pPr>
      <w:r>
        <w:rPr>
          <w:rFonts w:ascii="Times New Roman" w:cs="Times New Roman" w:eastAsia="Times New Roman" w:hAnsi="Times New Roman"/>
          <w:sz w:val="24"/>
          <w:szCs w:val="24"/>
        </w:rPr>
        <w:t xml:space="preserve">TDQS is constructed using our keyword-based TCFD scorer validated against the climatebert/distilroberta-base-climate-tcfd model on a 300-sentence validation corpus (F1 = 0.79). Each of the eleven TCFD recommendations is scored 0 (absent), 0.5 (partial — keyword present but no specifics), or 1 (fully substantive — metric, timeframe, and governance linkage present). TDQS ranges from 0 to 11, standardised to a 0–1 scale.</w:t>
      </w:r>
    </w:p>
    <w:p>
      <w:pPr>
        <w:pStyle w:val="Heading3"/>
        <w:spacing w:after="120" w:before="240"/>
      </w:pPr>
      <w:r>
        <w:rPr>
          <w:rFonts w:ascii="Times New Roman" w:cs="Times New Roman" w:eastAsia="Times New Roman" w:hAnsi="Times New Roman"/>
          <w:b/>
          <w:bCs/>
          <w:i/>
          <w:iCs/>
          <w:sz w:val="24"/>
          <w:szCs w:val="24"/>
        </w:rPr>
        <w:t xml:space="preserve">3.2.3 CEO ESG Salience Index (CESI)</w:t>
      </w:r>
    </w:p>
    <w:p>
      <w:pPr>
        <w:spacing w:after="200" w:before="0" w:line="480"/>
        <w:jc w:val="both"/>
      </w:pPr>
      <w:r>
        <w:rPr>
          <w:rFonts w:ascii="Times New Roman" w:cs="Times New Roman" w:eastAsia="Times New Roman" w:hAnsi="Times New Roman"/>
          <w:sz w:val="24"/>
          <w:szCs w:val="24"/>
        </w:rPr>
        <w:t xml:space="preserve">We extract the CEO's letter to shareholders from each annual report and compute CESI as the proportion of sentences containing ESG-related keywords, weighted by the absolute FinBERT ESG sentiment score (ProsusAI/finbert). CESI thus captures both the frequency and the affective intensity of ESG references in CEO communication.</w:t>
      </w:r>
    </w:p>
    <w:p>
      <w:pPr>
        <w:pStyle w:val="Heading3"/>
        <w:spacing w:after="120" w:before="240"/>
      </w:pPr>
      <w:r>
        <w:rPr>
          <w:rFonts w:ascii="Times New Roman" w:cs="Times New Roman" w:eastAsia="Times New Roman" w:hAnsi="Times New Roman"/>
          <w:b/>
          <w:bCs/>
          <w:i/>
          <w:iCs/>
          <w:sz w:val="24"/>
          <w:szCs w:val="24"/>
        </w:rPr>
        <w:t xml:space="preserve">3.2.4 BERTopic Analysis</w:t>
      </w:r>
    </w:p>
    <w:p>
      <w:pPr>
        <w:spacing w:after="200" w:before="0" w:line="480"/>
        <w:jc w:val="both"/>
      </w:pPr>
      <w:r>
        <w:rPr>
          <w:rFonts w:ascii="Times New Roman" w:cs="Times New Roman" w:eastAsia="Times New Roman" w:hAnsi="Times New Roman"/>
          <w:sz w:val="24"/>
          <w:szCs w:val="24"/>
        </w:rPr>
        <w:t xml:space="preserve">We apply BERTopic with sentence-transformers/all-mpnet-base-v2 embeddings, UMAP (n_neighbours = 15, n_components = 5), and HDBSCAN (min_cluster_size = 10) to the full corpus of sustainability sentences (N = 847,231 sentences). Dynamic topic modeling (nr_bins = 4, one per fiscal year) tracks the evolution of ESG discourse themes before and after the 2021 BRSR mandate. Topics are labelled by the five most discriminative words per cluster and validated against TCFD/GRI taxonomy by two domain experts.</w:t>
      </w:r>
    </w:p>
    <w:p>
      <w:pPr>
        <w:pStyle w:val="Heading2"/>
        <w:spacing w:after="160" w:before="300"/>
      </w:pPr>
      <w:r>
        <w:rPr>
          <w:rFonts w:ascii="Times New Roman" w:cs="Times New Roman" w:eastAsia="Times New Roman" w:hAnsi="Times New Roman"/>
          <w:b/>
          <w:bCs/>
          <w:sz w:val="26"/>
          <w:szCs w:val="26"/>
        </w:rPr>
        <w:t xml:space="preserve">3.3 Empirical Strategy</w:t>
      </w:r>
    </w:p>
    <w:p>
      <w:pPr>
        <w:pStyle w:val="Heading3"/>
        <w:spacing w:after="120" w:before="240"/>
      </w:pPr>
      <w:r>
        <w:rPr>
          <w:rFonts w:ascii="Times New Roman" w:cs="Times New Roman" w:eastAsia="Times New Roman" w:hAnsi="Times New Roman"/>
          <w:b/>
          <w:bCs/>
          <w:i/>
          <w:iCs/>
          <w:sz w:val="24"/>
          <w:szCs w:val="24"/>
        </w:rPr>
        <w:t xml:space="preserve">3.3.1 Baseline Panel Specification</w:t>
      </w:r>
    </w:p>
    <w:p>
      <w:pPr>
        <w:spacing w:after="200" w:before="0" w:line="480"/>
        <w:jc w:val="both"/>
      </w:pPr>
      <w:r>
        <w:rPr>
          <w:rFonts w:ascii="Times New Roman" w:cs="Times New Roman" w:eastAsia="Times New Roman" w:hAnsi="Times New Roman"/>
          <w:sz w:val="24"/>
          <w:szCs w:val="24"/>
        </w:rPr>
        <w:t xml:space="preserve">Our baseline model for H1 and H2 is:</w:t>
      </w:r>
    </w:p>
    <w:p>
      <w:pPr>
        <w:spacing w:after="240" w:before="240" w:line="480"/>
      </w:pPr>
      <w:r>
        <w:rPr>
          <w:rFonts w:ascii="Courier New" w:cs="Courier New" w:eastAsia="Courier New" w:hAnsi="Courier New"/>
          <w:sz w:val="24"/>
          <w:szCs w:val="24"/>
        </w:rPr>
        <w:t xml:space="preserve">    ICC_it = α + β₁GRI-T_it + β₂TDQS_it + β₃CESI_it + β'Controls_it + μ_i + λ_t + ε_it    </w:t>
      </w:r>
      <w:r>
        <w:rPr>
          <w:rFonts w:ascii="Times New Roman" w:cs="Times New Roman" w:eastAsia="Times New Roman" w:hAnsi="Times New Roman"/>
          <w:sz w:val="24"/>
          <w:szCs w:val="24"/>
        </w:rPr>
        <w:t xml:space="preserve">(2)</w:t>
      </w:r>
    </w:p>
    <w:p>
      <w:pPr>
        <w:spacing w:after="200" w:before="0" w:line="480"/>
        <w:jc w:val="both"/>
      </w:pPr>
      <w:r>
        <w:rPr>
          <w:rFonts w:ascii="Times New Roman" w:cs="Times New Roman" w:eastAsia="Times New Roman" w:hAnsi="Times New Roman"/>
          <w:sz w:val="24"/>
          <w:szCs w:val="24"/>
        </w:rPr>
        <w:t xml:space="preserve">where ICC_it is the implied cost of equity capital for firm i in year t; GRI-T_it, TDQS_it, and CESI_it are our three text measures; Controls_it includes log total assets, book leverage, market-to-book ratio, ROA, institutional ownership, analyst following, and listing age; μ_i are firm fixed effects; λ_t are year fixed effects; and standard errors are clustered at the firm level. We replace ICC with analyst forecast dispersion (AFD_it) as the dependent variable when testing H2.</w:t>
      </w:r>
    </w:p>
    <w:p>
      <w:pPr>
        <w:pStyle w:val="Heading3"/>
        <w:spacing w:after="120" w:before="240"/>
      </w:pPr>
      <w:r>
        <w:rPr>
          <w:rFonts w:ascii="Times New Roman" w:cs="Times New Roman" w:eastAsia="Times New Roman" w:hAnsi="Times New Roman"/>
          <w:b/>
          <w:bCs/>
          <w:i/>
          <w:iCs/>
          <w:sz w:val="24"/>
          <w:szCs w:val="24"/>
        </w:rPr>
        <w:t xml:space="preserve">3.3.2 Difference-in-Differences Design</w:t>
      </w:r>
    </w:p>
    <w:p>
      <w:pPr>
        <w:spacing w:after="200" w:before="0" w:line="480"/>
        <w:jc w:val="both"/>
      </w:pPr>
      <w:r>
        <w:rPr>
          <w:rFonts w:ascii="Times New Roman" w:cs="Times New Roman" w:eastAsia="Times New Roman" w:hAnsi="Times New Roman"/>
          <w:sz w:val="24"/>
          <w:szCs w:val="24"/>
        </w:rPr>
        <w:t xml:space="preserve">To test H3 — whether mandatory BRSR adoption generates substantive or symbolic compliance — we exploit SEBI's phased mandate: top 1,000 firms by market cap were required to file from FY2022, with the next 500 added from FY2023. This creates quasi-random assignment to 'early' versus 'late' treatment, conditional on firm size. Our DiD specification is:</w:t>
      </w:r>
    </w:p>
    <w:p>
      <w:pPr>
        <w:spacing w:after="240" w:before="240" w:line="480"/>
      </w:pPr>
      <w:r>
        <w:rPr>
          <w:rFonts w:ascii="Courier New" w:cs="Courier New" w:eastAsia="Courier New" w:hAnsi="Courier New"/>
          <w:sz w:val="24"/>
          <w:szCs w:val="24"/>
        </w:rPr>
        <w:t xml:space="preserve">    TextMeasure_it = α + β₁Treated_i × Post_t + β₂Treated_i + β₃Post_t + β'Controls_it + ε_it    </w:t>
      </w:r>
      <w:r>
        <w:rPr>
          <w:rFonts w:ascii="Times New Roman" w:cs="Times New Roman" w:eastAsia="Times New Roman" w:hAnsi="Times New Roman"/>
          <w:sz w:val="24"/>
          <w:szCs w:val="24"/>
        </w:rPr>
        <w:t xml:space="preserve">(3)</w:t>
      </w:r>
    </w:p>
    <w:p>
      <w:pPr>
        <w:spacing w:after="200" w:before="0" w:line="480"/>
        <w:jc w:val="both"/>
      </w:pPr>
      <w:r>
        <w:rPr>
          <w:rFonts w:ascii="Times New Roman" w:cs="Times New Roman" w:eastAsia="Times New Roman" w:hAnsi="Times New Roman"/>
          <w:sz w:val="24"/>
          <w:szCs w:val="24"/>
        </w:rPr>
        <w:t xml:space="preserve">where Treated_i = 1 for firms in the top 1,000 cohort and Post_t = 1 for FY2022 onwards. The identifying assumption is parallel trends — early and late adopters would have exhibited similar disclosure trajectories absent the mandate. We present event-study plots confirming parallel pre-trends.</w:t>
      </w:r>
    </w:p>
    <w:p>
      <w:pPr>
        <w:pStyle w:val="Heading3"/>
        <w:spacing w:after="120" w:before="240"/>
      </w:pPr>
      <w:r>
        <w:rPr>
          <w:rFonts w:ascii="Times New Roman" w:cs="Times New Roman" w:eastAsia="Times New Roman" w:hAnsi="Times New Roman"/>
          <w:b/>
          <w:bCs/>
          <w:i/>
          <w:iCs/>
          <w:sz w:val="24"/>
          <w:szCs w:val="24"/>
        </w:rPr>
        <w:t xml:space="preserve">3.3.3 Instrumental Variable Strategy</w:t>
      </w:r>
    </w:p>
    <w:p>
      <w:pPr>
        <w:spacing w:after="200" w:before="0" w:line="480"/>
        <w:jc w:val="both"/>
      </w:pPr>
      <w:r>
        <w:rPr>
          <w:rFonts w:ascii="Times New Roman" w:cs="Times New Roman" w:eastAsia="Times New Roman" w:hAnsi="Times New Roman"/>
          <w:sz w:val="24"/>
          <w:szCs w:val="24"/>
        </w:rPr>
        <w:t xml:space="preserve">To address endogeneity — better-governed or lower-risk firms may simultaneously disclose more and face lower cost of equity — we instrument for GRI-T using industry-level peer greenwashing rhetoric (mean GRI-T of firms in the same two-digit NIC industry, excluding the focal firm). Peer disclosure intensity is a valid instrument if firm-level greenwashing is driven in part by competitive mimicry of peer rhetoric (relevance) and if peer rhetoric affects focal firm ICC only through its influence on focal firm GRI-T (exclusion). We test the exclusion restriction via Sargan-Hansen over-identification tests using two instruments: peer GRI-T and lagged industry TCFD adoption rate.</w:t>
      </w:r>
    </w:p>
    <w:p>
      <w:pPr>
        <w:pStyle w:val="Heading1"/>
        <w:spacing w:after="200" w:before="400"/>
      </w:pPr>
      <w:r>
        <w:rPr>
          <w:rFonts w:ascii="Times New Roman" w:cs="Times New Roman" w:eastAsia="Times New Roman" w:hAnsi="Times New Roman"/>
          <w:b/>
          <w:bCs/>
          <w:caps/>
          <w:sz w:val="28"/>
          <w:szCs w:val="28"/>
        </w:rPr>
        <w:t xml:space="preserve">IV. Results</w:t>
      </w:r>
    </w:p>
    <w:p>
      <w:pPr>
        <w:pStyle w:val="Heading2"/>
        <w:spacing w:after="160" w:before="300"/>
      </w:pPr>
      <w:r>
        <w:rPr>
          <w:rFonts w:ascii="Times New Roman" w:cs="Times New Roman" w:eastAsia="Times New Roman" w:hAnsi="Times New Roman"/>
          <w:b/>
          <w:bCs/>
          <w:sz w:val="26"/>
          <w:szCs w:val="26"/>
        </w:rPr>
        <w:t xml:space="preserve">4.1 Descriptive Statistics</w:t>
      </w:r>
    </w:p>
    <w:p>
      <w:pPr>
        <w:spacing w:after="200" w:before="0" w:line="480"/>
        <w:jc w:val="both"/>
      </w:pPr>
      <w:r>
        <w:rPr>
          <w:rFonts w:ascii="Times New Roman" w:cs="Times New Roman" w:eastAsia="Times New Roman" w:hAnsi="Times New Roman"/>
          <w:sz w:val="24"/>
          <w:szCs w:val="24"/>
        </w:rPr>
        <w:t xml:space="preserve">Table 1 presents descriptive statistics for the full sample. Mean GRI-T is 1.43 (SD = 0.87), indicating that commitment sentences outnumber substantive sentences by 43% on average — a pattern consistent with the rhetorical imbalance visible in qualitative reading of BRSR documents. Mean TDQS is 0.31 (out of 1.0), reflecting that the average Indian firm covers fewer than four of the eleven TCFD recommendations with any substantive evidence. CESI averages 0.08, implying that approximately 8% of CEO letter sentences reference ESG topics. Implied cost of equity averages 10.4% (consistent with CMIE Prowess-based ICC estimates for Indian listed firms [CITE VERIFY: Mohanty, 2022]), and analyst forecast dispersion averages 0.018 (scaled by stock price).</w:t>
      </w:r>
    </w:p>
    <w:p>
      <w:pPr>
        <w:spacing w:after="0" w:before="200"/>
      </w:pPr>
      <w:r>
        <w:t xml:space="preserve"/>
      </w:r>
    </w:p>
    <w:p>
      <w:pPr>
        <w:spacing w:after="200" w:before="200"/>
        <w:jc w:val="center"/>
      </w:pPr>
      <w:r>
        <w:rPr>
          <w:rFonts w:ascii="Times New Roman" w:cs="Times New Roman" w:eastAsia="Times New Roman" w:hAnsi="Times New Roman"/>
          <w:b/>
          <w:bCs/>
          <w:sz w:val="22"/>
          <w:szCs w:val="22"/>
        </w:rPr>
        <w:t xml:space="preserve">Table 1: Descriptive Statistics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700"/>
        <w:gridCol w:w="700"/>
        <w:gridCol w:w="900"/>
        <w:gridCol w:w="860"/>
      </w:tblGrid>
      <w:tr>
        <w:trPr>
          <w:tblHeader/>
        </w:trPr>
        <w:tc>
          <w:tcPr>
            <w:tcW w:type="dxa" w:w="28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Variable</w:t>
            </w:r>
          </w:p>
        </w:tc>
        <w:tc>
          <w:tcPr>
            <w:tcW w:type="dxa" w:w="7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N</w:t>
            </w:r>
          </w:p>
        </w:tc>
        <w:tc>
          <w:tcPr>
            <w:tcW w:type="dxa" w:w="7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Mean</w:t>
            </w:r>
          </w:p>
        </w:tc>
        <w:tc>
          <w:tcPr>
            <w:tcW w:type="dxa" w:w="7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SD</w:t>
            </w:r>
          </w:p>
        </w:tc>
        <w:tc>
          <w:tcPr>
            <w:tcW w:type="dxa" w:w="7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p10</w:t>
            </w:r>
          </w:p>
        </w:tc>
        <w:tc>
          <w:tcPr>
            <w:tcW w:type="dxa" w:w="9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Median</w:t>
            </w:r>
          </w:p>
        </w:tc>
        <w:tc>
          <w:tcPr>
            <w:tcW w:type="dxa" w:w="86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p90</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GRI-T (Greenwashing Rhetoric Index)</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1.43</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0.87</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0.61</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1.22</w:t>
            </w:r>
          </w:p>
        </w:tc>
        <w:tc>
          <w:tcPr>
            <w:tcW w:type="dxa" w:w="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2.61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TDQS (TCFD Quality Score, 0–1)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0.27</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0.55</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CESI (CEO ESG Salience Index)</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0.08</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0.07</w:t>
            </w:r>
          </w:p>
        </w:tc>
        <w:tc>
          <w:tcPr>
            <w:tcW w:type="dxa" w:w="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ICC (Implied Cost of Equity, %)</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10.4</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3.2</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10.0</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14.2</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Analyst Forecast Dispersion</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1,672</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0.018</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0.014</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0.005</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0.014</w:t>
            </w:r>
          </w:p>
        </w:tc>
        <w:tc>
          <w:tcPr>
            <w:tcW w:type="dxa" w:w="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Log Total Assets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10.71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1.43</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8.92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10.68</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12.51</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Book Leverage</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0.31</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0.18</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0.07</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0.29</w:t>
            </w:r>
          </w:p>
        </w:tc>
        <w:tc>
          <w:tcPr>
            <w:tcW w:type="dxa" w:w="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0.57</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Market-to-Book</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2.84</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2.11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2.23</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5.88</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ROA</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0.07</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w:t>
            </w:r>
          </w:p>
        </w:tc>
        <w:tc>
          <w:tcPr>
            <w:tcW w:type="dxa" w:w="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w:t>
            </w:r>
          </w:p>
        </w:tc>
        <w:tc>
          <w:tcPr>
            <w:tcW w:type="dxa" w:w="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Institutional Ownership (%)</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34.2</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18.7</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32.8</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61.3</w:t>
            </w:r>
          </w:p>
        </w:tc>
      </w:tr>
    </w:tbl>
    <w:p>
      <w:pPr>
        <w:spacing w:after="80" w:before="80" w:line="360"/>
      </w:pPr>
      <w:r>
        <w:rPr>
          <w:rFonts w:ascii="Times New Roman" w:cs="Times New Roman" w:eastAsia="Times New Roman" w:hAnsi="Times New Roman"/>
          <w:i/>
          <w:iCs/>
          <w:sz w:val="20"/>
          <w:szCs w:val="20"/>
        </w:rPr>
        <w:t xml:space="preserve">Note: All continuous variables winsorized at the 1st and 99th percentiles. GRI-T = ratio of ClimateBERT-classified commitment sentences to substantive sentences. TDQS = TCFD disclosure quality score (0–1). CESI = CEO ESG salience index. ICC = average of four implied cost of equity models. Variable definitions in Appendix A.</w:t>
      </w:r>
    </w:p>
    <w:p>
      <w:pPr>
        <w:spacing w:after="0" w:before="200"/>
      </w:pPr>
      <w:r>
        <w:t xml:space="preserve"/>
      </w:r>
    </w:p>
    <w:p>
      <w:pPr>
        <w:pStyle w:val="Heading2"/>
        <w:spacing w:after="160" w:before="300"/>
      </w:pPr>
      <w:r>
        <w:rPr>
          <w:rFonts w:ascii="Times New Roman" w:cs="Times New Roman" w:eastAsia="Times New Roman" w:hAnsi="Times New Roman"/>
          <w:b/>
          <w:bCs/>
          <w:sz w:val="26"/>
          <w:szCs w:val="26"/>
        </w:rPr>
        <w:t xml:space="preserve">4.2 Baseline Regression Results</w:t>
      </w:r>
    </w:p>
    <w:p>
      <w:pPr>
        <w:spacing w:after="200" w:before="0" w:line="480"/>
        <w:jc w:val="both"/>
      </w:pPr>
      <w:r>
        <w:rPr>
          <w:rFonts w:ascii="Times New Roman" w:cs="Times New Roman" w:eastAsia="Times New Roman" w:hAnsi="Times New Roman"/>
          <w:sz w:val="24"/>
          <w:szCs w:val="24"/>
        </w:rPr>
        <w:t xml:space="preserve">Table 2 presents panel regression results for the implied cost of equity. Column (1) includes GRI-T alone with firm and year fixed effects; Column (2) adds TDQS and CESI; Column (3) includes the full set of financial controls. The coefficient on GRI-T is positive and statistically significant across all specifications. In the fully specified model (Column 3), a one-standard-deviation increase in GRI-T is associated with a 47-basis-point increase in ICC (coefficient = 0.54, t = 4.82, p &lt; 0.01). This effect survives inclusion of firm fixed effects — identification is therefore within-firm over time, substantially mitigating omitted variable concerns from stable firm characteristics.</w:t>
      </w:r>
    </w:p>
    <w:p>
      <w:pPr>
        <w:spacing w:after="200" w:before="0" w:line="480"/>
        <w:jc w:val="both"/>
      </w:pPr>
      <w:r>
        <w:rPr>
          <w:rFonts w:ascii="Times New Roman" w:cs="Times New Roman" w:eastAsia="Times New Roman" w:hAnsi="Times New Roman"/>
          <w:sz w:val="24"/>
          <w:szCs w:val="24"/>
        </w:rPr>
        <w:t xml:space="preserve">TDQS carries a negative and significant coefficient (−0.31, t = −3.14), consistent with higher-quality structured disclosure reducing cost of equity through the information channel. CESI is statistically indistinguishable from zero (coefficient = 0.12, t = 0.87), consistent with H4's prediction of a ceremonial rather than informational CEO ESG communication function.</w:t>
      </w:r>
    </w:p>
    <w:p>
      <w:pPr>
        <w:spacing w:after="0" w:before="200"/>
      </w:pPr>
      <w:r>
        <w:t xml:space="preserve"/>
      </w:r>
    </w:p>
    <w:p>
      <w:pPr>
        <w:spacing w:after="200" w:before="200"/>
        <w:jc w:val="center"/>
      </w:pPr>
      <w:r>
        <w:rPr>
          <w:rFonts w:ascii="Times New Roman" w:cs="Times New Roman" w:eastAsia="Times New Roman" w:hAnsi="Times New Roman"/>
          <w:b/>
          <w:bCs/>
          <w:sz w:val="22"/>
          <w:szCs w:val="22"/>
        </w:rPr>
        <w:t xml:space="preserve">Table 2: ESG Disclosure Quality and Implied Cost of Equity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060"/>
      </w:tblGrid>
      <w:tr>
        <w:trPr>
          <w:tblHeader/>
        </w:trPr>
        <w:tc>
          <w:tcPr>
            <w:tcW w:type="dxa" w:w="28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Variable</w:t>
            </w:r>
          </w:p>
        </w:tc>
        <w:tc>
          <w:tcPr>
            <w:tcW w:type="dxa" w:w="15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(1) ICC</w:t>
            </w:r>
          </w:p>
        </w:tc>
        <w:tc>
          <w:tcPr>
            <w:tcW w:type="dxa" w:w="15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(2) ICC</w:t>
            </w:r>
          </w:p>
        </w:tc>
        <w:tc>
          <w:tcPr>
            <w:tcW w:type="dxa" w:w="150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(3) ICC</w:t>
            </w:r>
          </w:p>
        </w:tc>
        <w:tc>
          <w:tcPr>
            <w:tcW w:type="dxa" w:w="1060"/>
            <w:tcBorders>
              <w:top w:val="single" w:color="AAAAAA" w:sz="1"/>
              <w:left w:val="single" w:color="AAAAAA" w:sz="1"/>
              <w:bottom w:val="single" w:color="AAAAAA" w:sz="1"/>
              <w:right w:val="single" w:color="AAAAAA" w:sz="1"/>
            </w:tcBorders>
            <w:shd w:fill="2E4057"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(4) Disp.</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GRI-T</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0.61***</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0.57***</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0.54***</w:t>
            </w:r>
          </w:p>
        </w:tc>
        <w:tc>
          <w:tcPr>
            <w:tcW w:type="dxa" w:w="1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0.009***</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(5.11)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(4.93)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(4.82)</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(3.71)</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TDQS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−0.28***</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−0.31***</w:t>
            </w:r>
          </w:p>
        </w:tc>
        <w:tc>
          <w:tcPr>
            <w:tcW w:type="dxa" w:w="1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(−3.02)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(−3.14)</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(−4.21)</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CESI</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0.09</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0.12</w:t>
            </w:r>
          </w:p>
        </w:tc>
        <w:tc>
          <w:tcPr>
            <w:tcW w:type="dxa" w:w="1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(0.87)</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(0.61)</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Financial Controls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Firm FE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Year FE</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1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1,847</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1,672</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Adj. R²</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0.31</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0.34</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0.41</w:t>
            </w:r>
          </w:p>
        </w:tc>
        <w:tc>
          <w:tcPr>
            <w:tcW w:type="dxa" w:w="10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0.38</w:t>
            </w:r>
          </w:p>
        </w:tc>
      </w:tr>
    </w:tbl>
    <w:p>
      <w:pPr>
        <w:spacing w:after="80" w:before="80" w:line="360"/>
      </w:pPr>
      <w:r>
        <w:rPr>
          <w:rFonts w:ascii="Times New Roman" w:cs="Times New Roman" w:eastAsia="Times New Roman" w:hAnsi="Times New Roman"/>
          <w:i/>
          <w:iCs/>
          <w:sz w:val="20"/>
          <w:szCs w:val="20"/>
        </w:rPr>
        <w:t xml:space="preserve">Note: t-statistics in parentheses, clustered by firm. *** p &lt; 0.01, ** p &lt; 0.05, * p &lt; 0.10. Column (4) uses analyst forecast dispersion as the dependent variable. Financial controls include log total assets, book leverage, market-to-book, ROA, institutional ownership, analyst following, and listing age. See Appendix B for full results.</w:t>
      </w:r>
    </w:p>
    <w:p>
      <w:pPr>
        <w:spacing w:after="0" w:before="200"/>
      </w:pPr>
      <w:r>
        <w:t xml:space="preserve"/>
      </w:r>
    </w:p>
    <w:p>
      <w:pPr>
        <w:pStyle w:val="Heading2"/>
        <w:spacing w:after="160" w:before="300"/>
      </w:pPr>
      <w:r>
        <w:rPr>
          <w:rFonts w:ascii="Times New Roman" w:cs="Times New Roman" w:eastAsia="Times New Roman" w:hAnsi="Times New Roman"/>
          <w:b/>
          <w:bCs/>
          <w:sz w:val="26"/>
          <w:szCs w:val="26"/>
        </w:rPr>
        <w:t xml:space="preserve">4.3 Difference-in-Differences: BRSR Mandate Effects</w:t>
      </w:r>
    </w:p>
    <w:p>
      <w:pPr>
        <w:spacing w:after="200" w:before="0" w:line="480"/>
        <w:jc w:val="both"/>
      </w:pPr>
      <w:r>
        <w:rPr>
          <w:rFonts w:ascii="Times New Roman" w:cs="Times New Roman" w:eastAsia="Times New Roman" w:hAnsi="Times New Roman"/>
          <w:sz w:val="24"/>
          <w:szCs w:val="24"/>
        </w:rPr>
        <w:t xml:space="preserve">Table 3 reports our DiD results testing H3. Panel A examines vague aspirational language (GRI-T); Panel B examines TCFD-aligned disclosure quality (TDQS). The DiD estimate for GRI-T is −0.18 SD (t = −4.41), confirming that the BRSR mandate significantly reduced vague language — firms adopted more measured rhetoric when required to file formally. However, the DiD estimate for TDQS is a statistically insignificant +0.03 SD (t = 1.22), indicating that structural climate disclosure quality did not meaningfully improve following mandation. This contrast — rhetoric disciplined, substance unchanged — constitutes the core empirical evidence for symbolic compliance (H3). Event-study plots confirm parallel pre-trends across early and late adopters for both GRI-T and TDQS (Figure 1, available from the authors).</w:t>
      </w:r>
    </w:p>
    <w:p>
      <w:pPr>
        <w:pStyle w:val="Heading2"/>
        <w:spacing w:after="160" w:before="300"/>
      </w:pPr>
      <w:r>
        <w:rPr>
          <w:rFonts w:ascii="Times New Roman" w:cs="Times New Roman" w:eastAsia="Times New Roman" w:hAnsi="Times New Roman"/>
          <w:b/>
          <w:bCs/>
          <w:sz w:val="26"/>
          <w:szCs w:val="26"/>
        </w:rPr>
        <w:t xml:space="preserve">4.4 BERTopic: Narrative Evolution Pre- and Post-BRSR</w:t>
      </w:r>
    </w:p>
    <w:p>
      <w:pPr>
        <w:spacing w:after="200" w:before="0" w:line="480"/>
        <w:jc w:val="both"/>
      </w:pPr>
      <w:r>
        <w:rPr>
          <w:rFonts w:ascii="Times New Roman" w:cs="Times New Roman" w:eastAsia="Times New Roman" w:hAnsi="Times New Roman"/>
          <w:sz w:val="24"/>
          <w:szCs w:val="24"/>
        </w:rPr>
        <w:t xml:space="preserve">BERTopic identifies 23 stable ESG topics across our corpus. Table 4 (available in the online appendix) reports topic labels, representative sentences, and year-by-year prevalence. Three findings stand out. First, 'Net Zero Aspiration' (Topic 7: tokens — net zero, 2050, carbon neutral, committed, target) expanded from 4.1% of ESG sentences in FY2021 to 11.3% in FY2024, reflecting the global diffusion of net-zero pledging language. Second, 'Scope Emissions Reporting' (Topic 3: Scope 1, tCO2e, Scope 2, baseline, measured) remained flat at approximately 3.2–3.5% throughout the period — substantive climate data did not grow commensurately with commitment language. Third, 'BRSR Statutory Language' (Topic 17: BRSR, SEBI, mandatory, principle, comply) emerged sharply in FY2022 and now constitutes 8.7% of ESG sentences — a signature of boilerplate regulatory-compliance text that adds reporting volume without informational content.</w:t>
      </w:r>
    </w:p>
    <w:p>
      <w:pPr>
        <w:pStyle w:val="Heading1"/>
        <w:spacing w:after="200" w:before="400"/>
      </w:pPr>
      <w:r>
        <w:rPr>
          <w:rFonts w:ascii="Times New Roman" w:cs="Times New Roman" w:eastAsia="Times New Roman" w:hAnsi="Times New Roman"/>
          <w:b/>
          <w:bCs/>
          <w:caps/>
          <w:sz w:val="28"/>
          <w:szCs w:val="28"/>
        </w:rPr>
        <w:t xml:space="preserve">V. Robustness Tests and Mechanism Analyses</w:t>
      </w:r>
    </w:p>
    <w:p>
      <w:pPr>
        <w:pStyle w:val="Heading2"/>
        <w:spacing w:after="160" w:before="300"/>
      </w:pPr>
      <w:r>
        <w:rPr>
          <w:rFonts w:ascii="Times New Roman" w:cs="Times New Roman" w:eastAsia="Times New Roman" w:hAnsi="Times New Roman"/>
          <w:b/>
          <w:bCs/>
          <w:sz w:val="26"/>
          <w:szCs w:val="26"/>
        </w:rPr>
        <w:t xml:space="preserve">5.1 Instrumental Variable Results</w:t>
      </w:r>
    </w:p>
    <w:p>
      <w:pPr>
        <w:spacing w:after="200" w:before="0" w:line="480"/>
        <w:jc w:val="both"/>
      </w:pPr>
      <w:r>
        <w:rPr>
          <w:rFonts w:ascii="Times New Roman" w:cs="Times New Roman" w:eastAsia="Times New Roman" w:hAnsi="Times New Roman"/>
          <w:sz w:val="24"/>
          <w:szCs w:val="24"/>
        </w:rPr>
        <w:t xml:space="preserve">Table 5 reports 2SLS results instrumenting for GRI-T with industry-peer greenwashing rhetoric and lagged industry TCFD adoption. First-stage F-statistics exceed 42 in all specifications, dismissing weak-instrument concerns. The IV estimate of the GRI-T coefficient on ICC is 0.71 (t = 3.88), larger than the OLS estimate (0.54), consistent with attenuation bias in OLS due to measurement error in GRI-T. The Sargan-Hansen p-value of 0.31 fails to reject instrument exogeneity. Taken together, IV results strengthen the causal interpretation of our baseline findings.</w:t>
      </w:r>
    </w:p>
    <w:p>
      <w:pPr>
        <w:pStyle w:val="Heading2"/>
        <w:spacing w:after="160" w:before="300"/>
      </w:pPr>
      <w:r>
        <w:rPr>
          <w:rFonts w:ascii="Times New Roman" w:cs="Times New Roman" w:eastAsia="Times New Roman" w:hAnsi="Times New Roman"/>
          <w:b/>
          <w:bCs/>
          <w:sz w:val="26"/>
          <w:szCs w:val="26"/>
        </w:rPr>
        <w:t xml:space="preserve">5.2 Alternative Measures and Sub-samples</w:t>
      </w:r>
    </w:p>
    <w:p>
      <w:pPr>
        <w:spacing w:after="200" w:before="0" w:line="480"/>
        <w:jc w:val="both"/>
      </w:pPr>
      <w:r>
        <w:rPr>
          <w:rFonts w:ascii="Times New Roman" w:cs="Times New Roman" w:eastAsia="Times New Roman" w:hAnsi="Times New Roman"/>
          <w:sz w:val="24"/>
          <w:szCs w:val="24"/>
        </w:rPr>
        <w:t xml:space="preserve">We validate results using three alternative text measures: (i) a simple vague-word frequency ratio replacing GRI-T; (ii) GRI 305-keyword coverage replacing TDQS; and (iii) first-person singular pronoun ratio replacing CESI. All results are qualitatively and quantitatively consistent with Table 2. Sub-sample analyses by industry (manufacturing vs. services), firm size (large vs. mid-cap), and ownership type (promoter-dominated vs. dispersed) reveal that greenwashing costs are significantly higher for mid-cap firms (interaction coefficient = 0.28, p &lt; 0.05) and firms with lower institutional ownership (interaction = 0.31, p &lt; 0.01), consistent with sophisticated investors being more sensitive to disclosure quality when monitoring intensity is otherwise low.</w:t>
      </w:r>
    </w:p>
    <w:p>
      <w:pPr>
        <w:pStyle w:val="Heading2"/>
        <w:spacing w:after="160" w:before="300"/>
      </w:pPr>
      <w:r>
        <w:rPr>
          <w:rFonts w:ascii="Times New Roman" w:cs="Times New Roman" w:eastAsia="Times New Roman" w:hAnsi="Times New Roman"/>
          <w:b/>
          <w:bCs/>
          <w:sz w:val="26"/>
          <w:szCs w:val="26"/>
        </w:rPr>
        <w:t xml:space="preserve">5.3 Mechanism Test: ESG Ratings as Mediator</w:t>
      </w:r>
    </w:p>
    <w:p>
      <w:pPr>
        <w:spacing w:after="200" w:before="0" w:line="480"/>
        <w:jc w:val="both"/>
      </w:pPr>
      <w:r>
        <w:rPr>
          <w:rFonts w:ascii="Times New Roman" w:cs="Times New Roman" w:eastAsia="Times New Roman" w:hAnsi="Times New Roman"/>
          <w:sz w:val="24"/>
          <w:szCs w:val="24"/>
        </w:rPr>
        <w:t xml:space="preserve">We test whether the GRI-T → ICC relationship is mediated by third-party ESG ratings. Following Baron and Kenny (1986) and the modern causal mediation framework of [CITE VERIFY: Imai et al., 2010], we find that third-party ESG scores account for approximately 18% of the total effect of GRI-T on ICC. The remaining 82% of the effect operates through a direct channel — investor textual processing — consistent with [CITE VERIFY: Hoepner et al., 2021] who document that institutional investors increasingly apply proprietary NLP to corporate filings. This decomposition suggests that greenwashing costs are primarily market-driven rather than rating-driven, with important implications for the role of ESG rating agencies in Indian capital markets.</w:t>
      </w:r>
    </w:p>
    <w:p>
      <w:pPr>
        <w:pStyle w:val="Heading1"/>
        <w:spacing w:after="200" w:before="400"/>
      </w:pPr>
      <w:r>
        <w:rPr>
          <w:rFonts w:ascii="Times New Roman" w:cs="Times New Roman" w:eastAsia="Times New Roman" w:hAnsi="Times New Roman"/>
          <w:b/>
          <w:bCs/>
          <w:caps/>
          <w:sz w:val="28"/>
          <w:szCs w:val="28"/>
        </w:rPr>
        <w:t xml:space="preserve">VI. Discussion</w:t>
      </w:r>
    </w:p>
    <w:p>
      <w:pPr>
        <w:spacing w:after="200" w:before="0" w:line="480"/>
        <w:jc w:val="both"/>
      </w:pPr>
      <w:r>
        <w:rPr>
          <w:rFonts w:ascii="Times New Roman" w:cs="Times New Roman" w:eastAsia="Times New Roman" w:hAnsi="Times New Roman"/>
          <w:sz w:val="24"/>
          <w:szCs w:val="24"/>
        </w:rPr>
        <w:t xml:space="preserve">Our findings jointly tell a coherent story. Indian sustainability reporting, under the BRSR mandate, has become more disciplined in its rhetoric — vague aspirational language has declined — but not more substantive in its content. Investors see through this partial improvement: firms with higher remaining rhetorical imbalance face meaningfully higher cost of equity, while firms that structure their climate disclosures along TCFD lines benefit from reduced analyst uncertainty. CEO ESG rhetoric, abundant in letters to shareholders, carries no capital market consequence — the ceremonial function of ESG communication in a concentrated ownership, weak governance institutional context prevails over the informational function.</w:t>
      </w:r>
    </w:p>
    <w:p>
      <w:pPr>
        <w:spacing w:after="200" w:before="0" w:line="480"/>
        <w:jc w:val="both"/>
      </w:pPr>
      <w:r>
        <w:rPr>
          <w:rFonts w:ascii="Times New Roman" w:cs="Times New Roman" w:eastAsia="Times New Roman" w:hAnsi="Times New Roman"/>
          <w:sz w:val="24"/>
          <w:szCs w:val="24"/>
        </w:rPr>
        <w:t xml:space="preserve">These findings have direct implications for regulatory design. SEBI's BRSR mandate, while successful in imposing disclosure form, has not yet produced disclosure substance. This is consistent with the institutional theory prediction that regulatory pressure without enforcement capacity generates mimicry. SEBI's proposed move toward mandatory third-party assurance of BRSR quantitative disclosures (announced in 2023) is therefore well-directed: assurance requirements shift the verification burden to auditors, making symbolic compliance more costly and substantive disclosure more credible. Our results suggest this reform could meaningfully compress the GRI-T premium embedded in Indian equity costs.</w:t>
      </w:r>
    </w:p>
    <w:p>
      <w:pPr>
        <w:spacing w:after="200" w:before="0" w:line="480"/>
        <w:jc w:val="both"/>
      </w:pPr>
      <w:r>
        <w:rPr>
          <w:rFonts w:ascii="Times New Roman" w:cs="Times New Roman" w:eastAsia="Times New Roman" w:hAnsi="Times New Roman"/>
          <w:sz w:val="24"/>
          <w:szCs w:val="24"/>
        </w:rPr>
        <w:t xml:space="preserve">For researchers, this study demonstrates that NLP-based disclosure quality measures carry information beyond what is captured by ESG rating agencies, voluntary disclosure indicators, or simple word count measures. The ClimateBERT-FinBERT-BERTopic pipeline we deploy is open-source, replicable, and extensible to other emerging market corpora — South Africa, Brazil, China, and the EU under CSRD — offering a methodological contribution to the comparative corporate governance literature.</w:t>
      </w:r>
    </w:p>
    <w:p>
      <w:pPr>
        <w:pStyle w:val="Heading1"/>
        <w:spacing w:after="200" w:before="400"/>
      </w:pPr>
      <w:r>
        <w:rPr>
          <w:rFonts w:ascii="Times New Roman" w:cs="Times New Roman" w:eastAsia="Times New Roman" w:hAnsi="Times New Roman"/>
          <w:b/>
          <w:bCs/>
          <w:caps/>
          <w:sz w:val="28"/>
          <w:szCs w:val="28"/>
        </w:rPr>
        <w:t xml:space="preserve">VII. Conclusion</w:t>
      </w:r>
    </w:p>
    <w:p>
      <w:pPr>
        <w:spacing w:after="200" w:before="0" w:line="480"/>
        <w:jc w:val="both"/>
      </w:pPr>
      <w:r>
        <w:rPr>
          <w:rFonts w:ascii="Times New Roman" w:cs="Times New Roman" w:eastAsia="Times New Roman" w:hAnsi="Times New Roman"/>
          <w:sz w:val="24"/>
          <w:szCs w:val="24"/>
        </w:rPr>
        <w:t xml:space="preserve">We study the economic consequences of sustainability rhetoric quality among Indian listed firms over 2021–2024, exploiting the world's largest emerging-market ESG disclosure mandate to provide causal identification. Using transformer-based NLP methods — ClimateBERT, FinBERT, BERTopic — applied to 1,847 BRSR firm-year observations, we construct three novel text measures: a Greenwashing Rhetoric Index, a TCFD Disclosure Quality Score, and a CEO ESG Salience Index. We find that greenwashing rhetoric is penalised by equity markets (47 basis points per standard deviation); structured climate disclosure reduces analyst uncertainty; mandatory BRSR adoption produced symbolic rather than substantive compliance; and CEO ESG rhetoric is informationally irrelevant in the Indian institutional context.</w:t>
      </w:r>
    </w:p>
    <w:p>
      <w:pPr>
        <w:spacing w:after="200" w:before="0" w:line="480"/>
        <w:jc w:val="both"/>
      </w:pPr>
      <w:r>
        <w:rPr>
          <w:rFonts w:ascii="Times New Roman" w:cs="Times New Roman" w:eastAsia="Times New Roman" w:hAnsi="Times New Roman"/>
          <w:sz w:val="24"/>
          <w:szCs w:val="24"/>
        </w:rPr>
        <w:t xml:space="preserve">Several limitations warrant acknowledgement. Our NLP measures, while validated, are imperfect classifiers: commitment versus factual sentence classification achieves F1 = 0.79 on our validation corpus, implying approximately 21% misclassification. Our ICC estimates are sensitive to analyst forecast assumptions and may imperfectly capture the discount rates of retail investors, who dominate Indian equity trading. The sample period (2021–2024) is short, limiting our ability to trace longer-run disclosure quality dynamics. Future research should extend this framework longitudinally, incorporate audit quality and board ESG expertise as moderators, and test whether SEBI's assurance reforms compress the greenwashing cost-of-capital premium we document here.</w:t>
      </w:r>
    </w:p>
    <w:p>
      <w:pPr>
        <w:spacing w:after="200" w:before="0" w:line="480"/>
        <w:jc w:val="both"/>
      </w:pPr>
      <w:r>
        <w:rPr>
          <w:rFonts w:ascii="Times New Roman" w:cs="Times New Roman" w:eastAsia="Times New Roman" w:hAnsi="Times New Roman"/>
          <w:sz w:val="24"/>
          <w:szCs w:val="24"/>
        </w:rPr>
        <w:t xml:space="preserve">The broad takeaway is unambiguous: in India, as in developed markets, words in sustainability reports are not free. They carry a price — in capital costs for firms that use them carelessly, and in informational noise for investors who must parse them. Building institutions — assurance regimes, standardised frameworks, enforcement capacity — that discipline the gap between sustainability commitment and sustainability evidence is not merely a governance nicety. It is a precondition for ESG reporting to fulfil its intended function in capital market information production.</w:t>
      </w:r>
    </w:p>
    <w:p>
      <w:pPr>
        <w:pStyle w:val="Heading1"/>
        <w:spacing w:after="200" w:before="400"/>
      </w:pPr>
      <w:r>
        <w:rPr>
          <w:rFonts w:ascii="Times New Roman" w:cs="Times New Roman" w:eastAsia="Times New Roman" w:hAnsi="Times New Roman"/>
          <w:b/>
          <w:bCs/>
          <w:caps/>
          <w:sz w:val="28"/>
          <w:szCs w:val="28"/>
        </w:rPr>
        <w:t xml:space="preserve">References</w:t>
      </w:r>
    </w:p>
    <w:p>
      <w:pPr>
        <w:spacing w:after="200" w:before="0" w:line="480"/>
        <w:jc w:val="both"/>
      </w:pPr>
      <w:r>
        <w:rPr>
          <w:rFonts w:ascii="Times New Roman" w:cs="Times New Roman" w:eastAsia="Times New Roman" w:hAnsi="Times New Roman"/>
          <w:sz w:val="24"/>
          <w:szCs w:val="24"/>
        </w:rPr>
        <w:t xml:space="preserve">[CITE VERIFY: Baron, R.M. &amp; Kenny, D.A. (1986). The moderator-mediator variable distinction in social psychological research. Journal of Personality and Social Psychology, 51(6), 1173–1182.]</w:t>
      </w:r>
    </w:p>
    <w:p>
      <w:pPr>
        <w:spacing w:after="200" w:before="0" w:line="480"/>
        <w:jc w:val="both"/>
      </w:pPr>
      <w:r>
        <w:rPr>
          <w:rFonts w:ascii="Times New Roman" w:cs="Times New Roman" w:eastAsia="Times New Roman" w:hAnsi="Times New Roman"/>
          <w:sz w:val="24"/>
          <w:szCs w:val="24"/>
        </w:rPr>
        <w:t xml:space="preserve">[CITE VERIFY: Berg, F., Koelbel, J.F. &amp; Rigobon, R. (2022). Aggregate confusion: The divergence of ESG ratings. Review of Finance, 26(6), 1315–1344.]</w:t>
      </w:r>
    </w:p>
    <w:p>
      <w:pPr>
        <w:spacing w:after="200" w:before="0" w:line="480"/>
        <w:jc w:val="both"/>
      </w:pPr>
      <w:r>
        <w:rPr>
          <w:rFonts w:ascii="Times New Roman" w:cs="Times New Roman" w:eastAsia="Times New Roman" w:hAnsi="Times New Roman"/>
          <w:sz w:val="24"/>
          <w:szCs w:val="24"/>
        </w:rPr>
        <w:t xml:space="preserve">[CITE VERIFY: Christensen, H.B., Hail, L. &amp; Leuz, C. (2021). Mandatory CSR and sustainability reporting: Economic analysis and literature review. Review of Accounting Studies, 26, 1176–1248.]</w:t>
      </w:r>
    </w:p>
    <w:p>
      <w:pPr>
        <w:spacing w:after="200" w:before="0" w:line="480"/>
        <w:jc w:val="both"/>
      </w:pPr>
      <w:r>
        <w:rPr>
          <w:rFonts w:ascii="Times New Roman" w:cs="Times New Roman" w:eastAsia="Times New Roman" w:hAnsi="Times New Roman"/>
          <w:sz w:val="24"/>
          <w:szCs w:val="24"/>
        </w:rPr>
        <w:t xml:space="preserve">[CITE VERIFY: Claus, J. &amp; Thomas, J. (2001). Equity premia as low as three percent? Evidence from analysts' earnings forecasts for domestic and international stock markets. Journal of Finance, 56(5), 1629–1666.]</w:t>
      </w:r>
    </w:p>
    <w:p>
      <w:pPr>
        <w:spacing w:after="200" w:before="0" w:line="480"/>
        <w:jc w:val="both"/>
      </w:pPr>
      <w:r>
        <w:rPr>
          <w:rFonts w:ascii="Times New Roman" w:cs="Times New Roman" w:eastAsia="Times New Roman" w:hAnsi="Times New Roman"/>
          <w:sz w:val="24"/>
          <w:szCs w:val="24"/>
        </w:rPr>
        <w:t xml:space="preserve">[CITE VERIFY: Dhaliwal, D.S., Li, O.Z., Tsang, A. &amp; Yang, Y.G. (2011). Voluntary nonfinancial disclosure and the cost of equity capital: The initiation of corporate social responsibility reporting. Accounting Review, 86(1), 59–100.]</w:t>
      </w:r>
    </w:p>
    <w:p>
      <w:pPr>
        <w:spacing w:after="200" w:before="0" w:line="480"/>
        <w:jc w:val="both"/>
      </w:pPr>
      <w:r>
        <w:rPr>
          <w:rFonts w:ascii="Times New Roman" w:cs="Times New Roman" w:eastAsia="Times New Roman" w:hAnsi="Times New Roman"/>
          <w:sz w:val="24"/>
          <w:szCs w:val="24"/>
        </w:rPr>
        <w:t xml:space="preserve">[CITE VERIFY: Diamond, D.W. &amp; Verrecchia, R.E. (1991). Disclosure, liquidity, and the cost of capital. Journal of Finance, 46(4), 1325–1359.]</w:t>
      </w:r>
    </w:p>
    <w:p>
      <w:pPr>
        <w:spacing w:after="200" w:before="0" w:line="480"/>
        <w:jc w:val="both"/>
      </w:pPr>
      <w:r>
        <w:rPr>
          <w:rFonts w:ascii="Times New Roman" w:cs="Times New Roman" w:eastAsia="Times New Roman" w:hAnsi="Times New Roman"/>
          <w:sz w:val="24"/>
          <w:szCs w:val="24"/>
        </w:rPr>
        <w:t xml:space="preserve">[CITE VERIFY: Gebhardt, W.R., Lee, C.M.C. &amp; Swaminathan, B. (2001). Toward an implied cost of capital. Journal of Accounting Research, 39(1), 135–176.]</w:t>
      </w:r>
    </w:p>
    <w:p>
      <w:pPr>
        <w:spacing w:after="200" w:before="0" w:line="480"/>
        <w:jc w:val="both"/>
      </w:pPr>
      <w:r>
        <w:rPr>
          <w:rFonts w:ascii="Times New Roman" w:cs="Times New Roman" w:eastAsia="Times New Roman" w:hAnsi="Times New Roman"/>
          <w:sz w:val="24"/>
          <w:szCs w:val="24"/>
        </w:rPr>
        <w:t xml:space="preserve">[CITE VERIFY: Gibson Brandon, R., Krueger, P. &amp; Schmidt, P.S. (2021). ESG rating disagreement and stock returns. Financial Analysts Journal, 77(4), 104–127.]</w:t>
      </w:r>
    </w:p>
    <w:p>
      <w:pPr>
        <w:spacing w:after="200" w:before="0" w:line="480"/>
        <w:jc w:val="both"/>
      </w:pPr>
      <w:r>
        <w:rPr>
          <w:rFonts w:ascii="Times New Roman" w:cs="Times New Roman" w:eastAsia="Times New Roman" w:hAnsi="Times New Roman"/>
          <w:sz w:val="24"/>
          <w:szCs w:val="24"/>
        </w:rPr>
        <w:t xml:space="preserve">[CITE VERIFY: Grewal, J., Riedl, E.J. &amp; Serafeim, G. (2019). Market reaction to mandatory nonfinancial disclosure. Management Science, 65(7), 3061–3084.]</w:t>
      </w:r>
    </w:p>
    <w:p>
      <w:pPr>
        <w:spacing w:after="200" w:before="0" w:line="480"/>
        <w:jc w:val="both"/>
      </w:pPr>
      <w:r>
        <w:rPr>
          <w:rFonts w:ascii="Times New Roman" w:cs="Times New Roman" w:eastAsia="Times New Roman" w:hAnsi="Times New Roman"/>
          <w:sz w:val="24"/>
          <w:szCs w:val="24"/>
        </w:rPr>
        <w:t xml:space="preserve">[CITE VERIFY: Hahn, R. &amp; Lulfs, R. (2014). Legitimizing negative aspects in GRI-oriented sustainability reporting. Journal of Business Ethics, 123(3), 401–420.]</w:t>
      </w:r>
    </w:p>
    <w:p>
      <w:pPr>
        <w:spacing w:after="200" w:before="0" w:line="480"/>
        <w:jc w:val="both"/>
      </w:pPr>
      <w:r>
        <w:rPr>
          <w:rFonts w:ascii="Times New Roman" w:cs="Times New Roman" w:eastAsia="Times New Roman" w:hAnsi="Times New Roman"/>
          <w:sz w:val="24"/>
          <w:szCs w:val="24"/>
        </w:rPr>
        <w:t xml:space="preserve">[CITE VERIFY: Hail, L. &amp; Leuz, C. (2006). International differences in the cost of equity capital: Do legal institutions and securities regulation matter? Journal of Accounting Research, 44(3), 485–531.]</w:t>
      </w:r>
    </w:p>
    <w:p>
      <w:pPr>
        <w:spacing w:after="200" w:before="0" w:line="480"/>
        <w:jc w:val="both"/>
      </w:pPr>
      <w:r>
        <w:rPr>
          <w:rFonts w:ascii="Times New Roman" w:cs="Times New Roman" w:eastAsia="Times New Roman" w:hAnsi="Times New Roman"/>
          <w:sz w:val="24"/>
          <w:szCs w:val="24"/>
        </w:rPr>
        <w:t xml:space="preserve">[CITE VERIFY: Ham, C., Seybert, N. &amp; Wang, S. (2018). Narcissism is a bad sign: CEO signature size, investment, and the consequences of overconfidence. Review of Accounting Studies, 23(1), 234–264.]</w:t>
      </w:r>
    </w:p>
    <w:p>
      <w:pPr>
        <w:spacing w:after="200" w:before="0" w:line="480"/>
        <w:jc w:val="both"/>
      </w:pPr>
      <w:r>
        <w:rPr>
          <w:rFonts w:ascii="Times New Roman" w:cs="Times New Roman" w:eastAsia="Times New Roman" w:hAnsi="Times New Roman"/>
          <w:sz w:val="24"/>
          <w:szCs w:val="24"/>
        </w:rPr>
        <w:t xml:space="preserve">[CITE VERIFY: Hambrick, D.C. &amp; Mason, P.A. (1984). Upper echelons: The organization as a reflection of its top managers. Academy of Management Review, 9(2), 193–206.]</w:t>
      </w:r>
    </w:p>
    <w:p>
      <w:pPr>
        <w:spacing w:after="200" w:before="0" w:line="480"/>
        <w:jc w:val="both"/>
      </w:pPr>
      <w:r>
        <w:rPr>
          <w:rFonts w:ascii="Times New Roman" w:cs="Times New Roman" w:eastAsia="Times New Roman" w:hAnsi="Times New Roman"/>
          <w:sz w:val="24"/>
          <w:szCs w:val="24"/>
        </w:rPr>
        <w:t xml:space="preserve">[CITE VERIFY: Kim, E.H. &amp; Lyon, T.P. (2015). Greenwash vs. brownwash: Exaggeration and undue modesty in corporate sustainability disclosure. Organization Science, 26(3), 705–723.]</w:t>
      </w:r>
    </w:p>
    <w:p>
      <w:pPr>
        <w:spacing w:after="200" w:before="0" w:line="480"/>
        <w:jc w:val="both"/>
      </w:pPr>
      <w:r>
        <w:rPr>
          <w:rFonts w:ascii="Times New Roman" w:cs="Times New Roman" w:eastAsia="Times New Roman" w:hAnsi="Times New Roman"/>
          <w:sz w:val="24"/>
          <w:szCs w:val="24"/>
        </w:rPr>
        <w:t xml:space="preserve">[CITE VERIFY: Laufer, W.S. (2003). Social accountability and corporate greenwashing. Journal of Business Ethics, 43(3), 253–261.]</w:t>
      </w:r>
    </w:p>
    <w:p>
      <w:pPr>
        <w:spacing w:after="200" w:before="0" w:line="480"/>
        <w:jc w:val="both"/>
      </w:pPr>
      <w:r>
        <w:rPr>
          <w:rFonts w:ascii="Times New Roman" w:cs="Times New Roman" w:eastAsia="Times New Roman" w:hAnsi="Times New Roman"/>
          <w:sz w:val="24"/>
          <w:szCs w:val="24"/>
        </w:rPr>
        <w:t xml:space="preserve">[CITE VERIFY: Li, F. (2010). The information content of forward-looking statements in corporate filings — A naïve Bayesian machine learning approach. Journal of Accounting Research, 48(5), 1049–1102.]</w:t>
      </w:r>
    </w:p>
    <w:p>
      <w:pPr>
        <w:spacing w:after="200" w:before="0" w:line="480"/>
        <w:jc w:val="both"/>
      </w:pPr>
      <w:r>
        <w:rPr>
          <w:rFonts w:ascii="Times New Roman" w:cs="Times New Roman" w:eastAsia="Times New Roman" w:hAnsi="Times New Roman"/>
          <w:sz w:val="24"/>
          <w:szCs w:val="24"/>
        </w:rPr>
        <w:t xml:space="preserve">[CITE VERIFY: Marquis, C., Toffel, M.W. &amp; Zhou, Y. (2016). Scrutiny, norms, and selective disclosure: A global study of greenwashing. Organization Science, 27(2), 483–504.]</w:t>
      </w:r>
    </w:p>
    <w:p>
      <w:pPr>
        <w:spacing w:after="200" w:before="0" w:line="480"/>
        <w:jc w:val="both"/>
      </w:pPr>
      <w:r>
        <w:rPr>
          <w:rFonts w:ascii="Times New Roman" w:cs="Times New Roman" w:eastAsia="Times New Roman" w:hAnsi="Times New Roman"/>
          <w:sz w:val="24"/>
          <w:szCs w:val="24"/>
        </w:rPr>
        <w:t xml:space="preserve">[CITE VERIFY: Ohlson, J.A. &amp; Juettner-Nauroth, B.E. (2005). Expected EPS and EPS growth as determinants of value. Review of Accounting Studies, 10(2–3), 349–365.]</w:t>
      </w:r>
    </w:p>
    <w:p>
      <w:pPr>
        <w:spacing w:after="200" w:before="0" w:line="480"/>
        <w:jc w:val="both"/>
      </w:pPr>
      <w:r>
        <w:rPr>
          <w:rFonts w:ascii="Times New Roman" w:cs="Times New Roman" w:eastAsia="Times New Roman" w:hAnsi="Times New Roman"/>
          <w:sz w:val="24"/>
          <w:szCs w:val="24"/>
        </w:rPr>
        <w:t xml:space="preserve">[CITE VERIFY: Webersinke, N., Kraus, M., Bingler, J.A. &amp; Leippold, M. (2022). ClimateBERT: A pretrained language model for climate-related text. arXiv:2110.12010.]</w:t>
      </w:r>
    </w:p>
    <w:p>
      <w:r>
        <w:br w:type="page"/>
      </w:r>
    </w:p>
    <w:p>
      <w:pPr>
        <w:spacing w:after="200" w:before="200"/>
        <w:jc w:val="center"/>
      </w:pPr>
      <w:r>
        <w:rPr>
          <w:rFonts w:ascii="Times New Roman" w:cs="Times New Roman" w:eastAsia="Times New Roman" w:hAnsi="Times New Roman"/>
          <w:b/>
          <w:bCs/>
          <w:sz w:val="28"/>
          <w:szCs w:val="28"/>
        </w:rPr>
        <w:t xml:space="preserve">REFEREE REPORT SIMULATION</w:t>
      </w:r>
    </w:p>
    <w:p>
      <w:pPr>
        <w:pBdr>
          <w:bottom w:val="single" w:color="333333" w:sz="6" w:space="1"/>
        </w:pBdr>
        <w:spacing w:after="200" w:before="200"/>
      </w:pPr>
      <w:r>
        <w:t xml:space="preserve"/>
      </w:r>
    </w:p>
    <w:p>
      <w:pPr>
        <w:spacing w:after="200" w:before="0" w:line="480"/>
        <w:jc w:val="both"/>
      </w:pPr>
      <w:r>
        <w:rPr>
          <w:rFonts w:ascii="Times New Roman" w:cs="Times New Roman" w:eastAsia="Times New Roman" w:hAnsi="Times New Roman"/>
          <w:sz w:val="24"/>
          <w:szCs w:val="24"/>
        </w:rPr>
        <w:t xml:space="preserve">Paper: "Words That Mislead: Sustainability Rhetoric, Greenwashing Signals, and the Real Cost of Capital in Indian Listed Firms"</w:t>
      </w:r>
    </w:p>
    <w:p>
      <w:pPr>
        <w:spacing w:after="200" w:before="0" w:line="480"/>
        <w:jc w:val="both"/>
      </w:pPr>
      <w:r>
        <w:rPr>
          <w:rFonts w:ascii="Times New Roman" w:cs="Times New Roman" w:eastAsia="Times New Roman" w:hAnsi="Times New Roman"/>
          <w:sz w:val="24"/>
          <w:szCs w:val="24"/>
        </w:rPr>
        <w:t xml:space="preserve">Recommendation: MAJOR REVISION — Strong foundation with genuinely novel contribution, but identification concerns and measurement validation require substantial additional work before acceptance at a top accounting journal.</w:t>
      </w:r>
    </w:p>
    <w:p>
      <w:pPr>
        <w:spacing w:after="0" w:before="200"/>
      </w:pPr>
      <w:r>
        <w:t xml:space="preserve"/>
      </w:r>
    </w:p>
    <w:p>
      <w:pPr>
        <w:pStyle w:val="Heading2"/>
        <w:spacing w:after="160" w:before="300"/>
      </w:pPr>
      <w:r>
        <w:rPr>
          <w:rFonts w:ascii="Times New Roman" w:cs="Times New Roman" w:eastAsia="Times New Roman" w:hAnsi="Times New Roman"/>
          <w:b/>
          <w:bCs/>
          <w:sz w:val="26"/>
          <w:szCs w:val="26"/>
        </w:rPr>
        <w:t xml:space="preserve">Summary of Contribution</w:t>
      </w:r>
    </w:p>
    <w:p>
      <w:pPr>
        <w:spacing w:after="200" w:before="0" w:line="480"/>
        <w:jc w:val="both"/>
      </w:pPr>
      <w:r>
        <w:rPr>
          <w:rFonts w:ascii="Times New Roman" w:cs="Times New Roman" w:eastAsia="Times New Roman" w:hAnsi="Times New Roman"/>
          <w:sz w:val="24"/>
          <w:szCs w:val="24"/>
        </w:rPr>
        <w:t xml:space="preserve">This paper makes a timely and potentially important contribution by examining the capital market consequences of ESG disclosure quality — rather than mere disclosure quantity — in the world's largest emerging-market mandatory ESG reporting setting. The combination of India's BRSR mandate (a clean institutional shock), modern NLP methods (ClimateBERT, FinBERT, BERTopic), and panel econometrics with a credible identification strategy is genuinely novel. The finding that greenwashing rhetoric is priced in equity markets (47 bps per SD) and that mandatory disclosure generates symbolic rather than substantive compliance advances both the ESG disclosure and mandatory reporting literatures.</w:t>
      </w:r>
    </w:p>
    <w:p>
      <w:pPr>
        <w:pStyle w:val="Heading2"/>
        <w:spacing w:after="160" w:before="300"/>
      </w:pPr>
      <w:r>
        <w:rPr>
          <w:rFonts w:ascii="Times New Roman" w:cs="Times New Roman" w:eastAsia="Times New Roman" w:hAnsi="Times New Roman"/>
          <w:b/>
          <w:bCs/>
          <w:sz w:val="26"/>
          <w:szCs w:val="26"/>
        </w:rPr>
        <w:t xml:space="preserve">Major Concerns</w:t>
      </w:r>
    </w:p>
    <w:p>
      <w:pPr>
        <w:spacing w:after="200" w:before="0" w:line="480"/>
        <w:jc w:val="both"/>
      </w:pPr>
      <w:r>
        <w:rPr>
          <w:rFonts w:ascii="Times New Roman" w:cs="Times New Roman" w:eastAsia="Times New Roman" w:hAnsi="Times New Roman"/>
          <w:sz w:val="24"/>
          <w:szCs w:val="24"/>
        </w:rPr>
        <w:t xml:space="preserve">1. TCFD Score Validation. The TDQS is constructed using a keyword-based scorer validated against ClimateBERT at the sentence level (F1 = 0.79). However, 21% misclassification at the sentence level could meaningfully bias document-level TDQS, particularly for firms near the median. The authors should report the distribution of TDQS estimation uncertainty, conduct a sensitivity analysis with high/low classifier confidence thresholds, and ideally validate TDQS scores against a set of manually scored reports by independent ESG professionals.</w:t>
      </w:r>
    </w:p>
    <w:p>
      <w:pPr>
        <w:spacing w:after="200" w:before="0" w:line="480"/>
        <w:jc w:val="both"/>
      </w:pPr>
      <w:r>
        <w:rPr>
          <w:rFonts w:ascii="Times New Roman" w:cs="Times New Roman" w:eastAsia="Times New Roman" w:hAnsi="Times New Roman"/>
          <w:sz w:val="24"/>
          <w:szCs w:val="24"/>
        </w:rPr>
        <w:t xml:space="preserve">2. Parallel Trends for DiD. The paper mentions event-study plots confirming parallel pre-trends but does not include them in the main text. These are essential for the DiD identification claim and must be presented in the paper, not merely referenced as 'available from the authors.' The pre-period is only one year (FY2021) for some cohorts — the authors should discuss how this limits the parallel trends test.</w:t>
      </w:r>
    </w:p>
    <w:p>
      <w:pPr>
        <w:spacing w:after="200" w:before="0" w:line="480"/>
        <w:jc w:val="both"/>
      </w:pPr>
      <w:r>
        <w:rPr>
          <w:rFonts w:ascii="Times New Roman" w:cs="Times New Roman" w:eastAsia="Times New Roman" w:hAnsi="Times New Roman"/>
          <w:sz w:val="24"/>
          <w:szCs w:val="24"/>
        </w:rPr>
        <w:t xml:space="preserve">3. Alternative Explanations for the GRI-T Premium. The cost-of-equity premium associated with high GRI-T could reflect omitted firm risk characteristics correlated with both greenwashing propensity and cost of equity (e.g., weak governance quality, environmental controversy exposure, regulatory scrutiny risk) rather than direct pricing of narrative credibility. The IV strategy addresses endogeneity partially, but the exclusion restriction — that peer GRI-T affects focal-firm ICC only through focal-firm GRI-T — deserves more rigorous defence. In particular, industry-level reputational spillovers from peer greenwashing to focal-firm cost of equity would violate the exclusion restriction and should be explicitly discussed and tested.</w:t>
      </w:r>
    </w:p>
    <w:p>
      <w:pPr>
        <w:pStyle w:val="Heading2"/>
        <w:spacing w:after="160" w:before="300"/>
      </w:pPr>
      <w:r>
        <w:rPr>
          <w:rFonts w:ascii="Times New Roman" w:cs="Times New Roman" w:eastAsia="Times New Roman" w:hAnsi="Times New Roman"/>
          <w:b/>
          <w:bCs/>
          <w:sz w:val="26"/>
          <w:szCs w:val="26"/>
        </w:rPr>
        <w:t xml:space="preserve">Minor Concerns</w:t>
      </w:r>
    </w:p>
    <w:p>
      <w:pPr>
        <w:spacing w:after="200" w:before="0" w:line="480"/>
        <w:jc w:val="both"/>
      </w:pPr>
      <w:r>
        <w:rPr>
          <w:rFonts w:ascii="Times New Roman" w:cs="Times New Roman" w:eastAsia="Times New Roman" w:hAnsi="Times New Roman"/>
          <w:sz w:val="24"/>
          <w:szCs w:val="24"/>
        </w:rPr>
        <w:t xml:space="preserve">1. The abstract states GRI-T is validated against independent raters (κ = 0.81) but does not mention the labelling protocol. A brief description in the methodology section (what were raters asked to code? What were the disagreement resolution rules?) would strengthen confidence in the measure.</w:t>
      </w:r>
    </w:p>
    <w:p>
      <w:pPr>
        <w:spacing w:after="200" w:before="0" w:line="480"/>
        <w:jc w:val="both"/>
      </w:pPr>
      <w:r>
        <w:rPr>
          <w:rFonts w:ascii="Times New Roman" w:cs="Times New Roman" w:eastAsia="Times New Roman" w:hAnsi="Times New Roman"/>
          <w:sz w:val="24"/>
          <w:szCs w:val="24"/>
        </w:rPr>
        <w:t xml:space="preserve">2. The null finding for CESI is interesting but the power of the test is unclear. Given that CESI has SD = 0.06, a coefficient of 0.12 ICC percentage points (not significant) could still be economically meaningful. A power calculation or minimum detectable effect statement would be informative.</w:t>
      </w:r>
    </w:p>
    <w:p>
      <w:pPr>
        <w:spacing w:after="200" w:before="0" w:line="480"/>
        <w:jc w:val="both"/>
      </w:pPr>
      <w:r>
        <w:rPr>
          <w:rFonts w:ascii="Times New Roman" w:cs="Times New Roman" w:eastAsia="Times New Roman" w:hAnsi="Times New Roman"/>
          <w:sz w:val="24"/>
          <w:szCs w:val="24"/>
        </w:rPr>
        <w:t xml:space="preserve">3. All citations are flagged [CITE VERIFY] throughout. Before submission, the authors must resolve all citations — this is not acceptable in a submitted manuscript.</w:t>
      </w:r>
    </w:p>
    <w:p>
      <w:pPr>
        <w:pStyle w:val="Heading2"/>
        <w:spacing w:after="160" w:before="300"/>
      </w:pPr>
      <w:r>
        <w:rPr>
          <w:rFonts w:ascii="Times New Roman" w:cs="Times New Roman" w:eastAsia="Times New Roman" w:hAnsi="Times New Roman"/>
          <w:b/>
          <w:bCs/>
          <w:sz w:val="26"/>
          <w:szCs w:val="26"/>
        </w:rPr>
        <w:t xml:space="preserve">Questions for Authors</w:t>
      </w:r>
    </w:p>
    <w:p>
      <w:pPr>
        <w:spacing w:after="200" w:before="0" w:line="480"/>
        <w:jc w:val="both"/>
      </w:pPr>
      <w:r>
        <w:rPr>
          <w:rFonts w:ascii="Times New Roman" w:cs="Times New Roman" w:eastAsia="Times New Roman" w:hAnsi="Times New Roman"/>
          <w:sz w:val="24"/>
          <w:szCs w:val="24"/>
        </w:rPr>
        <w:t xml:space="preserve">1. How do results change when GRI-T is constructed using only the BRSR section of annual reports (excluding the voluntary sustainability narrative sections)? This would test whether results are driven by the mandatory or voluntary portions of the disclosure.</w:t>
      </w:r>
    </w:p>
    <w:p>
      <w:pPr>
        <w:spacing w:after="200" w:before="0" w:line="480"/>
        <w:jc w:val="both"/>
      </w:pPr>
      <w:r>
        <w:rPr>
          <w:rFonts w:ascii="Times New Roman" w:cs="Times New Roman" w:eastAsia="Times New Roman" w:hAnsi="Times New Roman"/>
          <w:sz w:val="24"/>
          <w:szCs w:val="24"/>
        </w:rPr>
        <w:t xml:space="preserve">2. Is there evidence of strategic BRSR section length inflation — firms padding BRSR word counts with boilerplate to satisfy volume expectations? BERTopic Topic 17 (BRSR Statutory Language) suggests this, and its mechanical effect on GRI-T should be examined.</w:t>
      </w:r>
    </w:p>
    <w:p>
      <w:pPr>
        <w:spacing w:after="200" w:before="0" w:line="480"/>
        <w:jc w:val="both"/>
      </w:pPr>
      <w:r>
        <w:rPr>
          <w:rFonts w:ascii="Times New Roman" w:cs="Times New Roman" w:eastAsia="Times New Roman" w:hAnsi="Times New Roman"/>
          <w:sz w:val="24"/>
          <w:szCs w:val="24"/>
        </w:rPr>
        <w:t xml:space="preserve">3. Do results hold when controlling for firm-level ESG controversies (from RepRisk or Sustainalytics), which could simultaneously drive high GRI-T and high ICC through reputation risk?</w:t>
      </w:r>
    </w:p>
    <w:p>
      <w:pPr>
        <w:pStyle w:val="Heading2"/>
        <w:spacing w:after="160" w:before="300"/>
      </w:pPr>
      <w:r>
        <w:rPr>
          <w:rFonts w:ascii="Times New Roman" w:cs="Times New Roman" w:eastAsia="Times New Roman" w:hAnsi="Times New Roman"/>
          <w:b/>
          <w:bCs/>
          <w:sz w:val="26"/>
          <w:szCs w:val="26"/>
        </w:rPr>
        <w:t xml:space="preserve">Overall Assessment</w:t>
      </w:r>
    </w:p>
    <w:p>
      <w:pPr>
        <w:spacing w:after="200" w:before="0" w:line="480"/>
        <w:jc w:val="both"/>
      </w:pPr>
      <w:r>
        <w:rPr>
          <w:rFonts w:ascii="Times New Roman" w:cs="Times New Roman" w:eastAsia="Times New Roman" w:hAnsi="Times New Roman"/>
          <w:sz w:val="24"/>
          <w:szCs w:val="24"/>
        </w:rPr>
        <w:t xml:space="preserve">This paper has the ingredients of a strong contribution to Accounting, Organizations &amp; Society or the British Accounting Review: a novel institutional setting, methodological innovation, and findings with clear policy relevance. The identification strategy is more credible than most ESG disclosure papers. However, the manuscript requires significant additional work on TDQS validation, DiD pre-trend evidence, and the exclusion restriction defence before it is ready for acceptance. The null CEO result, if it survives the robustness checks requested, is itself publishable and should be more prominently framed as a finding rather than treated as a secondary result.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A3A5C"/>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987"/>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3A6B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2026-05-12T05:26:12.346Z</dcterms:created>
  <dcterms:modified xsi:type="dcterms:W3CDTF">2026-05-12T05:26:12.365Z</dcterms:modified>
</cp:coreProperties>
</file>

<file path=docProps/custom.xml><?xml version="1.0" encoding="utf-8"?>
<Properties xmlns="http://schemas.openxmlformats.org/officeDocument/2006/custom-properties" xmlns:vt="http://schemas.openxmlformats.org/officeDocument/2006/docPropsVTypes"/>
</file>