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jc w:val="center"/>
      </w:pPr>
      <w:r>
        <w:rPr>
          <w:rFonts w:ascii="Arial" w:cs="Arial" w:eastAsia="Arial" w:hAnsi="Arial"/>
          <w:sz w:val="40"/>
          <w:szCs w:val="40"/>
        </w:rPr>
        <w:t xml:space="preserve"> </w:t>
      </w:r>
    </w:p>
    <w:p>
      <w:pPr>
        <w:shd w:fill="1B2A4A" w:val="clear"/>
        <w:spacing w:after="0"/>
        <w:jc w:val="center"/>
      </w:pPr>
      <w:r>
        <w:rPr>
          <w:rFonts w:ascii="Arial" w:cs="Arial" w:eastAsia="Arial" w:hAnsi="Arial"/>
          <w:b/>
          <w:bCs/>
          <w:color w:val="B8860B"/>
          <w:sz w:val="52"/>
          <w:szCs w:val="52"/>
        </w:rPr>
        <w:t xml:space="preserve">GLOBAL ESG RATING REPORT</w:t>
      </w:r>
    </w:p>
    <w:p>
      <w:pPr>
        <w:shd w:fill="1B2A4A" w:val="clear"/>
        <w:spacing w:after="0"/>
        <w:jc w:val="center"/>
      </w:pPr>
      <w:r>
        <w:rPr>
          <w:rFonts w:ascii="Arial" w:cs="Arial" w:eastAsia="Arial" w:hAnsi="Arial"/>
          <w:b/>
          <w:bCs/>
          <w:color w:val="FFFFFF"/>
          <w:sz w:val="36"/>
          <w:szCs w:val="36"/>
        </w:rPr>
        <w:t xml:space="preserve">Top 5 Mining Companies in India</w:t>
      </w:r>
    </w:p>
    <w:p>
      <w:pPr>
        <w:shd w:fill="1B2A4A" w:val="clear"/>
        <w:spacing w:after="0"/>
        <w:jc w:val="center"/>
      </w:pPr>
      <w:r>
        <w:rPr>
          <w:rFonts w:ascii="Arial" w:cs="Arial" w:eastAsia="Arial" w:hAnsi="Arial"/>
          <w:color w:val="E8EDF4"/>
          <w:sz w:val="24"/>
          <w:szCs w:val="24"/>
        </w:rPr>
        <w:t xml:space="preserve">Based on BRSR / Annual Report Disclosures | FY 2024-25</w:t>
      </w:r>
    </w:p>
    <w:p>
      <w:pPr>
        <w:shd w:fill="1B2A4A" w:val="clear"/>
        <w:spacing w:after="0"/>
        <w:jc w:val="center"/>
      </w:pPr>
      <w:r>
        <w:rPr>
          <w:rFonts w:ascii="Arial" w:cs="Arial" w:eastAsia="Arial" w:hAnsi="Arial"/>
          <w:sz w:val="32"/>
          <w:szCs w:val="32"/>
        </w:rPr>
        <w:t xml:space="preserve"> </w:t>
      </w:r>
    </w:p>
    <w:p>
      <w:pPr>
        <w:shd w:fill="B8860B" w:val="clear"/>
        <w:spacing w:after="0" w:before="0"/>
      </w:pPr>
      <w:r>
        <w:rPr>
          <w:rFonts w:ascii="Arial" w:cs="Arial" w:eastAsia="Arial" w:hAnsi="Arial"/>
          <w:sz w:val="8"/>
          <w:szCs w:val="8"/>
        </w:rPr>
        <w:t xml:space="preserve"> </w:t>
      </w:r>
    </w:p>
    <w:p>
      <w:pPr>
        <w:shd w:fill="1B2A4A" w:val="clear"/>
        <w:spacing w:after="0"/>
        <w:jc w:val="center"/>
      </w:pPr>
      <w:r>
        <w:rPr>
          <w:rFonts w:ascii="Arial" w:cs="Arial" w:eastAsia="Arial" w:hAnsi="Arial"/>
          <w:sz w:val="20"/>
          <w:szCs w:val="20"/>
        </w:rPr>
        <w:t xml:space="preserve"> </w:t>
      </w:r>
    </w:p>
    <w:p>
      <w:pPr>
        <w:shd w:fill="1B2A4A" w:val="clear"/>
        <w:spacing w:after="0"/>
        <w:jc w:val="center"/>
      </w:pPr>
      <w:r>
        <w:rPr>
          <w:rFonts w:ascii="Arial" w:cs="Arial" w:eastAsia="Arial" w:hAnsi="Arial"/>
          <w:color w:val="E8EDF4"/>
          <w:sz w:val="22"/>
          <w:szCs w:val="22"/>
        </w:rPr>
        <w:t xml:space="preserve">Prepared by</w:t>
      </w:r>
    </w:p>
    <w:p>
      <w:pPr>
        <w:shd w:fill="1B2A4A" w:val="clear"/>
        <w:spacing w:after="0"/>
        <w:jc w:val="center"/>
      </w:pPr>
      <w:r>
        <w:rPr>
          <w:rFonts w:ascii="Arial" w:cs="Arial" w:eastAsia="Arial" w:hAnsi="Arial"/>
          <w:b/>
          <w:bCs/>
          <w:color w:val="B8860B"/>
          <w:sz w:val="32"/>
          <w:szCs w:val="32"/>
        </w:rPr>
        <w:t xml:space="preserve">Dr. Debasis Pahi, Ph.D.</w:t>
      </w:r>
    </w:p>
    <w:p>
      <w:pPr>
        <w:shd w:fill="1B2A4A" w:val="clear"/>
        <w:spacing w:after="0"/>
        <w:jc w:val="center"/>
      </w:pPr>
      <w:r>
        <w:rPr>
          <w:rFonts w:ascii="Arial" w:cs="Arial" w:eastAsia="Arial" w:hAnsi="Arial"/>
          <w:color w:val="FFFFFF"/>
          <w:sz w:val="22"/>
          <w:szCs w:val="22"/>
        </w:rPr>
        <w:t xml:space="preserve">Assistant Professor &amp; Head, Department of Commerce</w:t>
      </w:r>
    </w:p>
    <w:p>
      <w:pPr>
        <w:shd w:fill="1B2A4A" w:val="clear"/>
        <w:spacing w:after="0"/>
        <w:jc w:val="center"/>
      </w:pPr>
      <w:r>
        <w:rPr>
          <w:rFonts w:ascii="Arial" w:cs="Arial" w:eastAsia="Arial" w:hAnsi="Arial"/>
          <w:color w:val="E8EDF4"/>
          <w:sz w:val="20"/>
          <w:szCs w:val="20"/>
        </w:rPr>
        <w:t xml:space="preserve">Model Degree College (MDC) Malkangiri | Vikram Deb University, Odisha</w:t>
      </w:r>
    </w:p>
    <w:p>
      <w:pPr>
        <w:shd w:fill="1B2A4A" w:val="clear"/>
        <w:spacing w:after="0"/>
        <w:jc w:val="center"/>
      </w:pPr>
      <w:r>
        <w:rPr>
          <w:rFonts w:ascii="Arial" w:cs="Arial" w:eastAsia="Arial" w:hAnsi="Arial"/>
          <w:color w:val="E8EDF4"/>
          <w:sz w:val="18"/>
          <w:szCs w:val="18"/>
        </w:rPr>
        <w:t xml:space="preserve">Ph.D. (Finance) — IIT Kharagpur | Scopus H-Index: 8 | 165+ Citations</w:t>
      </w:r>
    </w:p>
    <w:p>
      <w:pPr>
        <w:shd w:fill="1B2A4A" w:val="clear"/>
        <w:spacing w:after="0"/>
        <w:jc w:val="center"/>
      </w:pPr>
      <w:r>
        <w:rPr>
          <w:rFonts w:ascii="Arial" w:cs="Arial" w:eastAsia="Arial" w:hAnsi="Arial"/>
          <w:sz w:val="28"/>
          <w:szCs w:val="28"/>
        </w:rPr>
        <w:t xml:space="preserve"> </w:t>
      </w:r>
    </w:p>
    <w:p>
      <w:pPr>
        <w:shd w:fill="B8860B" w:val="clear"/>
        <w:spacing w:after="0" w:before="0"/>
      </w:pPr>
      <w:r>
        <w:rPr>
          <w:rFonts w:ascii="Arial" w:cs="Arial" w:eastAsia="Arial" w:hAnsi="Arial"/>
          <w:sz w:val="8"/>
          <w:szCs w:val="8"/>
        </w:rPr>
        <w:t xml:space="preserve"> </w:t>
      </w:r>
    </w:p>
    <w:p>
      <w:pPr>
        <w:shd w:fill="1B2A4A" w:val="clear"/>
        <w:spacing w:after="0"/>
        <w:jc w:val="center"/>
      </w:pPr>
      <w:r>
        <w:rPr>
          <w:rFonts w:ascii="Arial" w:cs="Arial" w:eastAsia="Arial" w:hAnsi="Arial"/>
          <w:sz w:val="16"/>
          <w:szCs w:val="16"/>
        </w:rPr>
        <w:t xml:space="preserve"> </w:t>
      </w:r>
    </w:p>
    <w:p>
      <w:pPr>
        <w:shd w:fill="1B2A4A" w:val="clear"/>
        <w:spacing w:after="0"/>
        <w:jc w:val="center"/>
      </w:pPr>
      <w:r>
        <w:rPr>
          <w:rFonts w:ascii="Arial" w:cs="Arial" w:eastAsia="Arial" w:hAnsi="Arial"/>
          <w:color w:val="E8EDF4"/>
          <w:sz w:val="18"/>
          <w:szCs w:val="18"/>
        </w:rPr>
        <w:t xml:space="preserve">Methodology: MSCI | Sustainalytics | S&amp;P Global CSA | SEBI BRSR Framework</w:t>
      </w:r>
    </w:p>
    <w:p>
      <w:pPr>
        <w:shd w:fill="1B2A4A" w:val="clear"/>
        <w:spacing w:after="0"/>
        <w:jc w:val="center"/>
      </w:pPr>
      <w:r>
        <w:rPr>
          <w:rFonts w:ascii="Arial" w:cs="Arial" w:eastAsia="Arial" w:hAnsi="Arial"/>
          <w:color w:val="E8EDF4"/>
          <w:sz w:val="18"/>
          <w:szCs w:val="18"/>
        </w:rPr>
        <w:t xml:space="preserve">Industry Weights: Environmental 45% | Social 30% | Governance 25%</w:t>
      </w:r>
    </w:p>
    <w:p>
      <w:pPr>
        <w:shd w:fill="1B2A4A" w:val="clear"/>
        <w:spacing w:after="0"/>
        <w:jc w:val="center"/>
      </w:pPr>
      <w:r>
        <w:rPr>
          <w:rFonts w:ascii="Arial" w:cs="Arial" w:eastAsia="Arial" w:hAnsi="Arial"/>
          <w:sz w:val="20"/>
          <w:szCs w:val="20"/>
        </w:rPr>
        <w:t xml:space="preserve"> </w:t>
      </w:r>
    </w:p>
    <w:p>
      <w:r>
        <w:br w:type="page"/>
      </w:r>
    </w:p>
    <w:p>
      <w:pPr>
        <w:pStyle w:val="Heading1"/>
        <w:shd w:fill="1B2A4A" w:val="clear"/>
        <w:spacing w:after="160" w:before="320"/>
        <w:ind w:left="200"/>
      </w:pPr>
      <w:r>
        <w:rPr>
          <w:rFonts w:ascii="Arial" w:cs="Arial" w:eastAsia="Arial" w:hAnsi="Arial"/>
          <w:b/>
          <w:bCs/>
          <w:color w:val="FFFFFF"/>
          <w:sz w:val="32"/>
          <w:szCs w:val="32"/>
        </w:rPr>
        <w:t xml:space="preserve">SECTION 1 — EXECUTIVE SUMMARY &amp; RATINGS AT A GLANCE</w:t>
      </w:r>
    </w:p>
    <w:p>
      <w:pPr>
        <w:spacing w:after="80"/>
      </w:pPr>
      <w:r>
        <w:rPr>
          <w:rFonts w:ascii="Arial" w:cs="Arial" w:eastAsia="Arial" w:hAnsi="Arial"/>
          <w:b w:val="false"/>
          <w:bCs w:val="false"/>
          <w:color w:val="000000"/>
          <w:sz w:val="20"/>
          <w:szCs w:val="20"/>
        </w:rPr>
        <w:t xml:space="preserve">This report presents a comprehensive, investor-grade ESG rating of India's five largest mining companies by market capitalisation, drawing on their most recent Business Responsibility and Sustainability Report (BRSR) filings, Integrated Annual Reports, Sustainability Reports, and supplementary ESG disclosures available as at May 2026.</w:t>
      </w:r>
    </w:p>
    <w:p>
      <w:pPr>
        <w:spacing w:after="80"/>
      </w:pPr>
      <w:r>
        <w:rPr>
          <w:rFonts w:ascii="Arial" w:cs="Arial" w:eastAsia="Arial" w:hAnsi="Arial"/>
          <w:b w:val="false"/>
          <w:bCs w:val="false"/>
          <w:color w:val="000000"/>
          <w:sz w:val="20"/>
          <w:szCs w:val="20"/>
        </w:rPr>
        <w:t xml:space="preserve">The rating methodology is calibrated to Heavy Industry / Mining sector weights (Environmental: 45%, Social: 30%, Governance: 25%), consistent with MSCI, Sustainalytics, and S&amp;P Global CSA approaches. Scores are derived on a 0–10 parameter scale and converted to a final 0–100 index, adjusted for momentum, controversy, and forward risk.</w:t>
      </w:r>
    </w:p>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1.1  Final ESG Ratings — Rankings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200"/>
        <w:gridCol w:w="1000"/>
        <w:gridCol w:w="1000"/>
        <w:gridCol w:w="1000"/>
        <w:gridCol w:w="1200"/>
        <w:gridCol w:w="1000"/>
        <w:gridCol w:w="780"/>
      </w:tblGrid>
      <w:tr>
        <w:trPr>
          <w:tblHeader/>
        </w:trPr>
        <w:tc>
          <w:tcPr>
            <w:tcW w:type="dxa" w:w="4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Rank</w:t>
            </w:r>
          </w:p>
        </w:tc>
        <w:tc>
          <w:tcPr>
            <w:tcW w:type="dxa" w:w="25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Company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Ticker</w:t>
            </w:r>
          </w:p>
        </w:tc>
        <w:tc>
          <w:tcPr>
            <w:tcW w:type="dxa" w:w="1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 Score
(45%)</w:t>
            </w:r>
          </w:p>
        </w:tc>
        <w:tc>
          <w:tcPr>
            <w:tcW w:type="dxa" w:w="1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 Score
(30%)</w:t>
            </w:r>
          </w:p>
        </w:tc>
        <w:tc>
          <w:tcPr>
            <w:tcW w:type="dxa" w:w="1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G Score
(25%)</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Final Score
(/100)</w:t>
            </w:r>
          </w:p>
        </w:tc>
        <w:tc>
          <w:tcPr>
            <w:tcW w:type="dxa" w:w="1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Rating</w:t>
            </w:r>
          </w:p>
        </w:tc>
        <w:tc>
          <w:tcPr>
            <w:tcW w:type="dxa" w:w="7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Trend</w:t>
            </w:r>
          </w:p>
        </w:tc>
      </w:tr>
      <w:tr>
        <w:tc>
          <w:tcPr>
            <w:tcW w:type="dxa" w:w="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#1</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Hindustan Zinc Limited (HZL)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HZL.NSE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8.25</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7.94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8.33</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82.3</w:t>
            </w:r>
          </w:p>
        </w:tc>
        <w:tc>
          <w:tcPr>
            <w:tcW w:type="dxa" w:w="1000"/>
            <w:tcBorders>
              <w:top w:val="single" w:color="BBBBBB" w:sz="1"/>
              <w:left w:val="single" w:color="BBBBBB" w:sz="1"/>
              <w:bottom w:val="single" w:color="BBBBBB" w:sz="1"/>
              <w:right w:val="single" w:color="BBBBBB" w:sz="1"/>
            </w:tcBorders>
            <w:shd w:fill="1A7A3C"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AA</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2"/>
                <w:szCs w:val="22"/>
              </w:rPr>
              <w:t xml:space="preserve">▲</w:t>
            </w:r>
          </w:p>
        </w:tc>
      </w:tr>
      <w:tr>
        <w:tc>
          <w:tcPr>
            <w:tcW w:type="dxa" w:w="4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#2</w:t>
            </w:r>
          </w:p>
        </w:tc>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Industries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HINDALCO.NSE</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7.50</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7.56</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7.75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75.8</w:t>
            </w:r>
          </w:p>
        </w:tc>
        <w:tc>
          <w:tcPr>
            <w:tcW w:type="dxa" w:w="1000"/>
            <w:tcBorders>
              <w:top w:val="single" w:color="BBBBBB" w:sz="1"/>
              <w:left w:val="single" w:color="BBBBBB" w:sz="1"/>
              <w:bottom w:val="single" w:color="BBBBBB" w:sz="1"/>
              <w:right w:val="single" w:color="BBBBBB" w:sz="1"/>
            </w:tcBorders>
            <w:shd w:fill="27AE60"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A</w:t>
            </w:r>
          </w:p>
        </w:tc>
        <w:tc>
          <w:tcPr>
            <w:tcW w:type="dxa" w:w="7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2"/>
                <w:szCs w:val="22"/>
              </w:rPr>
              <w:t xml:space="preserve">▲</w:t>
            </w:r>
          </w:p>
        </w:tc>
      </w:tr>
      <w:tr>
        <w:tc>
          <w:tcPr>
            <w:tcW w:type="dxa" w:w="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#3</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Limited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VEDL.NSE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6.65</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6.94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7.08</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65.9</w:t>
            </w:r>
          </w:p>
        </w:tc>
        <w:tc>
          <w:tcPr>
            <w:tcW w:type="dxa" w:w="100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BBB</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2"/>
                <w:szCs w:val="22"/>
              </w:rPr>
              <w:t xml:space="preserve">▼</w:t>
            </w:r>
          </w:p>
        </w:tc>
      </w:tr>
      <w:tr>
        <w:tc>
          <w:tcPr>
            <w:tcW w:type="dxa" w:w="4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#4</w:t>
            </w:r>
          </w:p>
        </w:tc>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NMDC.NSE</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6.20</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6.75</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6.67</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64.8</w:t>
            </w:r>
          </w:p>
        </w:tc>
        <w:tc>
          <w:tcPr>
            <w:tcW w:type="dxa" w:w="100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BBB</w:t>
            </w:r>
          </w:p>
        </w:tc>
        <w:tc>
          <w:tcPr>
            <w:tcW w:type="dxa" w:w="7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2"/>
                <w:szCs w:val="22"/>
              </w:rPr>
              <w:t xml:space="preserve">▲</w:t>
            </w:r>
          </w:p>
        </w:tc>
      </w:tr>
      <w:tr>
        <w:tc>
          <w:tcPr>
            <w:tcW w:type="dxa" w:w="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#5</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 Limited (CIL)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COALINDIA.NSE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4.65</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6.19</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6.00</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52.5</w:t>
            </w:r>
          </w:p>
        </w:tc>
        <w:tc>
          <w:tcPr>
            <w:tcW w:type="dxa" w:w="1000"/>
            <w:tcBorders>
              <w:top w:val="single" w:color="BBBBBB" w:sz="1"/>
              <w:left w:val="single" w:color="BBBBBB" w:sz="1"/>
              <w:bottom w:val="single" w:color="BBBBBB" w:sz="1"/>
              <w:right w:val="single" w:color="BBBBBB"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2"/>
                <w:szCs w:val="22"/>
              </w:rPr>
              <w:t xml:space="preserve">▲</w:t>
            </w:r>
          </w:p>
        </w:tc>
      </w:tr>
    </w:tbl>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1.2  Score Adjustments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2480"/>
      </w:tblGrid>
      <w:tr>
        <w:trPr>
          <w:tblHeader/>
        </w:trPr>
        <w:tc>
          <w:tcPr>
            <w:tcW w:type="dxa" w:w="28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w:t>
            </w:r>
          </w:p>
        </w:tc>
        <w:tc>
          <w:tcPr>
            <w:tcW w:type="dxa" w:w="24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Score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Hindustan Zinc Limited (HZL)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81.8</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2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82.3 / 100</w:t>
            </w:r>
          </w:p>
        </w:tc>
      </w:tr>
      <w:tr>
        <w:tc>
          <w:tcPr>
            <w:tcW w:type="dxa" w:w="2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Industries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75.8</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24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75.8 / 100</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Limited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68.4</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c>
          <w:tcPr>
            <w:tcW w:type="dxa" w:w="2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65.9 / 100</w:t>
            </w:r>
          </w:p>
        </w:tc>
      </w:tr>
      <w:tr>
        <w:tc>
          <w:tcPr>
            <w:tcW w:type="dxa" w:w="2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64.8</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24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64.8 / 100</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 Limited (CIL)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54.5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w:t>
            </w:r>
          </w:p>
        </w:tc>
        <w:tc>
          <w:tcPr>
            <w:tcW w:type="dxa" w:w="2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52.5 / 100</w:t>
            </w:r>
          </w:p>
        </w:tc>
      </w:tr>
    </w:tbl>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1.3  Rating Band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6720"/>
      </w:tblGrid>
      <w:tr>
        <w:trPr>
          <w:tblHeader/>
        </w:trPr>
        <w:tc>
          <w:tcPr>
            <w:tcW w:type="dxa" w:w="16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Score Range</w:t>
            </w:r>
          </w:p>
        </w:tc>
        <w:tc>
          <w:tcPr>
            <w:tcW w:type="dxa" w:w="16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Rating</w:t>
            </w:r>
          </w:p>
        </w:tc>
        <w:tc>
          <w:tcPr>
            <w:tcW w:type="dxa" w:w="67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Meaning</w:t>
            </w:r>
          </w:p>
        </w:tc>
      </w:tr>
      <w:tr>
        <w:tc>
          <w:tcPr>
            <w:tcW w:type="dxa" w:w="1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90–100</w:t>
            </w:r>
          </w:p>
        </w:tc>
        <w:tc>
          <w:tcPr>
            <w:tcW w:type="dxa" w:w="1680"/>
            <w:tcBorders>
              <w:top w:val="single" w:color="BBBBBB" w:sz="1"/>
              <w:left w:val="single" w:color="BBBBBB" w:sz="1"/>
              <w:bottom w:val="single" w:color="BBBBBB" w:sz="1"/>
              <w:right w:val="single" w:color="BBBBBB" w:sz="1"/>
            </w:tcBorders>
            <w:shd w:fill="1A7A3C"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AAA</w:t>
            </w:r>
          </w:p>
        </w:tc>
        <w:tc>
          <w:tcPr>
            <w:tcW w:type="dxa" w:w="67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ESG Leader — Best-in-class globally</w:t>
            </w:r>
          </w:p>
        </w:tc>
      </w:tr>
      <w:tr>
        <w:tc>
          <w:tcPr>
            <w:tcW w:type="dxa" w:w="16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80–89</w:t>
            </w:r>
          </w:p>
        </w:tc>
        <w:tc>
          <w:tcPr>
            <w:tcW w:type="dxa" w:w="1680"/>
            <w:tcBorders>
              <w:top w:val="single" w:color="BBBBBB" w:sz="1"/>
              <w:left w:val="single" w:color="BBBBBB" w:sz="1"/>
              <w:bottom w:val="single" w:color="BBBBBB" w:sz="1"/>
              <w:right w:val="single" w:color="BBBBBB" w:sz="1"/>
            </w:tcBorders>
            <w:shd w:fill="27AE60"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AA</w:t>
            </w:r>
          </w:p>
        </w:tc>
        <w:tc>
          <w:tcPr>
            <w:tcW w:type="dxa" w:w="67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Strong ESG performance — above-average across all pillars</w:t>
            </w:r>
          </w:p>
        </w:tc>
      </w:tr>
      <w:tr>
        <w:tc>
          <w:tcPr>
            <w:tcW w:type="dxa" w:w="1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70–79</w:t>
            </w:r>
          </w:p>
        </w:tc>
        <w:tc>
          <w:tcPr>
            <w:tcW w:type="dxa" w:w="1680"/>
            <w:tcBorders>
              <w:top w:val="single" w:color="BBBBBB" w:sz="1"/>
              <w:left w:val="single" w:color="BBBBBB" w:sz="1"/>
              <w:bottom w:val="single" w:color="BBBBBB" w:sz="1"/>
              <w:right w:val="single" w:color="BBBBBB" w:sz="1"/>
            </w:tcBorders>
            <w:shd w:fill="2ECC71"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A</w:t>
            </w:r>
          </w:p>
        </w:tc>
        <w:tc>
          <w:tcPr>
            <w:tcW w:type="dxa" w:w="67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Above-average, minor gaps in one or two areas</w:t>
            </w:r>
          </w:p>
        </w:tc>
      </w:tr>
      <w:tr>
        <w:tc>
          <w:tcPr>
            <w:tcW w:type="dxa" w:w="16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60–69</w:t>
            </w:r>
          </w:p>
        </w:tc>
        <w:tc>
          <w:tcPr>
            <w:tcW w:type="dxa" w:w="168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BBB</w:t>
            </w:r>
          </w:p>
        </w:tc>
        <w:tc>
          <w:tcPr>
            <w:tcW w:type="dxa" w:w="67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Average — notable improvement areas; material risks present</w:t>
            </w:r>
          </w:p>
        </w:tc>
      </w:tr>
      <w:tr>
        <w:tc>
          <w:tcPr>
            <w:tcW w:type="dxa" w:w="1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50–59</w:t>
            </w:r>
          </w:p>
        </w:tc>
        <w:tc>
          <w:tcPr>
            <w:tcW w:type="dxa" w:w="1680"/>
            <w:tcBorders>
              <w:top w:val="single" w:color="BBBBBB" w:sz="1"/>
              <w:left w:val="single" w:color="BBBBBB" w:sz="1"/>
              <w:bottom w:val="single" w:color="BBBBBB" w:sz="1"/>
              <w:right w:val="single" w:color="BBBBBB" w:sz="1"/>
            </w:tcBorders>
            <w:shd w:fill="E59400"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BB</w:t>
            </w:r>
          </w:p>
        </w:tc>
        <w:tc>
          <w:tcPr>
            <w:tcW w:type="dxa" w:w="67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Below average — significant ESG concerns requiring action</w:t>
            </w:r>
          </w:p>
        </w:tc>
      </w:tr>
      <w:tr>
        <w:tc>
          <w:tcPr>
            <w:tcW w:type="dxa" w:w="16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40–49</w:t>
            </w:r>
          </w:p>
        </w:tc>
        <w:tc>
          <w:tcPr>
            <w:tcW w:type="dxa" w:w="1680"/>
            <w:tcBorders>
              <w:top w:val="single" w:color="BBBBBB" w:sz="1"/>
              <w:left w:val="single" w:color="BBBBBB" w:sz="1"/>
              <w:bottom w:val="single" w:color="BBBBBB" w:sz="1"/>
              <w:right w:val="single" w:color="BBBBBB"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w:t>
            </w:r>
          </w:p>
        </w:tc>
        <w:tc>
          <w:tcPr>
            <w:tcW w:type="dxa" w:w="67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Weak ESG profile — critical gaps in disclosure and performance</w:t>
            </w:r>
          </w:p>
        </w:tc>
      </w:tr>
      <w:tr>
        <w:tc>
          <w:tcPr>
            <w:tcW w:type="dxa" w:w="1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&lt;40</w:t>
            </w:r>
          </w:p>
        </w:tc>
        <w:tc>
          <w:tcPr>
            <w:tcW w:type="dxa" w:w="1680"/>
            <w:tcBorders>
              <w:top w:val="single" w:color="BBBBBB" w:sz="1"/>
              <w:left w:val="single" w:color="BBBBBB" w:sz="1"/>
              <w:bottom w:val="single" w:color="BBBBBB" w:sz="1"/>
              <w:right w:val="single" w:color="BBBBBB" w:sz="1"/>
            </w:tcBorders>
            <w:shd w:fill="922B21"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CCC</w:t>
            </w:r>
          </w:p>
        </w:tc>
        <w:tc>
          <w:tcPr>
            <w:tcW w:type="dxa" w:w="67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ESG Laggard — severe deficiencies across multiple pillars</w:t>
            </w:r>
          </w:p>
        </w:tc>
      </w:tr>
    </w:tbl>
    <w:p>
      <w:r>
        <w:br w:type="page"/>
      </w:r>
    </w:p>
    <w:p>
      <w:pPr>
        <w:pStyle w:val="Heading1"/>
        <w:shd w:fill="1B2A4A" w:val="clear"/>
        <w:spacing w:after="160" w:before="320"/>
        <w:ind w:left="200"/>
      </w:pPr>
      <w:r>
        <w:rPr>
          <w:rFonts w:ascii="Arial" w:cs="Arial" w:eastAsia="Arial" w:hAnsi="Arial"/>
          <w:b/>
          <w:bCs/>
          <w:color w:val="FFFFFF"/>
          <w:sz w:val="32"/>
          <w:szCs w:val="32"/>
        </w:rPr>
        <w:t xml:space="preserve">SECTION 2 — METHODOLOGY &amp; FRAMEWORK</w:t>
      </w:r>
    </w:p>
    <w:p>
      <w:pPr>
        <w:pStyle w:val="Heading2"/>
        <w:pBdr>
          <w:bottom w:val="single" w:color="B8860B" w:sz="6" w:space="2"/>
        </w:pBdr>
        <w:spacing w:after="120" w:before="280"/>
      </w:pPr>
      <w:r>
        <w:rPr>
          <w:rFonts w:ascii="Arial" w:cs="Arial" w:eastAsia="Arial" w:hAnsi="Arial"/>
          <w:b/>
          <w:bCs/>
          <w:color w:val="1B2A4A"/>
          <w:sz w:val="26"/>
          <w:szCs w:val="26"/>
        </w:rPr>
        <w:t xml:space="preserve">2.1  Rating Methodology Overview</w:t>
      </w:r>
    </w:p>
    <w:p>
      <w:pPr>
        <w:spacing w:after="80"/>
      </w:pPr>
      <w:r>
        <w:rPr>
          <w:rFonts w:ascii="Arial" w:cs="Arial" w:eastAsia="Arial" w:hAnsi="Arial"/>
          <w:b w:val="false"/>
          <w:bCs w:val="false"/>
          <w:color w:val="000000"/>
          <w:sz w:val="20"/>
          <w:szCs w:val="20"/>
        </w:rPr>
        <w:t xml:space="preserve">This ESG rating exercise is conducted using a proprietary methodology inspired by global best practices from MSCI ESG Ratings, Sustainalytics Risk Scores, and S&amp;P Global Corporate Sustainability Assessment (CSA). All ratings are evidence-based, drawn exclusively from publicly available BRSR, Integrated Annual Reports, Sustainability Reports, and regulatory filings.</w:t>
      </w:r>
    </w:p>
    <w:p>
      <w:pPr>
        <w:spacing w:after="80" w:before="200"/>
      </w:pPr>
      <w:r>
        <w:rPr>
          <w:rFonts w:ascii="Arial" w:cs="Arial" w:eastAsia="Arial" w:hAnsi="Arial"/>
          <w:b/>
          <w:bCs/>
          <w:color w:val="1B2A4A"/>
          <w:sz w:val="22"/>
          <w:szCs w:val="22"/>
        </w:rPr>
        <w:t xml:space="preserve">Parameter Scoring (0–10 scale per metric)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380"/>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Sub-Dimension</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Weight</w:t>
            </w:r>
          </w:p>
        </w:tc>
        <w:tc>
          <w:tcPr>
            <w:tcW w:type="dxa" w:w="63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Disclosure Presence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25%</w:t>
            </w:r>
          </w:p>
        </w:tc>
        <w:tc>
          <w:tcPr>
            <w:tcW w:type="dxa" w:w="6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Is the metric reported at all? Quantified or narrative only?</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Data Quality</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25%</w:t>
            </w:r>
          </w:p>
        </w:tc>
        <w:tc>
          <w:tcPr>
            <w:tcW w:type="dxa" w:w="63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Third-party verified, consistent units, quantified with baselines?</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Performance Level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30%</w:t>
            </w:r>
          </w:p>
        </w:tc>
        <w:tc>
          <w:tcPr>
            <w:tcW w:type="dxa" w:w="63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Absolute performance vs. mining sector median benchmarks</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YoY Trend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w:t>
            </w:r>
          </w:p>
        </w:tc>
        <w:tc>
          <w:tcPr>
            <w:tcW w:type="dxa" w:w="63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Improving, stable, or deteriorating versus prior year?</w:t>
            </w:r>
          </w:p>
        </w:tc>
      </w:tr>
    </w:tbl>
    <w:p>
      <w:pPr>
        <w:spacing w:after="80"/>
      </w:pPr>
      <w:r>
        <w:t xml:space="preserve"/>
      </w:r>
    </w:p>
    <w:p>
      <w:pPr>
        <w:spacing w:after="80" w:before="200"/>
      </w:pPr>
      <w:r>
        <w:rPr>
          <w:rFonts w:ascii="Arial" w:cs="Arial" w:eastAsia="Arial" w:hAnsi="Arial"/>
          <w:b/>
          <w:bCs/>
          <w:color w:val="1B2A4A"/>
          <w:sz w:val="22"/>
          <w:szCs w:val="22"/>
        </w:rPr>
        <w:t xml:space="preserve">Industry Weights Applied — Heavy Industry / Mining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Environmental (E)</w:t>
            </w:r>
          </w:p>
        </w:tc>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Social (S)</w:t>
            </w:r>
          </w:p>
        </w:tc>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Governance (G)</w:t>
            </w:r>
          </w:p>
        </w:tc>
      </w:tr>
      <w:tr>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6"/>
                <w:szCs w:val="26"/>
              </w:rPr>
              <w:t xml:space="preserve">45%</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6"/>
                <w:szCs w:val="26"/>
              </w:rPr>
              <w:t xml:space="preserve">30%</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6"/>
                <w:szCs w:val="26"/>
              </w:rPr>
              <w:t xml:space="preserve">25%</w:t>
            </w:r>
          </w:p>
        </w:tc>
      </w:tr>
    </w:tbl>
    <w:p>
      <w:pPr>
        <w:spacing w:after="80"/>
      </w:pPr>
      <w:r>
        <w:t xml:space="preserve"/>
      </w:r>
    </w:p>
    <w:p>
      <w:pPr>
        <w:spacing w:after="80" w:before="200"/>
      </w:pPr>
      <w:r>
        <w:rPr>
          <w:rFonts w:ascii="Arial" w:cs="Arial" w:eastAsia="Arial" w:hAnsi="Arial"/>
          <w:b/>
          <w:bCs/>
          <w:color w:val="1B2A4A"/>
          <w:sz w:val="22"/>
          <w:szCs w:val="22"/>
        </w:rPr>
        <w:t xml:space="preserve">Final Score Calculation</w:t>
      </w:r>
    </w:p>
    <w:p>
      <w:pPr>
        <w:spacing w:after="80"/>
      </w:pPr>
      <w:r>
        <w:rPr>
          <w:rFonts w:ascii="Arial" w:cs="Arial" w:eastAsia="Arial" w:hAnsi="Arial"/>
          <w:b/>
          <w:bCs/>
          <w:color w:val="000000"/>
          <w:sz w:val="20"/>
          <w:szCs w:val="20"/>
        </w:rPr>
        <w:t xml:space="preserve">Raw ESG Score = (E Score × 0.45) + (S Score × 0.30) + (G Score × 0.25)</w:t>
      </w:r>
    </w:p>
    <w:p>
      <w:pPr>
        <w:spacing w:after="80"/>
      </w:pPr>
      <w:r>
        <w:rPr>
          <w:rFonts w:ascii="Arial" w:cs="Arial" w:eastAsia="Arial" w:hAnsi="Arial"/>
          <w:b w:val="false"/>
          <w:bCs w:val="false"/>
          <w:color w:val="000000"/>
          <w:sz w:val="20"/>
          <w:szCs w:val="20"/>
        </w:rPr>
        <w:t xml:space="preserve">Final Score (0–100) = Raw ESG Score × 10 + Momentum Adjustment + Controversy Deduction + Forward Risk Deduction</w:t>
      </w:r>
    </w:p>
    <w:p>
      <w:pPr>
        <w:pStyle w:val="Heading2"/>
        <w:pBdr>
          <w:bottom w:val="single" w:color="B8860B" w:sz="6" w:space="2"/>
        </w:pBdr>
        <w:spacing w:after="120" w:before="280"/>
      </w:pPr>
      <w:r>
        <w:rPr>
          <w:rFonts w:ascii="Arial" w:cs="Arial" w:eastAsia="Arial" w:hAnsi="Arial"/>
          <w:b/>
          <w:bCs/>
          <w:color w:val="1B2A4A"/>
          <w:sz w:val="26"/>
          <w:szCs w:val="26"/>
        </w:rPr>
        <w:t xml:space="preserve">2.2  Data Sources &amp; Reporting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Report Year</w:t>
            </w:r>
          </w:p>
        </w:tc>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Assurance</w:t>
            </w:r>
          </w:p>
        </w:tc>
        <w:tc>
          <w:tcPr>
            <w:tcW w:type="dxa" w:w="35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Primary Source</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Hindustan Zinc Limited (HZL)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FY 2024-25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Third-party assured (BRSR Core + Limited Assurance, GRI, IFRS S2, TNFD)</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Integrated Annual Report + BRSR (ICAI Best BRSR Award Winner)</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Industries Limited</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FY 2024-25</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Reasonable Assurance (BRSR Core)</w:t>
            </w:r>
          </w:p>
        </w:tc>
        <w:tc>
          <w:tcPr>
            <w:tcW w:type="dxa" w:w="35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Integrated Annual Report 2024-25 + BRSR</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Limited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FY 2024-25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BRSR Core assured</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Integrated Annual Report 2024-25 + BRSR (with Third-Party Assurance)</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Limited</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FY 2024-25</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Bureau Veritas assured (Sustainability Report &amp; BRSR Core)</w:t>
            </w:r>
          </w:p>
        </w:tc>
        <w:tc>
          <w:tcPr>
            <w:tcW w:type="dxa" w:w="35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Integrated Annual Report 2024-25 + BRSR (Bureau Veritas Assured — FY 2023-24 ESG Factbook)</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 Limited (CIL)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FY 2024-25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Third-party assured (Joint Values ESG Services Pvt. Ltd.)</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6"/>
                <w:szCs w:val="16"/>
              </w:rPr>
              <w:t xml:space="preserve">Integrated Annual Report 2024-25 + BRSR (Joint Values ESG Services Pvt. Ltd. Assured)</w:t>
            </w:r>
          </w:p>
        </w:tc>
      </w:tr>
    </w:tbl>
    <w:p>
      <w:pPr>
        <w:spacing w:after="80"/>
      </w:pPr>
      <w:r>
        <w:t xml:space="preserve"/>
      </w:r>
    </w:p>
    <w:p>
      <w:pPr>
        <w:spacing w:after="80"/>
      </w:pPr>
      <w:r>
        <w:rPr>
          <w:rFonts w:ascii="Arial" w:cs="Arial" w:eastAsia="Arial" w:hAnsi="Arial"/>
          <w:b w:val="false"/>
          <w:bCs w:val="false"/>
          <w:color w:val="000000"/>
          <w:sz w:val="18"/>
          <w:szCs w:val="18"/>
        </w:rPr>
        <w:t xml:space="preserve">Disclaimer: All ESG data is sourced exclusively from publicly available company disclosures. Ratings represent the independent analytical judgment of the author and do not constitute investment advice. Scores may differ from commercial ESG data providers due to proprietary weighting and sectoral calibration.</w:t>
      </w:r>
    </w:p>
    <w:p>
      <w:r>
        <w:br w:type="page"/>
      </w:r>
    </w:p>
    <w:p>
      <w:pPr>
        <w:pStyle w:val="Heading1"/>
        <w:shd w:fill="1B2A4A" w:val="clear"/>
        <w:spacing w:after="160" w:before="320"/>
        <w:ind w:left="200"/>
      </w:pPr>
      <w:r>
        <w:rPr>
          <w:rFonts w:ascii="Arial" w:cs="Arial" w:eastAsia="Arial" w:hAnsi="Arial"/>
          <w:b/>
          <w:bCs/>
          <w:color w:val="FFFFFF"/>
          <w:sz w:val="32"/>
          <w:szCs w:val="32"/>
        </w:rPr>
        <w:t xml:space="preserve">SECTION 3 — COMPARATIVE ESG SCORECARD &amp; BENCHMARKING</w:t>
      </w:r>
    </w:p>
    <w:p>
      <w:pPr>
        <w:pStyle w:val="Heading2"/>
        <w:pBdr>
          <w:bottom w:val="single" w:color="B8860B" w:sz="6" w:space="2"/>
        </w:pBdr>
        <w:spacing w:after="120" w:before="280"/>
      </w:pPr>
      <w:r>
        <w:rPr>
          <w:rFonts w:ascii="Arial" w:cs="Arial" w:eastAsia="Arial" w:hAnsi="Arial"/>
          <w:b/>
          <w:bCs/>
          <w:color w:val="1B2A4A"/>
          <w:sz w:val="26"/>
          <w:szCs w:val="26"/>
        </w:rPr>
        <w:t xml:space="preserve">3.1  Pillar-Level Comparative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600"/>
        <w:gridCol w:w="1600"/>
        <w:gridCol w:w="2080"/>
      </w:tblGrid>
      <w:tr>
        <w:trPr>
          <w:tblHeader/>
        </w:trPr>
        <w:tc>
          <w:tcPr>
            <w:tcW w:type="dxa" w:w="2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E Score
/10</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 Score
/10</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G Score
/10</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Score /100</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Rating</w:t>
            </w:r>
          </w:p>
        </w:tc>
        <w:tc>
          <w:tcPr>
            <w:tcW w:type="dxa" w:w="20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Percentile vs
Sector Peers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Hindustan Zinc Limited (HZL)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8.25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7.94</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8.33</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82.3</w:t>
            </w:r>
          </w:p>
        </w:tc>
        <w:tc>
          <w:tcPr>
            <w:tcW w:type="dxa" w:w="1600"/>
            <w:tcBorders>
              <w:top w:val="single" w:color="BBBBBB" w:sz="1"/>
              <w:left w:val="single" w:color="BBBBBB" w:sz="1"/>
              <w:bottom w:val="single" w:color="BBBBBB" w:sz="1"/>
              <w:right w:val="single" w:color="BBBBBB" w:sz="1"/>
            </w:tcBorders>
            <w:shd w:fill="1A7A3C"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AA</w:t>
            </w:r>
          </w:p>
        </w:tc>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Top 5% — Global ESG Leader</w:t>
            </w:r>
          </w:p>
        </w:tc>
      </w:tr>
      <w:tr>
        <w:tc>
          <w:tcPr>
            <w:tcW w:type="dxa" w:w="2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Industries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7.50</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7.56</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7.75</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75.8</w:t>
            </w:r>
          </w:p>
        </w:tc>
        <w:tc>
          <w:tcPr>
            <w:tcW w:type="dxa" w:w="1600"/>
            <w:tcBorders>
              <w:top w:val="single" w:color="BBBBBB" w:sz="1"/>
              <w:left w:val="single" w:color="BBBBBB" w:sz="1"/>
              <w:bottom w:val="single" w:color="BBBBBB" w:sz="1"/>
              <w:right w:val="single" w:color="BBBBBB" w:sz="1"/>
            </w:tcBorders>
            <w:shd w:fill="27AE60"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A</w:t>
            </w:r>
          </w:p>
        </w:tc>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Top 15% — Strong Performer</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Limited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6.65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6.94</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7.08</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65.9</w:t>
            </w:r>
          </w:p>
        </w:tc>
        <w:tc>
          <w:tcPr>
            <w:tcW w:type="dxa" w:w="160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BBB</w:t>
            </w:r>
          </w:p>
        </w:tc>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Top 30% — Above Median</w:t>
            </w:r>
          </w:p>
        </w:tc>
      </w:tr>
      <w:tr>
        <w:tc>
          <w:tcPr>
            <w:tcW w:type="dxa" w:w="2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6.20</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6.75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6.67</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64.8</w:t>
            </w:r>
          </w:p>
        </w:tc>
        <w:tc>
          <w:tcPr>
            <w:tcW w:type="dxa" w:w="160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BBB</w:t>
            </w:r>
          </w:p>
        </w:tc>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Top 45% — At Sector Median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 Limited (CIL)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4.65</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6.19</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2"/>
                <w:szCs w:val="22"/>
              </w:rPr>
              <w:t xml:space="preserve">52.5</w:t>
            </w:r>
          </w:p>
        </w:tc>
        <w:tc>
          <w:tcPr>
            <w:tcW w:type="dxa" w:w="1600"/>
            <w:tcBorders>
              <w:top w:val="single" w:color="BBBBBB" w:sz="1"/>
              <w:left w:val="single" w:color="BBBBBB" w:sz="1"/>
              <w:bottom w:val="single" w:color="BBBBBB" w:sz="1"/>
              <w:right w:val="single" w:color="BBBBBB"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BB</w:t>
            </w:r>
          </w:p>
        </w:tc>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Bottom 40% — Below Median</w:t>
            </w:r>
          </w:p>
        </w:tc>
      </w:tr>
      <w:tr>
        <w:tc>
          <w:tcPr>
            <w:tcW w:type="dxa" w:w="22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left"/>
            </w:pPr>
            <w:r>
              <w:rPr>
                <w:rFonts w:ascii="Arial" w:cs="Arial" w:eastAsia="Arial" w:hAnsi="Arial"/>
                <w:b/>
                <w:bCs/>
                <w:color w:val="1B2A4A"/>
                <w:sz w:val="20"/>
                <w:szCs w:val="20"/>
              </w:rPr>
              <w:t xml:space="preserve">Peer Group Average</w:t>
            </w:r>
          </w:p>
        </w:tc>
        <w:tc>
          <w:tcPr>
            <w:tcW w:type="dxa" w:w="12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6.65</w:t>
            </w:r>
          </w:p>
        </w:tc>
        <w:tc>
          <w:tcPr>
            <w:tcW w:type="dxa" w:w="12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7.08</w:t>
            </w:r>
          </w:p>
        </w:tc>
        <w:tc>
          <w:tcPr>
            <w:tcW w:type="dxa" w:w="12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7.17</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68.3</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BBB~</w:t>
            </w:r>
          </w:p>
        </w:tc>
        <w:tc>
          <w:tcPr>
            <w:tcW w:type="dxa" w:w="208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left"/>
            </w:pPr>
            <w:r>
              <w:rPr>
                <w:rFonts w:ascii="Arial" w:cs="Arial" w:eastAsia="Arial" w:hAnsi="Arial"/>
                <w:b w:val="false"/>
                <w:bCs w:val="false"/>
                <w:color w:val="1B2A4A"/>
                <w:sz w:val="20"/>
                <w:szCs w:val="20"/>
              </w:rPr>
              <w:t xml:space="preserve">Sector Benchmark</w:t>
            </w:r>
          </w:p>
        </w:tc>
      </w:tr>
    </w:tbl>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3.2  Parameter-Level Scorecard — All Companies</w:t>
      </w:r>
    </w:p>
    <w:p>
      <w:pPr>
        <w:spacing w:after="80"/>
      </w:pPr>
      <w:r>
        <w:rPr>
          <w:rFonts w:ascii="Arial" w:cs="Arial" w:eastAsia="Arial" w:hAnsi="Arial"/>
          <w:b w:val="false"/>
          <w:bCs w:val="false"/>
          <w:color w:val="000000"/>
          <w:sz w:val="20"/>
          <w:szCs w:val="20"/>
        </w:rPr>
        <w:t xml:space="preserve">The table below presents key ESG parameter scores across all five companies, enabling side-by-side investor comparison across material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0"/>
        <w:gridCol w:w="1600"/>
        <w:gridCol w:w="1600"/>
        <w:gridCol w:w="1600"/>
        <w:gridCol w:w="1600"/>
        <w:gridCol w:w="1600"/>
      </w:tblGrid>
      <w:tr>
        <w:trPr>
          <w:tblHeader/>
        </w:trPr>
        <w:tc>
          <w:tcPr>
            <w:tcW w:type="dxa" w:w="20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ESG Parameter</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Hindustan Zinc</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Hindalco Ind.</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Vedanta Ltd.</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NMDC Ltd.</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Coal India</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GHG Emissions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3.50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Energy Management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4.50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Water Stewardship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9.00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Waste &amp; Circular Economy</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5.00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Biodiversity</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5.00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Air Quality</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4.00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Env. Management System</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9.00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ESG Disclosure Quality</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9.50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Net Zero Strategy</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3.00</w:t>
            </w:r>
          </w:p>
        </w:tc>
      </w:tr>
      <w:tr>
        <w:tc>
          <w:tcPr>
            <w:tcW w:type="dxa" w:w="208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left"/>
            </w:pPr>
            <w:r>
              <w:rPr>
                <w:rFonts w:ascii="Arial" w:cs="Arial" w:eastAsia="Arial" w:hAnsi="Arial"/>
                <w:b/>
                <w:bCs/>
                <w:color w:val="1B2A4A"/>
                <w:sz w:val="20"/>
                <w:szCs w:val="20"/>
              </w:rPr>
              <w:t xml:space="preserve">ENVIRONMENTAL (AVG)</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8.25</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6.65</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6.20</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4.65</w:t>
            </w:r>
          </w:p>
        </w:tc>
      </w:tr>
      <w:tr>
        <w:tc>
          <w:tcPr>
            <w:tcW w:type="dxa" w:w="2080"/>
            <w:gridSpan w:val="6"/>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SOCIAL PARAMETERS</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Health &amp; Safety (LTIFR)</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DEI &amp; Inclusion</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Training &amp; Development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Community Investment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Human Rights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r>
      <w:tr>
        <w:tc>
          <w:tcPr>
            <w:tcW w:type="dxa" w:w="208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left"/>
            </w:pPr>
            <w:r>
              <w:rPr>
                <w:rFonts w:ascii="Arial" w:cs="Arial" w:eastAsia="Arial" w:hAnsi="Arial"/>
                <w:b/>
                <w:bCs/>
                <w:color w:val="1B2A4A"/>
                <w:sz w:val="20"/>
                <w:szCs w:val="20"/>
              </w:rPr>
              <w:t xml:space="preserve">SOCIAL (AVG)</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7.94</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7.56</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6.94</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6.75</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6.19</w:t>
            </w:r>
          </w:p>
        </w:tc>
      </w:tr>
      <w:tr>
        <w:tc>
          <w:tcPr>
            <w:tcW w:type="dxa" w:w="2080"/>
            <w:gridSpan w:val="6"/>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GOVERNANCE PARAMETERS</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Board Composition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Ethics &amp; Anti-Corruption</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Transparency &amp; Disclosure</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9.50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Risk Management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r>
      <w:tr>
        <w:tc>
          <w:tcPr>
            <w:tcW w:type="dxa" w:w="2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Executive Compensation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20"/>
                <w:szCs w:val="20"/>
              </w:rPr>
              <w:t xml:space="preserve">5.50</w:t>
            </w:r>
          </w:p>
        </w:tc>
      </w:tr>
      <w:tr>
        <w:tc>
          <w:tcPr>
            <w:tcW w:type="dxa" w:w="2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Audit &amp; Assurance</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20"/>
                <w:szCs w:val="20"/>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7.50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7.00</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20"/>
                <w:szCs w:val="20"/>
              </w:rPr>
              <w:t xml:space="preserve">6.50</w:t>
            </w:r>
          </w:p>
        </w:tc>
      </w:tr>
      <w:tr>
        <w:tc>
          <w:tcPr>
            <w:tcW w:type="dxa" w:w="208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left"/>
            </w:pPr>
            <w:r>
              <w:rPr>
                <w:rFonts w:ascii="Arial" w:cs="Arial" w:eastAsia="Arial" w:hAnsi="Arial"/>
                <w:b/>
                <w:bCs/>
                <w:color w:val="1B2A4A"/>
                <w:sz w:val="20"/>
                <w:szCs w:val="20"/>
              </w:rPr>
              <w:t xml:space="preserve">GOVERNANCE (AVG)</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8.33</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7.75</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7.08</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6.67</w:t>
            </w:r>
          </w:p>
        </w:tc>
        <w:tc>
          <w:tcPr>
            <w:tcW w:type="dxa" w:w="1600"/>
            <w:tcBorders>
              <w:top w:val="single" w:color="BBBBBB" w:sz="1"/>
              <w:left w:val="single" w:color="BBBBBB" w:sz="1"/>
              <w:bottom w:val="single" w:color="BBBBBB" w:sz="1"/>
              <w:right w:val="single" w:color="BBBBBB" w:sz="1"/>
            </w:tcBorders>
            <w:shd w:fill="E8EDF4" w:val="clear"/>
            <w:tcMar>
              <w:top w:type="dxa" w:w="70"/>
              <w:left w:type="dxa" w:w="110"/>
              <w:bottom w:type="dxa" w:w="70"/>
              <w:right w:type="dxa" w:w="110"/>
            </w:tcMar>
            <w:vAlign w:val="center"/>
          </w:tcPr>
          <w:p>
            <w:pPr>
              <w:jc w:val="center"/>
            </w:pPr>
            <w:r>
              <w:rPr>
                <w:rFonts w:ascii="Arial" w:cs="Arial" w:eastAsia="Arial" w:hAnsi="Arial"/>
                <w:b/>
                <w:bCs/>
                <w:color w:val="E67E22"/>
                <w:sz w:val="20"/>
                <w:szCs w:val="20"/>
              </w:rPr>
              <w:t xml:space="preserve">6.00</w:t>
            </w:r>
          </w:p>
        </w:tc>
      </w:tr>
    </w:tbl>
    <w:p>
      <w:r>
        <w:br w:type="page"/>
      </w:r>
    </w:p>
    <w:p>
      <w:pPr>
        <w:pStyle w:val="Heading1"/>
        <w:shd w:fill="1B2A4A" w:val="clear"/>
        <w:spacing w:after="160" w:before="320"/>
        <w:ind w:left="200"/>
      </w:pPr>
      <w:r>
        <w:rPr>
          <w:rFonts w:ascii="Arial" w:cs="Arial" w:eastAsia="Arial" w:hAnsi="Arial"/>
          <w:b/>
          <w:bCs/>
          <w:color w:val="FFFFFF"/>
          <w:sz w:val="32"/>
          <w:szCs w:val="32"/>
        </w:rPr>
        <w:t xml:space="preserve">SECTION 4 — INDIVIDUAL COMPANY ESG RATING PROFILES</w:t>
      </w:r>
    </w:p>
    <w:p>
      <w:pPr>
        <w:spacing w:after="80"/>
      </w:pPr>
      <w:r>
        <w:rPr>
          <w:rFonts w:ascii="Arial" w:cs="Arial" w:eastAsia="Arial" w:hAnsi="Arial"/>
          <w:b w:val="false"/>
          <w:bCs w:val="false"/>
          <w:color w:val="000000"/>
          <w:sz w:val="20"/>
          <w:szCs w:val="20"/>
        </w:rPr>
        <w:t xml:space="preserve">Each company is rated individually with full evidence, strengths, weaknesses, missing disclosures, and a 12-month + 3-year improvement roadmap.</w:t>
      </w:r>
    </w:p>
    <w:p>
      <w:r>
        <w:br w:type="page"/>
      </w:r>
    </w:p>
    <w:p>
      <w:pPr>
        <w:shd w:fill="1B2A4A" w:val="clear"/>
        <w:spacing w:after="0" w:before="0"/>
        <w:jc w:val="center"/>
      </w:pPr>
      <w:r>
        <w:rPr>
          <w:rFonts w:ascii="Arial" w:cs="Arial" w:eastAsia="Arial" w:hAnsi="Arial"/>
          <w:b/>
          <w:bCs/>
          <w:color w:val="B8860B"/>
          <w:sz w:val="36"/>
          <w:szCs w:val="36"/>
        </w:rPr>
        <w:t xml:space="preserve"> #1 — Hindustan Zinc Limited (HZL) </w:t>
      </w:r>
    </w:p>
    <w:p>
      <w:pPr>
        <w:shd w:fill="1B2A4A" w:val="clear"/>
        <w:spacing w:after="0"/>
        <w:jc w:val="center"/>
      </w:pPr>
      <w:r>
        <w:rPr>
          <w:rFonts w:ascii="Arial" w:cs="Arial" w:eastAsia="Arial" w:hAnsi="Arial"/>
          <w:color w:val="FFFFFF"/>
          <w:sz w:val="20"/>
          <w:szCs w:val="20"/>
        </w:rPr>
        <w:t xml:space="preserve">Metals &amp; Mining — Zinc/Lead/Silver  |  HZL.NSE  |  Mkt Cap: ~₹1,87,000 Cr</w:t>
      </w:r>
    </w:p>
    <w:p>
      <w:pPr>
        <w:shd w:fill="1B2A4A" w:val="clear"/>
        <w:spacing w:after="0"/>
        <w:jc w:val="center"/>
      </w:pPr>
      <w:r>
        <w:rPr>
          <w:rFonts w:ascii="Arial" w:cs="Arial" w:eastAsia="Arial" w:hAnsi="Arial"/>
          <w:color w:val="E8EDF4"/>
          <w:sz w:val="18"/>
          <w:szCs w:val="18"/>
        </w:rPr>
        <w:t xml:space="preserve">Report: FY 2024-25  |  Assurance: Third-party assured (BRSR Core + Limited Assurance, GRI, IFRS S2, TNFD)</w:t>
      </w:r>
    </w:p>
    <w:p>
      <w:pPr>
        <w:shd w:fill="1B2A4A" w:val="clear"/>
        <w:spacing w:after="0"/>
        <w:jc w:val="center"/>
      </w:pPr>
      <w:r>
        <w:rPr>
          <w:rFonts w:ascii="Arial" w:cs="Arial" w:eastAsia="Arial" w:hAnsi="Arial"/>
          <w:sz w:val="12"/>
          <w:szCs w:val="12"/>
        </w:rPr>
        <w:t xml:space="preserve"> </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ENVIRONMENTAL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SOCIAL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GOVERNANCE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ESG SCORE</w:t>
            </w:r>
          </w:p>
        </w:tc>
      </w:tr>
      <w:tr>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8.25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7.94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8.33 / 10</w:t>
            </w:r>
          </w:p>
        </w:tc>
        <w:tc>
          <w:tcPr>
            <w:tcW w:type="dxa" w:w="2520"/>
            <w:tcBorders>
              <w:top w:val="single" w:color="BBBBBB" w:sz="1"/>
              <w:left w:val="single" w:color="BBBBBB" w:sz="1"/>
              <w:bottom w:val="single" w:color="BBBBBB" w:sz="1"/>
              <w:right w:val="single" w:color="BBBBBB" w:sz="1"/>
            </w:tcBorders>
            <w:shd w:fill="1A7A3C" w:val="clear"/>
            <w:tcMar>
              <w:top w:type="dxa" w:w="70"/>
              <w:left w:type="dxa" w:w="110"/>
              <w:bottom w:type="dxa" w:w="70"/>
              <w:right w:type="dxa" w:w="110"/>
            </w:tcMar>
            <w:vAlign w:val="center"/>
          </w:tcPr>
          <w:p>
            <w:pPr>
              <w:jc w:val="center"/>
            </w:pPr>
            <w:r>
              <w:rPr>
                <w:rFonts w:ascii="Arial" w:cs="Arial" w:eastAsia="Arial" w:hAnsi="Arial"/>
                <w:b/>
                <w:bCs/>
                <w:color w:val="FFFFFF"/>
                <w:sz w:val="40"/>
                <w:szCs w:val="40"/>
              </w:rPr>
              <w:t xml:space="preserve">82.3 / 100</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30%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25%</w:t>
            </w:r>
          </w:p>
        </w:tc>
        <w:tc>
          <w:tcPr>
            <w:tcW w:type="dxa" w:w="2520"/>
            <w:tcBorders>
              <w:top w:val="single" w:color="BBBBBB" w:sz="1"/>
              <w:left w:val="single" w:color="BBBBBB" w:sz="1"/>
              <w:bottom w:val="single" w:color="BBBBBB" w:sz="1"/>
              <w:right w:val="single" w:color="BBBBBB" w:sz="1"/>
            </w:tcBorders>
            <w:shd w:fill="1A7A3C"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RATING: AA</w:t>
            </w:r>
          </w:p>
        </w:tc>
      </w:tr>
    </w:tbl>
    <w:p>
      <w:pPr>
        <w:spacing w:after="80"/>
      </w:pPr>
      <w:r>
        <w:t xml:space="preserve"/>
      </w:r>
    </w:p>
    <w:p>
      <w:pPr>
        <w:spacing w:after="80" w:before="200"/>
      </w:pPr>
      <w:r>
        <w:rPr>
          <w:rFonts w:ascii="Arial" w:cs="Arial" w:eastAsia="Arial" w:hAnsi="Arial"/>
          <w:b/>
          <w:bCs/>
          <w:color w:val="1B2A4A"/>
          <w:sz w:val="22"/>
          <w:szCs w:val="22"/>
        </w:rPr>
        <w:t xml:space="preserve">▲  Top 3 ESG Strengths</w:t>
      </w:r>
    </w:p>
    <w:p>
      <w:pPr>
        <w:pStyle w:val="ListParagraph"/>
        <w:numPr>
          <w:ilvl w:val="0"/>
          <w:numId w:val="2"/>
        </w:numPr>
        <w:spacing w:after="60"/>
      </w:pPr>
      <w:r>
        <w:rPr>
          <w:rFonts w:ascii="Arial" w:cs="Arial" w:eastAsia="Arial" w:hAnsi="Arial"/>
          <w:sz w:val="20"/>
          <w:szCs w:val="20"/>
        </w:rPr>
        <w:t xml:space="preserve">World's most sustainable metals &amp; mining company — S&amp;P Global CSA score 90/100 (2025); Top 1% globally for 3rd consecutive year</w:t>
      </w:r>
    </w:p>
    <w:p>
      <w:pPr>
        <w:pStyle w:val="ListParagraph"/>
        <w:numPr>
          <w:ilvl w:val="0"/>
          <w:numId w:val="2"/>
        </w:numPr>
        <w:spacing w:after="60"/>
      </w:pPr>
      <w:r>
        <w:rPr>
          <w:rFonts w:ascii="Arial" w:cs="Arial" w:eastAsia="Arial" w:hAnsi="Arial"/>
          <w:sz w:val="20"/>
          <w:szCs w:val="20"/>
        </w:rPr>
        <w:t xml:space="preserve">Best BRSR Report (Large-Cap Manufacturing) — 4th ICAI Sustainability Reporting Awards 2026; voluntary adoption since FY 2021-22</w:t>
      </w:r>
    </w:p>
    <w:p>
      <w:pPr>
        <w:pStyle w:val="ListParagraph"/>
        <w:numPr>
          <w:ilvl w:val="0"/>
          <w:numId w:val="2"/>
        </w:numPr>
        <w:spacing w:after="60"/>
      </w:pPr>
      <w:r>
        <w:rPr>
          <w:rFonts w:ascii="Arial" w:cs="Arial" w:eastAsia="Arial" w:hAnsi="Arial"/>
          <w:sz w:val="20"/>
          <w:szCs w:val="20"/>
        </w:rPr>
        <w:t xml:space="preserve">3.32× Water Positive certification; SBTi-validated Net Zero pathway; EcoZen green zinc at &lt;1 tCO2e/tonne (~75% below global average)</w:t>
      </w:r>
    </w:p>
    <w:p>
      <w:pPr>
        <w:spacing w:after="80"/>
      </w:pPr>
      <w:r>
        <w:t xml:space="preserve"/>
      </w:r>
    </w:p>
    <w:p>
      <w:pPr>
        <w:spacing w:after="80" w:before="200"/>
      </w:pPr>
      <w:r>
        <w:rPr>
          <w:rFonts w:ascii="Arial" w:cs="Arial" w:eastAsia="Arial" w:hAnsi="Arial"/>
          <w:b/>
          <w:bCs/>
          <w:color w:val="1B2A4A"/>
          <w:sz w:val="22"/>
          <w:szCs w:val="22"/>
        </w:rPr>
        <w:t xml:space="preserve">▼  Top 3 ESG Weaknesses</w:t>
      </w:r>
    </w:p>
    <w:p>
      <w:pPr>
        <w:pStyle w:val="ListParagraph"/>
        <w:numPr>
          <w:ilvl w:val="0"/>
          <w:numId w:val="2"/>
        </w:numPr>
        <w:spacing w:after="60"/>
      </w:pPr>
      <w:r>
        <w:rPr>
          <w:rFonts w:ascii="Arial" w:cs="Arial" w:eastAsia="Arial" w:hAnsi="Arial"/>
          <w:sz w:val="20"/>
          <w:szCs w:val="20"/>
        </w:rPr>
        <w:t xml:space="preserve">Renewable energy share at only ~19% of power mix in FY 2024-25 against 70% target by FY28 — pace of transition needs acceleration</w:t>
      </w:r>
    </w:p>
    <w:p>
      <w:pPr>
        <w:pStyle w:val="ListParagraph"/>
        <w:numPr>
          <w:ilvl w:val="0"/>
          <w:numId w:val="2"/>
        </w:numPr>
        <w:spacing w:after="60"/>
      </w:pPr>
      <w:r>
        <w:rPr>
          <w:rFonts w:ascii="Arial" w:cs="Arial" w:eastAsia="Arial" w:hAnsi="Arial"/>
          <w:sz w:val="20"/>
          <w:szCs w:val="20"/>
        </w:rPr>
        <w:t xml:space="preserve">Silver volume decline in FY 2024-25 creates partial revenue pressure; Scope 3 supply chain emissions not yet fully quantified</w:t>
      </w:r>
    </w:p>
    <w:p>
      <w:pPr>
        <w:pStyle w:val="ListParagraph"/>
        <w:numPr>
          <w:ilvl w:val="0"/>
          <w:numId w:val="2"/>
        </w:numPr>
        <w:spacing w:after="60"/>
      </w:pPr>
      <w:r>
        <w:rPr>
          <w:rFonts w:ascii="Arial" w:cs="Arial" w:eastAsia="Arial" w:hAnsi="Arial"/>
          <w:sz w:val="20"/>
          <w:szCs w:val="20"/>
        </w:rPr>
        <w:t xml:space="preserve">Related-party transactions with Vedanta parent company require ongoing scrutiny from minority investors</w:t>
      </w:r>
    </w:p>
    <w:p>
      <w:pPr>
        <w:spacing w:after="80"/>
      </w:pPr>
      <w:r>
        <w:t xml:space="preserve"/>
      </w:r>
    </w:p>
    <w:p>
      <w:pPr>
        <w:spacing w:after="80" w:before="200"/>
      </w:pPr>
      <w:r>
        <w:rPr>
          <w:rFonts w:ascii="Arial" w:cs="Arial" w:eastAsia="Arial" w:hAnsi="Arial"/>
          <w:b/>
          <w:bCs/>
          <w:color w:val="1B2A4A"/>
          <w:sz w:val="22"/>
          <w:szCs w:val="22"/>
        </w:rPr>
        <w:t xml:space="preserve">⚠  Missing / Insufficient Disclosures</w:t>
      </w:r>
    </w:p>
    <w:p>
      <w:pPr>
        <w:pStyle w:val="ListParagraph"/>
        <w:numPr>
          <w:ilvl w:val="0"/>
          <w:numId w:val="2"/>
        </w:numPr>
        <w:spacing w:after="60"/>
      </w:pPr>
      <w:r>
        <w:rPr>
          <w:rFonts w:ascii="Arial" w:cs="Arial" w:eastAsia="Arial" w:hAnsi="Arial"/>
          <w:sz w:val="20"/>
          <w:szCs w:val="20"/>
        </w:rPr>
        <w:t xml:space="preserve">Full Scope 3 value chain quantification</w:t>
      </w:r>
    </w:p>
    <w:p>
      <w:pPr>
        <w:pStyle w:val="ListParagraph"/>
        <w:numPr>
          <w:ilvl w:val="0"/>
          <w:numId w:val="2"/>
        </w:numPr>
        <w:spacing w:after="60"/>
      </w:pPr>
      <w:r>
        <w:rPr>
          <w:rFonts w:ascii="Arial" w:cs="Arial" w:eastAsia="Arial" w:hAnsi="Arial"/>
          <w:sz w:val="20"/>
          <w:szCs w:val="20"/>
        </w:rPr>
        <w:t xml:space="preserve">BRSR Core value chain (voluntary FY25-26)</w:t>
      </w:r>
    </w:p>
    <w:p>
      <w:pPr>
        <w:pStyle w:val="ListParagraph"/>
        <w:numPr>
          <w:ilvl w:val="0"/>
          <w:numId w:val="2"/>
        </w:numPr>
        <w:spacing w:after="60"/>
      </w:pPr>
      <w:r>
        <w:rPr>
          <w:rFonts w:ascii="Arial" w:cs="Arial" w:eastAsia="Arial" w:hAnsi="Arial"/>
          <w:sz w:val="20"/>
          <w:szCs w:val="20"/>
        </w:rPr>
        <w:t xml:space="preserve">Board gender diversity data not prominently disclosed</w:t>
      </w:r>
    </w:p>
    <w:p>
      <w:pPr>
        <w:spacing w:after="80"/>
      </w:pPr>
      <w:r>
        <w:t xml:space="preserve"/>
      </w:r>
    </w:p>
    <w:p>
      <w:pPr>
        <w:spacing w:after="80" w:before="200"/>
      </w:pPr>
      <w:r>
        <w:rPr>
          <w:rFonts w:ascii="Arial" w:cs="Arial" w:eastAsia="Arial" w:hAnsi="Arial"/>
          <w:b/>
          <w:bCs/>
          <w:color w:val="1B2A4A"/>
          <w:sz w:val="22"/>
          <w:szCs w:val="22"/>
        </w:rPr>
        <w:t xml:space="preserve">🎯  Improvement Roadmap</w:t>
      </w:r>
    </w:p>
    <w:p>
      <w:pPr>
        <w:pStyle w:val="ListParagraph"/>
        <w:numPr>
          <w:ilvl w:val="0"/>
          <w:numId w:val="2"/>
        </w:numPr>
        <w:spacing w:after="60"/>
      </w:pPr>
      <w:r>
        <w:rPr>
          <w:rFonts w:ascii="Arial" w:cs="Arial" w:eastAsia="Arial" w:hAnsi="Arial"/>
          <w:sz w:val="20"/>
          <w:szCs w:val="20"/>
        </w:rPr>
        <w:t xml:space="preserve">12-Month: Commission 530 MW RE agreement; achieve &gt;25% renewable share; complete TNFD value-chain boundary expansion</w:t>
      </w:r>
    </w:p>
    <w:p>
      <w:pPr>
        <w:pStyle w:val="ListParagraph"/>
        <w:numPr>
          <w:ilvl w:val="0"/>
          <w:numId w:val="2"/>
        </w:numPr>
        <w:spacing w:after="60"/>
      </w:pPr>
      <w:r>
        <w:rPr>
          <w:rFonts w:ascii="Arial" w:cs="Arial" w:eastAsia="Arial" w:hAnsi="Arial"/>
          <w:sz w:val="20"/>
          <w:szCs w:val="20"/>
        </w:rPr>
        <w:t xml:space="preserve">3-Year: Reach 70% RE by FY28; publish first SBTi interim progress report; attain AAA ESG band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 Adj.</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81.8</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+1.0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-0.5</w:t>
            </w:r>
          </w:p>
        </w:tc>
      </w:tr>
    </w:tbl>
    <w:p>
      <w:r>
        <w:br w:type="page"/>
      </w:r>
    </w:p>
    <w:p>
      <w:pPr>
        <w:shd w:fill="1B2A4A" w:val="clear"/>
        <w:spacing w:after="0" w:before="0"/>
        <w:jc w:val="center"/>
      </w:pPr>
      <w:r>
        <w:rPr>
          <w:rFonts w:ascii="Arial" w:cs="Arial" w:eastAsia="Arial" w:hAnsi="Arial"/>
          <w:b/>
          <w:bCs/>
          <w:color w:val="B8860B"/>
          <w:sz w:val="36"/>
          <w:szCs w:val="36"/>
        </w:rPr>
        <w:t xml:space="preserve"> #2 — Hindalco Industries Limited </w:t>
      </w:r>
    </w:p>
    <w:p>
      <w:pPr>
        <w:shd w:fill="1B2A4A" w:val="clear"/>
        <w:spacing w:after="0"/>
        <w:jc w:val="center"/>
      </w:pPr>
      <w:r>
        <w:rPr>
          <w:rFonts w:ascii="Arial" w:cs="Arial" w:eastAsia="Arial" w:hAnsi="Arial"/>
          <w:color w:val="FFFFFF"/>
          <w:sz w:val="20"/>
          <w:szCs w:val="20"/>
        </w:rPr>
        <w:t xml:space="preserve">Metals &amp; Mining — Aluminium &amp; Copper  |  HINDALCO.NSE  |  Mkt Cap: ~₹1,55,000 Cr</w:t>
      </w:r>
    </w:p>
    <w:p>
      <w:pPr>
        <w:shd w:fill="1B2A4A" w:val="clear"/>
        <w:spacing w:after="0"/>
        <w:jc w:val="center"/>
      </w:pPr>
      <w:r>
        <w:rPr>
          <w:rFonts w:ascii="Arial" w:cs="Arial" w:eastAsia="Arial" w:hAnsi="Arial"/>
          <w:color w:val="E8EDF4"/>
          <w:sz w:val="18"/>
          <w:szCs w:val="18"/>
        </w:rPr>
        <w:t xml:space="preserve">Report: FY 2024-25  |  Assurance: Reasonable Assurance (BRSR Core)</w:t>
      </w:r>
    </w:p>
    <w:p>
      <w:pPr>
        <w:shd w:fill="1B2A4A" w:val="clear"/>
        <w:spacing w:after="0"/>
        <w:jc w:val="center"/>
      </w:pPr>
      <w:r>
        <w:rPr>
          <w:rFonts w:ascii="Arial" w:cs="Arial" w:eastAsia="Arial" w:hAnsi="Arial"/>
          <w:sz w:val="12"/>
          <w:szCs w:val="12"/>
        </w:rPr>
        <w:t xml:space="preserve"> </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ENVIRONMENTAL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SOCIAL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GOVERNANCE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ESG SCORE</w:t>
            </w:r>
          </w:p>
        </w:tc>
      </w:tr>
      <w:tr>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7.50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7.56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7.75 / 10</w:t>
            </w:r>
          </w:p>
        </w:tc>
        <w:tc>
          <w:tcPr>
            <w:tcW w:type="dxa" w:w="2520"/>
            <w:tcBorders>
              <w:top w:val="single" w:color="BBBBBB" w:sz="1"/>
              <w:left w:val="single" w:color="BBBBBB" w:sz="1"/>
              <w:bottom w:val="single" w:color="BBBBBB" w:sz="1"/>
              <w:right w:val="single" w:color="BBBBBB" w:sz="1"/>
            </w:tcBorders>
            <w:shd w:fill="27AE60" w:val="clear"/>
            <w:tcMar>
              <w:top w:type="dxa" w:w="70"/>
              <w:left w:type="dxa" w:w="110"/>
              <w:bottom w:type="dxa" w:w="70"/>
              <w:right w:type="dxa" w:w="110"/>
            </w:tcMar>
            <w:vAlign w:val="center"/>
          </w:tcPr>
          <w:p>
            <w:pPr>
              <w:jc w:val="center"/>
            </w:pPr>
            <w:r>
              <w:rPr>
                <w:rFonts w:ascii="Arial" w:cs="Arial" w:eastAsia="Arial" w:hAnsi="Arial"/>
                <w:b/>
                <w:bCs/>
                <w:color w:val="FFFFFF"/>
                <w:sz w:val="40"/>
                <w:szCs w:val="40"/>
              </w:rPr>
              <w:t xml:space="preserve">75.8 / 100</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30%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25%</w:t>
            </w:r>
          </w:p>
        </w:tc>
        <w:tc>
          <w:tcPr>
            <w:tcW w:type="dxa" w:w="2520"/>
            <w:tcBorders>
              <w:top w:val="single" w:color="BBBBBB" w:sz="1"/>
              <w:left w:val="single" w:color="BBBBBB" w:sz="1"/>
              <w:bottom w:val="single" w:color="BBBBBB" w:sz="1"/>
              <w:right w:val="single" w:color="BBBBBB" w:sz="1"/>
            </w:tcBorders>
            <w:shd w:fill="27AE60"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RATING: A</w:t>
            </w:r>
          </w:p>
        </w:tc>
      </w:tr>
    </w:tbl>
    <w:p>
      <w:pPr>
        <w:spacing w:after="80"/>
      </w:pPr>
      <w:r>
        <w:t xml:space="preserve"/>
      </w:r>
    </w:p>
    <w:p>
      <w:pPr>
        <w:spacing w:after="80" w:before="200"/>
      </w:pPr>
      <w:r>
        <w:rPr>
          <w:rFonts w:ascii="Arial" w:cs="Arial" w:eastAsia="Arial" w:hAnsi="Arial"/>
          <w:b/>
          <w:bCs/>
          <w:color w:val="1B2A4A"/>
          <w:sz w:val="22"/>
          <w:szCs w:val="22"/>
        </w:rPr>
        <w:t xml:space="preserve">▲  Top 3 ESG Strengths</w:t>
      </w:r>
    </w:p>
    <w:p>
      <w:pPr>
        <w:pStyle w:val="ListParagraph"/>
        <w:numPr>
          <w:ilvl w:val="0"/>
          <w:numId w:val="2"/>
        </w:numPr>
        <w:spacing w:after="60"/>
      </w:pPr>
      <w:r>
        <w:rPr>
          <w:rFonts w:ascii="Arial" w:cs="Arial" w:eastAsia="Arial" w:hAnsi="Arial"/>
          <w:sz w:val="20"/>
          <w:szCs w:val="20"/>
        </w:rPr>
        <w:t xml:space="preserve">World's first aluminium company with 24×7 RTC renewable contract using pumped hydro storage — COP28 Energy Transition Changemaker recognition</w:t>
      </w:r>
    </w:p>
    <w:p>
      <w:pPr>
        <w:pStyle w:val="ListParagraph"/>
        <w:numPr>
          <w:ilvl w:val="0"/>
          <w:numId w:val="2"/>
        </w:numPr>
        <w:spacing w:after="60"/>
      </w:pPr>
      <w:r>
        <w:rPr>
          <w:rFonts w:ascii="Arial" w:cs="Arial" w:eastAsia="Arial" w:hAnsi="Arial"/>
          <w:sz w:val="20"/>
          <w:szCs w:val="20"/>
        </w:rPr>
        <w:t xml:space="preserve">85% recycling of both hazardous and non-hazardous waste; 16 plants with zero liquid discharge; 5 mines certified water positive</w:t>
      </w:r>
    </w:p>
    <w:p>
      <w:pPr>
        <w:pStyle w:val="ListParagraph"/>
        <w:numPr>
          <w:ilvl w:val="0"/>
          <w:numId w:val="2"/>
        </w:numPr>
        <w:spacing w:after="60"/>
      </w:pPr>
      <w:r>
        <w:rPr>
          <w:rFonts w:ascii="Arial" w:cs="Arial" w:eastAsia="Arial" w:hAnsi="Arial"/>
          <w:sz w:val="20"/>
          <w:szCs w:val="20"/>
        </w:rPr>
        <w:t xml:space="preserve">Inaugural TNFD adopter; 21 India units in reporting boundary; high-quality BRSR Core with reasonable assurance</w:t>
      </w:r>
    </w:p>
    <w:p>
      <w:pPr>
        <w:spacing w:after="80"/>
      </w:pPr>
      <w:r>
        <w:t xml:space="preserve"/>
      </w:r>
    </w:p>
    <w:p>
      <w:pPr>
        <w:spacing w:after="80" w:before="200"/>
      </w:pPr>
      <w:r>
        <w:rPr>
          <w:rFonts w:ascii="Arial" w:cs="Arial" w:eastAsia="Arial" w:hAnsi="Arial"/>
          <w:b/>
          <w:bCs/>
          <w:color w:val="1B2A4A"/>
          <w:sz w:val="22"/>
          <w:szCs w:val="22"/>
        </w:rPr>
        <w:t xml:space="preserve">▼  Top 3 ESG Weaknesses</w:t>
      </w:r>
    </w:p>
    <w:p>
      <w:pPr>
        <w:pStyle w:val="ListParagraph"/>
        <w:numPr>
          <w:ilvl w:val="0"/>
          <w:numId w:val="2"/>
        </w:numPr>
        <w:spacing w:after="60"/>
      </w:pPr>
      <w:r>
        <w:rPr>
          <w:rFonts w:ascii="Arial" w:cs="Arial" w:eastAsia="Arial" w:hAnsi="Arial"/>
          <w:sz w:val="20"/>
          <w:szCs w:val="20"/>
        </w:rPr>
        <w:t xml:space="preserve">Aluminium smelting is energy-intensive with high Scope 1 GHG; no SBTi-validated Net Zero pathway as of FY 2024-25</w:t>
      </w:r>
    </w:p>
    <w:p>
      <w:pPr>
        <w:pStyle w:val="ListParagraph"/>
        <w:numPr>
          <w:ilvl w:val="0"/>
          <w:numId w:val="2"/>
        </w:numPr>
        <w:spacing w:after="60"/>
      </w:pPr>
      <w:r>
        <w:rPr>
          <w:rFonts w:ascii="Arial" w:cs="Arial" w:eastAsia="Arial" w:hAnsi="Arial"/>
          <w:sz w:val="20"/>
          <w:szCs w:val="20"/>
        </w:rPr>
        <w:t xml:space="preserve">Only 190 MW installed RE capacity — transition pace slower than peers; US$10 Bn capex plan adds long-term carbon liability risk</w:t>
      </w:r>
    </w:p>
    <w:p>
      <w:pPr>
        <w:pStyle w:val="ListParagraph"/>
        <w:numPr>
          <w:ilvl w:val="0"/>
          <w:numId w:val="2"/>
        </w:numPr>
        <w:spacing w:after="60"/>
      </w:pPr>
      <w:r>
        <w:rPr>
          <w:rFonts w:ascii="Arial" w:cs="Arial" w:eastAsia="Arial" w:hAnsi="Arial"/>
          <w:sz w:val="20"/>
          <w:szCs w:val="20"/>
        </w:rPr>
        <w:t xml:space="preserve">Air quality disclosures (NOx, SOx, fluoride) from aluminium operations remain a material disclosure and performance gap</w:t>
      </w:r>
    </w:p>
    <w:p>
      <w:pPr>
        <w:spacing w:after="80"/>
      </w:pPr>
      <w:r>
        <w:t xml:space="preserve"/>
      </w:r>
    </w:p>
    <w:p>
      <w:pPr>
        <w:spacing w:after="80" w:before="200"/>
      </w:pPr>
      <w:r>
        <w:rPr>
          <w:rFonts w:ascii="Arial" w:cs="Arial" w:eastAsia="Arial" w:hAnsi="Arial"/>
          <w:b/>
          <w:bCs/>
          <w:color w:val="1B2A4A"/>
          <w:sz w:val="22"/>
          <w:szCs w:val="22"/>
        </w:rPr>
        <w:t xml:space="preserve">⚠  Missing / Insufficient Disclosures</w:t>
      </w:r>
    </w:p>
    <w:p>
      <w:pPr>
        <w:pStyle w:val="ListParagraph"/>
        <w:numPr>
          <w:ilvl w:val="0"/>
          <w:numId w:val="2"/>
        </w:numPr>
        <w:spacing w:after="60"/>
      </w:pPr>
      <w:r>
        <w:rPr>
          <w:rFonts w:ascii="Arial" w:cs="Arial" w:eastAsia="Arial" w:hAnsi="Arial"/>
          <w:sz w:val="20"/>
          <w:szCs w:val="20"/>
        </w:rPr>
        <w:t xml:space="preserve">SBTi pathway validation</w:t>
      </w:r>
    </w:p>
    <w:p>
      <w:pPr>
        <w:pStyle w:val="ListParagraph"/>
        <w:numPr>
          <w:ilvl w:val="0"/>
          <w:numId w:val="2"/>
        </w:numPr>
        <w:spacing w:after="60"/>
      </w:pPr>
      <w:r>
        <w:rPr>
          <w:rFonts w:ascii="Arial" w:cs="Arial" w:eastAsia="Arial" w:hAnsi="Arial"/>
          <w:sz w:val="20"/>
          <w:szCs w:val="20"/>
        </w:rPr>
        <w:t xml:space="preserve">Scope 3 full quantification</w:t>
      </w:r>
    </w:p>
    <w:p>
      <w:pPr>
        <w:pStyle w:val="ListParagraph"/>
        <w:numPr>
          <w:ilvl w:val="0"/>
          <w:numId w:val="2"/>
        </w:numPr>
        <w:spacing w:after="60"/>
      </w:pPr>
      <w:r>
        <w:rPr>
          <w:rFonts w:ascii="Arial" w:cs="Arial" w:eastAsia="Arial" w:hAnsi="Arial"/>
          <w:sz w:val="20"/>
          <w:szCs w:val="20"/>
        </w:rPr>
        <w:t xml:space="preserve">CEO pay ratio disclosure</w:t>
      </w:r>
    </w:p>
    <w:p>
      <w:pPr>
        <w:pStyle w:val="ListParagraph"/>
        <w:numPr>
          <w:ilvl w:val="0"/>
          <w:numId w:val="2"/>
        </w:numPr>
        <w:spacing w:after="60"/>
      </w:pPr>
      <w:r>
        <w:rPr>
          <w:rFonts w:ascii="Arial" w:cs="Arial" w:eastAsia="Arial" w:hAnsi="Arial"/>
          <w:sz w:val="20"/>
          <w:szCs w:val="20"/>
        </w:rPr>
        <w:t xml:space="preserve">Fluoride emissions reduction targets</w:t>
      </w:r>
    </w:p>
    <w:p>
      <w:pPr>
        <w:spacing w:after="80"/>
      </w:pPr>
      <w:r>
        <w:t xml:space="preserve"/>
      </w:r>
    </w:p>
    <w:p>
      <w:pPr>
        <w:spacing w:after="80" w:before="200"/>
      </w:pPr>
      <w:r>
        <w:rPr>
          <w:rFonts w:ascii="Arial" w:cs="Arial" w:eastAsia="Arial" w:hAnsi="Arial"/>
          <w:b/>
          <w:bCs/>
          <w:color w:val="1B2A4A"/>
          <w:sz w:val="22"/>
          <w:szCs w:val="22"/>
        </w:rPr>
        <w:t xml:space="preserve">🎯  Improvement Roadmap</w:t>
      </w:r>
    </w:p>
    <w:p>
      <w:pPr>
        <w:pStyle w:val="ListParagraph"/>
        <w:numPr>
          <w:ilvl w:val="0"/>
          <w:numId w:val="2"/>
        </w:numPr>
        <w:spacing w:after="60"/>
      </w:pPr>
      <w:r>
        <w:rPr>
          <w:rFonts w:ascii="Arial" w:cs="Arial" w:eastAsia="Arial" w:hAnsi="Arial"/>
          <w:sz w:val="20"/>
          <w:szCs w:val="20"/>
        </w:rPr>
        <w:t xml:space="preserve">12-Month: Achieve SBTi commitment; expand TNFD boundary to value chain; publish standalone climate risk report aligned IFRS S2</w:t>
      </w:r>
    </w:p>
    <w:p>
      <w:pPr>
        <w:pStyle w:val="ListParagraph"/>
        <w:numPr>
          <w:ilvl w:val="0"/>
          <w:numId w:val="2"/>
        </w:numPr>
        <w:spacing w:after="60"/>
      </w:pPr>
      <w:r>
        <w:rPr>
          <w:rFonts w:ascii="Arial" w:cs="Arial" w:eastAsia="Arial" w:hAnsi="Arial"/>
          <w:sz w:val="20"/>
          <w:szCs w:val="20"/>
        </w:rPr>
        <w:t xml:space="preserve">3-Year: Commission pumped hydro project at Odisha; reach 30% RE by 2030; target AA ESG band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 Adj.</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75.8</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-0.5</w:t>
            </w:r>
          </w:p>
        </w:tc>
      </w:tr>
    </w:tbl>
    <w:p>
      <w:r>
        <w:br w:type="page"/>
      </w:r>
    </w:p>
    <w:p>
      <w:pPr>
        <w:shd w:fill="1B2A4A" w:val="clear"/>
        <w:spacing w:after="0" w:before="0"/>
        <w:jc w:val="center"/>
      </w:pPr>
      <w:r>
        <w:rPr>
          <w:rFonts w:ascii="Arial" w:cs="Arial" w:eastAsia="Arial" w:hAnsi="Arial"/>
          <w:b/>
          <w:bCs/>
          <w:color w:val="B8860B"/>
          <w:sz w:val="36"/>
          <w:szCs w:val="36"/>
        </w:rPr>
        <w:t xml:space="preserve"> #3 — Vedanta Limited </w:t>
      </w:r>
    </w:p>
    <w:p>
      <w:pPr>
        <w:shd w:fill="1B2A4A" w:val="clear"/>
        <w:spacing w:after="0"/>
        <w:jc w:val="center"/>
      </w:pPr>
      <w:r>
        <w:rPr>
          <w:rFonts w:ascii="Arial" w:cs="Arial" w:eastAsia="Arial" w:hAnsi="Arial"/>
          <w:color w:val="FFFFFF"/>
          <w:sz w:val="20"/>
          <w:szCs w:val="20"/>
        </w:rPr>
        <w:t xml:space="preserve">Metals &amp; Mining — Diversified (Zinc, Aluminium, Iron Ore, Oil &amp; Gas)  |  VEDL.NSE  |  Mkt Cap: ~₹1,10,000 Cr</w:t>
      </w:r>
    </w:p>
    <w:p>
      <w:pPr>
        <w:shd w:fill="1B2A4A" w:val="clear"/>
        <w:spacing w:after="0"/>
        <w:jc w:val="center"/>
      </w:pPr>
      <w:r>
        <w:rPr>
          <w:rFonts w:ascii="Arial" w:cs="Arial" w:eastAsia="Arial" w:hAnsi="Arial"/>
          <w:color w:val="E8EDF4"/>
          <w:sz w:val="18"/>
          <w:szCs w:val="18"/>
        </w:rPr>
        <w:t xml:space="preserve">Report: FY 2024-25  |  Assurance: BRSR Core assured</w:t>
      </w:r>
    </w:p>
    <w:p>
      <w:pPr>
        <w:shd w:fill="1B2A4A" w:val="clear"/>
        <w:spacing w:after="0"/>
        <w:jc w:val="center"/>
      </w:pPr>
      <w:r>
        <w:rPr>
          <w:rFonts w:ascii="Arial" w:cs="Arial" w:eastAsia="Arial" w:hAnsi="Arial"/>
          <w:sz w:val="12"/>
          <w:szCs w:val="12"/>
        </w:rPr>
        <w:t xml:space="preserve"> </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ENVIRONMENTAL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SOCIAL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GOVERNANCE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ESG SCORE</w:t>
            </w:r>
          </w:p>
        </w:tc>
      </w:tr>
      <w:tr>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6.65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6.94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7.08 / 10</w:t>
            </w:r>
          </w:p>
        </w:tc>
        <w:tc>
          <w:tcPr>
            <w:tcW w:type="dxa" w:w="252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40"/>
                <w:szCs w:val="40"/>
              </w:rPr>
              <w:t xml:space="preserve">65.9 / 100</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30%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25%</w:t>
            </w:r>
          </w:p>
        </w:tc>
        <w:tc>
          <w:tcPr>
            <w:tcW w:type="dxa" w:w="252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RATING: BBB</w:t>
            </w:r>
          </w:p>
        </w:tc>
      </w:tr>
    </w:tbl>
    <w:p>
      <w:pPr>
        <w:spacing w:after="80"/>
      </w:pPr>
      <w:r>
        <w:t xml:space="preserve"/>
      </w:r>
    </w:p>
    <w:p>
      <w:pPr>
        <w:spacing w:after="80" w:before="200"/>
      </w:pPr>
      <w:r>
        <w:rPr>
          <w:rFonts w:ascii="Arial" w:cs="Arial" w:eastAsia="Arial" w:hAnsi="Arial"/>
          <w:b/>
          <w:bCs/>
          <w:color w:val="1B2A4A"/>
          <w:sz w:val="22"/>
          <w:szCs w:val="22"/>
        </w:rPr>
        <w:t xml:space="preserve">▲  Top 3 ESG Strengths</w:t>
      </w:r>
    </w:p>
    <w:p>
      <w:pPr>
        <w:pStyle w:val="ListParagraph"/>
        <w:numPr>
          <w:ilvl w:val="0"/>
          <w:numId w:val="2"/>
        </w:numPr>
        <w:spacing w:after="60"/>
      </w:pPr>
      <w:r>
        <w:rPr>
          <w:rFonts w:ascii="Arial" w:cs="Arial" w:eastAsia="Arial" w:hAnsi="Arial"/>
          <w:sz w:val="20"/>
          <w:szCs w:val="20"/>
        </w:rPr>
        <w:t xml:space="preserve">Board-level ESG Committee with mandatory VSAP sustainability audits; ESG KPIs (15%) embedded in executive short-term incentives</w:t>
      </w:r>
    </w:p>
    <w:p>
      <w:pPr>
        <w:pStyle w:val="ListParagraph"/>
        <w:numPr>
          <w:ilvl w:val="0"/>
          <w:numId w:val="2"/>
        </w:numPr>
        <w:spacing w:after="60"/>
      </w:pPr>
      <w:r>
        <w:rPr>
          <w:rFonts w:ascii="Arial" w:cs="Arial" w:eastAsia="Arial" w:hAnsi="Arial"/>
          <w:sz w:val="20"/>
          <w:szCs w:val="20"/>
        </w:rPr>
        <w:t xml:space="preserve">Comprehensive BRSR with third-party assurance; reporting across TCFD, SASB, ICMM, GRI frameworks; double materiality approach adopted</w:t>
      </w:r>
    </w:p>
    <w:p>
      <w:pPr>
        <w:pStyle w:val="ListParagraph"/>
        <w:numPr>
          <w:ilvl w:val="0"/>
          <w:numId w:val="2"/>
        </w:numPr>
        <w:spacing w:after="60"/>
      </w:pPr>
      <w:r>
        <w:rPr>
          <w:rFonts w:ascii="Arial" w:cs="Arial" w:eastAsia="Arial" w:hAnsi="Arial"/>
          <w:sz w:val="20"/>
          <w:szCs w:val="20"/>
        </w:rPr>
        <w:t xml:space="preserve">81% of T1 inputs sustainably sourced; zero waste philosophy; Waste to Wealth programme addressing HVLT materials (fly ash, jarosite, red mud)</w:t>
      </w:r>
    </w:p>
    <w:p>
      <w:pPr>
        <w:spacing w:after="80"/>
      </w:pPr>
      <w:r>
        <w:t xml:space="preserve"/>
      </w:r>
    </w:p>
    <w:p>
      <w:pPr>
        <w:spacing w:after="80" w:before="200"/>
      </w:pPr>
      <w:r>
        <w:rPr>
          <w:rFonts w:ascii="Arial" w:cs="Arial" w:eastAsia="Arial" w:hAnsi="Arial"/>
          <w:b/>
          <w:bCs/>
          <w:color w:val="1B2A4A"/>
          <w:sz w:val="22"/>
          <w:szCs w:val="22"/>
        </w:rPr>
        <w:t xml:space="preserve">▼  Top 3 ESG Weaknesses</w:t>
      </w:r>
    </w:p>
    <w:p>
      <w:pPr>
        <w:pStyle w:val="ListParagraph"/>
        <w:numPr>
          <w:ilvl w:val="0"/>
          <w:numId w:val="2"/>
        </w:numPr>
        <w:spacing w:after="60"/>
      </w:pPr>
      <w:r>
        <w:rPr>
          <w:rFonts w:ascii="Arial" w:cs="Arial" w:eastAsia="Arial" w:hAnsi="Arial"/>
          <w:sz w:val="20"/>
          <w:szCs w:val="20"/>
        </w:rPr>
        <w:t xml:space="preserve">Overall GHG emissions increased 1.4% YoY in FY 2024-25 — contradicts decarbonisation targets and signals execution risk</w:t>
      </w:r>
    </w:p>
    <w:p>
      <w:pPr>
        <w:pStyle w:val="ListParagraph"/>
        <w:numPr>
          <w:ilvl w:val="0"/>
          <w:numId w:val="2"/>
        </w:numPr>
        <w:spacing w:after="60"/>
      </w:pPr>
      <w:r>
        <w:rPr>
          <w:rFonts w:ascii="Arial" w:cs="Arial" w:eastAsia="Arial" w:hAnsi="Arial"/>
          <w:sz w:val="20"/>
          <w:szCs w:val="20"/>
        </w:rPr>
        <w:t xml:space="preserve">High balance sheet leverage (net debt/EBITDA 1.2x) and planned demerger create governance uncertainty for ESG continuity</w:t>
      </w:r>
    </w:p>
    <w:p>
      <w:pPr>
        <w:pStyle w:val="ListParagraph"/>
        <w:numPr>
          <w:ilvl w:val="0"/>
          <w:numId w:val="2"/>
        </w:numPr>
        <w:spacing w:after="60"/>
      </w:pPr>
      <w:r>
        <w:rPr>
          <w:rFonts w:ascii="Arial" w:cs="Arial" w:eastAsia="Arial" w:hAnsi="Arial"/>
          <w:sz w:val="20"/>
          <w:szCs w:val="20"/>
        </w:rPr>
        <w:t xml:space="preserve">Pending non-compliance issue with Ministry of Mines (unresolved as at March 2025) — regulatory risk in G pillar</w:t>
      </w:r>
    </w:p>
    <w:p>
      <w:pPr>
        <w:spacing w:after="80"/>
      </w:pPr>
      <w:r>
        <w:t xml:space="preserve"/>
      </w:r>
    </w:p>
    <w:p>
      <w:pPr>
        <w:spacing w:after="80" w:before="200"/>
      </w:pPr>
      <w:r>
        <w:rPr>
          <w:rFonts w:ascii="Arial" w:cs="Arial" w:eastAsia="Arial" w:hAnsi="Arial"/>
          <w:b/>
          <w:bCs/>
          <w:color w:val="1B2A4A"/>
          <w:sz w:val="22"/>
          <w:szCs w:val="22"/>
        </w:rPr>
        <w:t xml:space="preserve">⚠  Missing / Insufficient Disclosures</w:t>
      </w:r>
    </w:p>
    <w:p>
      <w:pPr>
        <w:pStyle w:val="ListParagraph"/>
        <w:numPr>
          <w:ilvl w:val="0"/>
          <w:numId w:val="2"/>
        </w:numPr>
        <w:spacing w:after="60"/>
      </w:pPr>
      <w:r>
        <w:rPr>
          <w:rFonts w:ascii="Arial" w:cs="Arial" w:eastAsia="Arial" w:hAnsi="Arial"/>
          <w:sz w:val="20"/>
          <w:szCs w:val="20"/>
        </w:rPr>
        <w:t xml:space="preserve">SBTi-validated targets</w:t>
      </w:r>
    </w:p>
    <w:p>
      <w:pPr>
        <w:pStyle w:val="ListParagraph"/>
        <w:numPr>
          <w:ilvl w:val="0"/>
          <w:numId w:val="2"/>
        </w:numPr>
        <w:spacing w:after="60"/>
      </w:pPr>
      <w:r>
        <w:rPr>
          <w:rFonts w:ascii="Arial" w:cs="Arial" w:eastAsia="Arial" w:hAnsi="Arial"/>
          <w:sz w:val="20"/>
          <w:szCs w:val="20"/>
        </w:rPr>
        <w:t xml:space="preserve">Scope 3 complete quantification</w:t>
      </w:r>
    </w:p>
    <w:p>
      <w:pPr>
        <w:pStyle w:val="ListParagraph"/>
        <w:numPr>
          <w:ilvl w:val="0"/>
          <w:numId w:val="2"/>
        </w:numPr>
        <w:spacing w:after="60"/>
      </w:pPr>
      <w:r>
        <w:rPr>
          <w:rFonts w:ascii="Arial" w:cs="Arial" w:eastAsia="Arial" w:hAnsi="Arial"/>
          <w:sz w:val="20"/>
          <w:szCs w:val="20"/>
        </w:rPr>
        <w:t xml:space="preserve">Biodiversity/TNFD alignment</w:t>
      </w:r>
    </w:p>
    <w:p>
      <w:pPr>
        <w:pStyle w:val="ListParagraph"/>
        <w:numPr>
          <w:ilvl w:val="0"/>
          <w:numId w:val="2"/>
        </w:numPr>
        <w:spacing w:after="60"/>
      </w:pPr>
      <w:r>
        <w:rPr>
          <w:rFonts w:ascii="Arial" w:cs="Arial" w:eastAsia="Arial" w:hAnsi="Arial"/>
          <w:sz w:val="20"/>
          <w:szCs w:val="20"/>
        </w:rPr>
        <w:t xml:space="preserve">Independent board chair</w:t>
      </w:r>
    </w:p>
    <w:p>
      <w:pPr>
        <w:spacing w:after="80"/>
      </w:pPr>
      <w:r>
        <w:t xml:space="preserve"/>
      </w:r>
    </w:p>
    <w:p>
      <w:pPr>
        <w:spacing w:after="80" w:before="200"/>
      </w:pPr>
      <w:r>
        <w:rPr>
          <w:rFonts w:ascii="Arial" w:cs="Arial" w:eastAsia="Arial" w:hAnsi="Arial"/>
          <w:b/>
          <w:bCs/>
          <w:color w:val="1B2A4A"/>
          <w:sz w:val="22"/>
          <w:szCs w:val="22"/>
        </w:rPr>
        <w:t xml:space="preserve">🎯  Improvement Roadmap</w:t>
      </w:r>
    </w:p>
    <w:p>
      <w:pPr>
        <w:pStyle w:val="ListParagraph"/>
        <w:numPr>
          <w:ilvl w:val="0"/>
          <w:numId w:val="2"/>
        </w:numPr>
        <w:spacing w:after="60"/>
      </w:pPr>
      <w:r>
        <w:rPr>
          <w:rFonts w:ascii="Arial" w:cs="Arial" w:eastAsia="Arial" w:hAnsi="Arial"/>
          <w:sz w:val="20"/>
          <w:szCs w:val="20"/>
        </w:rPr>
        <w:t xml:space="preserve">12-Month: Reverse GHG growth trend; resolve Ministry of Mines non-compliance; obtain SBTi commitment letter</w:t>
      </w:r>
    </w:p>
    <w:p>
      <w:pPr>
        <w:pStyle w:val="ListParagraph"/>
        <w:numPr>
          <w:ilvl w:val="0"/>
          <w:numId w:val="2"/>
        </w:numPr>
        <w:spacing w:after="60"/>
      </w:pPr>
      <w:r>
        <w:rPr>
          <w:rFonts w:ascii="Arial" w:cs="Arial" w:eastAsia="Arial" w:hAnsi="Arial"/>
          <w:sz w:val="20"/>
          <w:szCs w:val="20"/>
        </w:rPr>
        <w:t xml:space="preserve">3-Year: Complete demerger with ESG governance continuity provisions; achieve BBB→A upgrade; reduce debt/EBITDA &lt;1x</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 Adj.</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68.4</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-0.5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-1.0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-1.0</w:t>
            </w:r>
          </w:p>
        </w:tc>
      </w:tr>
    </w:tbl>
    <w:p>
      <w:r>
        <w:br w:type="page"/>
      </w:r>
    </w:p>
    <w:p>
      <w:pPr>
        <w:shd w:fill="1B2A4A" w:val="clear"/>
        <w:spacing w:after="0" w:before="0"/>
        <w:jc w:val="center"/>
      </w:pPr>
      <w:r>
        <w:rPr>
          <w:rFonts w:ascii="Arial" w:cs="Arial" w:eastAsia="Arial" w:hAnsi="Arial"/>
          <w:b/>
          <w:bCs/>
          <w:color w:val="B8860B"/>
          <w:sz w:val="36"/>
          <w:szCs w:val="36"/>
        </w:rPr>
        <w:t xml:space="preserve"> #4 — NMDC Limited </w:t>
      </w:r>
    </w:p>
    <w:p>
      <w:pPr>
        <w:shd w:fill="1B2A4A" w:val="clear"/>
        <w:spacing w:after="0"/>
        <w:jc w:val="center"/>
      </w:pPr>
      <w:r>
        <w:rPr>
          <w:rFonts w:ascii="Arial" w:cs="Arial" w:eastAsia="Arial" w:hAnsi="Arial"/>
          <w:color w:val="FFFFFF"/>
          <w:sz w:val="20"/>
          <w:szCs w:val="20"/>
        </w:rPr>
        <w:t xml:space="preserve">Metals &amp; Mining — Iron Ore (PSU)  |  NMDC.NSE  |  Mkt Cap: ~₹48,000 Cr</w:t>
      </w:r>
    </w:p>
    <w:p>
      <w:pPr>
        <w:shd w:fill="1B2A4A" w:val="clear"/>
        <w:spacing w:after="0"/>
        <w:jc w:val="center"/>
      </w:pPr>
      <w:r>
        <w:rPr>
          <w:rFonts w:ascii="Arial" w:cs="Arial" w:eastAsia="Arial" w:hAnsi="Arial"/>
          <w:color w:val="E8EDF4"/>
          <w:sz w:val="18"/>
          <w:szCs w:val="18"/>
        </w:rPr>
        <w:t xml:space="preserve">Report: FY 2024-25  |  Assurance: Bureau Veritas assured (Sustainability Report &amp; BRSR Core)</w:t>
      </w:r>
    </w:p>
    <w:p>
      <w:pPr>
        <w:shd w:fill="1B2A4A" w:val="clear"/>
        <w:spacing w:after="0"/>
        <w:jc w:val="center"/>
      </w:pPr>
      <w:r>
        <w:rPr>
          <w:rFonts w:ascii="Arial" w:cs="Arial" w:eastAsia="Arial" w:hAnsi="Arial"/>
          <w:sz w:val="12"/>
          <w:szCs w:val="12"/>
        </w:rPr>
        <w:t xml:space="preserve"> </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ENVIRONMENTAL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SOCIAL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GOVERNANCE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ESG SCORE</w:t>
            </w:r>
          </w:p>
        </w:tc>
      </w:tr>
      <w:tr>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6.20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6.75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6.67 / 10</w:t>
            </w:r>
          </w:p>
        </w:tc>
        <w:tc>
          <w:tcPr>
            <w:tcW w:type="dxa" w:w="252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40"/>
                <w:szCs w:val="40"/>
              </w:rPr>
              <w:t xml:space="preserve">64.8 / 100</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30%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25%</w:t>
            </w:r>
          </w:p>
        </w:tc>
        <w:tc>
          <w:tcPr>
            <w:tcW w:type="dxa" w:w="2520"/>
            <w:tcBorders>
              <w:top w:val="single" w:color="BBBBBB" w:sz="1"/>
              <w:left w:val="single" w:color="BBBBBB" w:sz="1"/>
              <w:bottom w:val="single" w:color="BBBBBB" w:sz="1"/>
              <w:right w:val="single" w:color="BBBBBB" w:sz="1"/>
            </w:tcBorders>
            <w:shd w:fill="E67E22"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RATING: BBB</w:t>
            </w:r>
          </w:p>
        </w:tc>
      </w:tr>
    </w:tbl>
    <w:p>
      <w:pPr>
        <w:spacing w:after="80"/>
      </w:pPr>
      <w:r>
        <w:t xml:space="preserve"/>
      </w:r>
    </w:p>
    <w:p>
      <w:pPr>
        <w:spacing w:after="80" w:before="200"/>
      </w:pPr>
      <w:r>
        <w:rPr>
          <w:rFonts w:ascii="Arial" w:cs="Arial" w:eastAsia="Arial" w:hAnsi="Arial"/>
          <w:b/>
          <w:bCs/>
          <w:color w:val="1B2A4A"/>
          <w:sz w:val="22"/>
          <w:szCs w:val="22"/>
        </w:rPr>
        <w:t xml:space="preserve">▲  Top 3 ESG Strengths</w:t>
      </w:r>
    </w:p>
    <w:p>
      <w:pPr>
        <w:pStyle w:val="ListParagraph"/>
        <w:numPr>
          <w:ilvl w:val="0"/>
          <w:numId w:val="2"/>
        </w:numPr>
        <w:spacing w:after="60"/>
      </w:pPr>
      <w:r>
        <w:rPr>
          <w:rFonts w:ascii="Arial" w:cs="Arial" w:eastAsia="Arial" w:hAnsi="Arial"/>
          <w:sz w:val="20"/>
          <w:szCs w:val="20"/>
        </w:rPr>
        <w:t xml:space="preserve">100% Integrated Management Systems (IMS) certification across all operations; BRSR Core assured by Bureau Veritas for FY 2023-24</w:t>
      </w:r>
    </w:p>
    <w:p>
      <w:pPr>
        <w:pStyle w:val="ListParagraph"/>
        <w:numPr>
          <w:ilvl w:val="0"/>
          <w:numId w:val="2"/>
        </w:numPr>
        <w:spacing w:after="60"/>
      </w:pPr>
      <w:r>
        <w:rPr>
          <w:rFonts w:ascii="Arial" w:cs="Arial" w:eastAsia="Arial" w:hAnsi="Arial"/>
          <w:sz w:val="20"/>
          <w:szCs w:val="20"/>
        </w:rPr>
        <w:t xml:space="preserve">Exceptional community impact programmes — Education City, Hospital on Wheels, Sports Academies — serving hinterland tribal populations</w:t>
      </w:r>
    </w:p>
    <w:p>
      <w:pPr>
        <w:pStyle w:val="ListParagraph"/>
        <w:numPr>
          <w:ilvl w:val="0"/>
          <w:numId w:val="2"/>
        </w:numPr>
        <w:spacing w:after="60"/>
      </w:pPr>
      <w:r>
        <w:rPr>
          <w:rFonts w:ascii="Arial" w:cs="Arial" w:eastAsia="Arial" w:hAnsi="Arial"/>
          <w:sz w:val="20"/>
          <w:szCs w:val="20"/>
        </w:rPr>
        <w:t xml:space="preserve">Actively exploring critical minerals (lithium, cobalt) and investing in solar/wind — positioning for green energy transition alignment</w:t>
      </w:r>
    </w:p>
    <w:p>
      <w:pPr>
        <w:spacing w:after="80"/>
      </w:pPr>
      <w:r>
        <w:t xml:space="preserve"/>
      </w:r>
    </w:p>
    <w:p>
      <w:pPr>
        <w:spacing w:after="80" w:before="200"/>
      </w:pPr>
      <w:r>
        <w:rPr>
          <w:rFonts w:ascii="Arial" w:cs="Arial" w:eastAsia="Arial" w:hAnsi="Arial"/>
          <w:b/>
          <w:bCs/>
          <w:color w:val="1B2A4A"/>
          <w:sz w:val="22"/>
          <w:szCs w:val="22"/>
        </w:rPr>
        <w:t xml:space="preserve">▼  Top 3 ESG Weaknesses</w:t>
      </w:r>
    </w:p>
    <w:p>
      <w:pPr>
        <w:pStyle w:val="ListParagraph"/>
        <w:numPr>
          <w:ilvl w:val="0"/>
          <w:numId w:val="2"/>
        </w:numPr>
        <w:spacing w:after="60"/>
      </w:pPr>
      <w:r>
        <w:rPr>
          <w:rFonts w:ascii="Arial" w:cs="Arial" w:eastAsia="Arial" w:hAnsi="Arial"/>
          <w:sz w:val="20"/>
          <w:szCs w:val="20"/>
        </w:rPr>
        <w:t xml:space="preserve">No formal net zero target or SBTi commitment; renewable energy share and GHG reduction pathway not quantitatively defined</w:t>
      </w:r>
    </w:p>
    <w:p>
      <w:pPr>
        <w:pStyle w:val="ListParagraph"/>
        <w:numPr>
          <w:ilvl w:val="0"/>
          <w:numId w:val="2"/>
        </w:numPr>
        <w:spacing w:after="60"/>
      </w:pPr>
      <w:r>
        <w:rPr>
          <w:rFonts w:ascii="Arial" w:cs="Arial" w:eastAsia="Arial" w:hAnsi="Arial"/>
          <w:sz w:val="20"/>
          <w:szCs w:val="20"/>
        </w:rPr>
        <w:t xml:space="preserve">PSU governance structure with government nominee directors limits board independence and reduces ESG KPI linkage in executive pay</w:t>
      </w:r>
    </w:p>
    <w:p>
      <w:pPr>
        <w:pStyle w:val="ListParagraph"/>
        <w:numPr>
          <w:ilvl w:val="0"/>
          <w:numId w:val="2"/>
        </w:numPr>
        <w:spacing w:after="60"/>
      </w:pPr>
      <w:r>
        <w:rPr>
          <w:rFonts w:ascii="Arial" w:cs="Arial" w:eastAsia="Arial" w:hAnsi="Arial"/>
          <w:sz w:val="20"/>
          <w:szCs w:val="20"/>
        </w:rPr>
        <w:t xml:space="preserve">Scope 1 + Scope 2 GHG intensity remains high relative to private mining peers; limited Scope 3 tracking</w:t>
      </w:r>
    </w:p>
    <w:p>
      <w:pPr>
        <w:spacing w:after="80"/>
      </w:pPr>
      <w:r>
        <w:t xml:space="preserve"/>
      </w:r>
    </w:p>
    <w:p>
      <w:pPr>
        <w:spacing w:after="80" w:before="200"/>
      </w:pPr>
      <w:r>
        <w:rPr>
          <w:rFonts w:ascii="Arial" w:cs="Arial" w:eastAsia="Arial" w:hAnsi="Arial"/>
          <w:b/>
          <w:bCs/>
          <w:color w:val="1B2A4A"/>
          <w:sz w:val="22"/>
          <w:szCs w:val="22"/>
        </w:rPr>
        <w:t xml:space="preserve">⚠  Missing / Insufficient Disclosures</w:t>
      </w:r>
    </w:p>
    <w:p>
      <w:pPr>
        <w:pStyle w:val="ListParagraph"/>
        <w:numPr>
          <w:ilvl w:val="0"/>
          <w:numId w:val="2"/>
        </w:numPr>
        <w:spacing w:after="60"/>
      </w:pPr>
      <w:r>
        <w:rPr>
          <w:rFonts w:ascii="Arial" w:cs="Arial" w:eastAsia="Arial" w:hAnsi="Arial"/>
          <w:sz w:val="20"/>
          <w:szCs w:val="20"/>
        </w:rPr>
        <w:t xml:space="preserve">Net zero/SBTi commitment</w:t>
      </w:r>
    </w:p>
    <w:p>
      <w:pPr>
        <w:pStyle w:val="ListParagraph"/>
        <w:numPr>
          <w:ilvl w:val="0"/>
          <w:numId w:val="2"/>
        </w:numPr>
        <w:spacing w:after="60"/>
      </w:pPr>
      <w:r>
        <w:rPr>
          <w:rFonts w:ascii="Arial" w:cs="Arial" w:eastAsia="Arial" w:hAnsi="Arial"/>
          <w:sz w:val="20"/>
          <w:szCs w:val="20"/>
        </w:rPr>
        <w:t xml:space="preserve">Renewable energy targets with timelines</w:t>
      </w:r>
    </w:p>
    <w:p>
      <w:pPr>
        <w:pStyle w:val="ListParagraph"/>
        <w:numPr>
          <w:ilvl w:val="0"/>
          <w:numId w:val="2"/>
        </w:numPr>
        <w:spacing w:after="60"/>
      </w:pPr>
      <w:r>
        <w:rPr>
          <w:rFonts w:ascii="Arial" w:cs="Arial" w:eastAsia="Arial" w:hAnsi="Arial"/>
          <w:sz w:val="20"/>
          <w:szCs w:val="20"/>
        </w:rPr>
        <w:t xml:space="preserve">Executive ESG KPI-linked compensation</w:t>
      </w:r>
    </w:p>
    <w:p>
      <w:pPr>
        <w:pStyle w:val="ListParagraph"/>
        <w:numPr>
          <w:ilvl w:val="0"/>
          <w:numId w:val="2"/>
        </w:numPr>
        <w:spacing w:after="60"/>
      </w:pPr>
      <w:r>
        <w:rPr>
          <w:rFonts w:ascii="Arial" w:cs="Arial" w:eastAsia="Arial" w:hAnsi="Arial"/>
          <w:sz w:val="20"/>
          <w:szCs w:val="20"/>
        </w:rPr>
        <w:t xml:space="preserve">TNFD alignment</w:t>
      </w:r>
    </w:p>
    <w:p>
      <w:pPr>
        <w:pStyle w:val="ListParagraph"/>
        <w:numPr>
          <w:ilvl w:val="0"/>
          <w:numId w:val="2"/>
        </w:numPr>
        <w:spacing w:after="60"/>
      </w:pPr>
      <w:r>
        <w:rPr>
          <w:rFonts w:ascii="Arial" w:cs="Arial" w:eastAsia="Arial" w:hAnsi="Arial"/>
          <w:sz w:val="20"/>
          <w:szCs w:val="20"/>
        </w:rPr>
        <w:t xml:space="preserve">Scope 3 inventory</w:t>
      </w:r>
    </w:p>
    <w:p>
      <w:pPr>
        <w:spacing w:after="80"/>
      </w:pPr>
      <w:r>
        <w:t xml:space="preserve"/>
      </w:r>
    </w:p>
    <w:p>
      <w:pPr>
        <w:spacing w:after="80" w:before="200"/>
      </w:pPr>
      <w:r>
        <w:rPr>
          <w:rFonts w:ascii="Arial" w:cs="Arial" w:eastAsia="Arial" w:hAnsi="Arial"/>
          <w:b/>
          <w:bCs/>
          <w:color w:val="1B2A4A"/>
          <w:sz w:val="22"/>
          <w:szCs w:val="22"/>
        </w:rPr>
        <w:t xml:space="preserve">🎯  Improvement Roadmap</w:t>
      </w:r>
    </w:p>
    <w:p>
      <w:pPr>
        <w:pStyle w:val="ListParagraph"/>
        <w:numPr>
          <w:ilvl w:val="0"/>
          <w:numId w:val="2"/>
        </w:numPr>
        <w:spacing w:after="60"/>
      </w:pPr>
      <w:r>
        <w:rPr>
          <w:rFonts w:ascii="Arial" w:cs="Arial" w:eastAsia="Arial" w:hAnsi="Arial"/>
          <w:sz w:val="20"/>
          <w:szCs w:val="20"/>
        </w:rPr>
        <w:t xml:space="preserve">12-Month: Publish quantitative RE transition roadmap; set net zero target year; integrate ESG KPIs into management pay structures</w:t>
      </w:r>
    </w:p>
    <w:p>
      <w:pPr>
        <w:pStyle w:val="ListParagraph"/>
        <w:numPr>
          <w:ilvl w:val="0"/>
          <w:numId w:val="2"/>
        </w:numPr>
        <w:spacing w:after="60"/>
      </w:pPr>
      <w:r>
        <w:rPr>
          <w:rFonts w:ascii="Arial" w:cs="Arial" w:eastAsia="Arial" w:hAnsi="Arial"/>
          <w:sz w:val="20"/>
          <w:szCs w:val="20"/>
        </w:rPr>
        <w:t xml:space="preserve">3-Year: Achieve &gt;15% renewable energy share; obtain SBTi validation; upgrade to GRI Sector Standards reporting</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 Adj.</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64.8</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-0.5</w:t>
            </w:r>
          </w:p>
        </w:tc>
      </w:tr>
    </w:tbl>
    <w:p>
      <w:r>
        <w:br w:type="page"/>
      </w:r>
    </w:p>
    <w:p>
      <w:pPr>
        <w:shd w:fill="1B2A4A" w:val="clear"/>
        <w:spacing w:after="0" w:before="0"/>
        <w:jc w:val="center"/>
      </w:pPr>
      <w:r>
        <w:rPr>
          <w:rFonts w:ascii="Arial" w:cs="Arial" w:eastAsia="Arial" w:hAnsi="Arial"/>
          <w:b/>
          <w:bCs/>
          <w:color w:val="B8860B"/>
          <w:sz w:val="36"/>
          <w:szCs w:val="36"/>
        </w:rPr>
        <w:t xml:space="preserve"> #5 — Coal India Limited (CIL) </w:t>
      </w:r>
    </w:p>
    <w:p>
      <w:pPr>
        <w:shd w:fill="1B2A4A" w:val="clear"/>
        <w:spacing w:after="0"/>
        <w:jc w:val="center"/>
      </w:pPr>
      <w:r>
        <w:rPr>
          <w:rFonts w:ascii="Arial" w:cs="Arial" w:eastAsia="Arial" w:hAnsi="Arial"/>
          <w:color w:val="FFFFFF"/>
          <w:sz w:val="20"/>
          <w:szCs w:val="20"/>
        </w:rPr>
        <w:t xml:space="preserve">Metals &amp; Mining — Coal (PSU)  |  COALINDIA.NSE  |  Mkt Cap: ~₹2,50,000 Cr</w:t>
      </w:r>
    </w:p>
    <w:p>
      <w:pPr>
        <w:shd w:fill="1B2A4A" w:val="clear"/>
        <w:spacing w:after="0"/>
        <w:jc w:val="center"/>
      </w:pPr>
      <w:r>
        <w:rPr>
          <w:rFonts w:ascii="Arial" w:cs="Arial" w:eastAsia="Arial" w:hAnsi="Arial"/>
          <w:color w:val="E8EDF4"/>
          <w:sz w:val="18"/>
          <w:szCs w:val="18"/>
        </w:rPr>
        <w:t xml:space="preserve">Report: FY 2024-25  |  Assurance: Third-party assured (Joint Values ESG Services Pvt. Ltd.)</w:t>
      </w:r>
    </w:p>
    <w:p>
      <w:pPr>
        <w:shd w:fill="1B2A4A" w:val="clear"/>
        <w:spacing w:after="0"/>
        <w:jc w:val="center"/>
      </w:pPr>
      <w:r>
        <w:rPr>
          <w:rFonts w:ascii="Arial" w:cs="Arial" w:eastAsia="Arial" w:hAnsi="Arial"/>
          <w:sz w:val="12"/>
          <w:szCs w:val="12"/>
        </w:rPr>
        <w:t xml:space="preserve"> </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ENVIRONMENTAL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SOCIAL</w:t>
            </w:r>
          </w:p>
        </w:tc>
        <w:tc>
          <w:tcPr>
            <w:tcW w:type="dxa" w:w="25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GOVERNANCE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FINAL ESG SCORE</w:t>
            </w:r>
          </w:p>
        </w:tc>
      </w:tr>
      <w:tr>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4.65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6.19 / 10</w:t>
            </w:r>
          </w:p>
        </w:tc>
        <w:tc>
          <w:tcPr>
            <w:tcW w:type="dxa" w:w="25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A7A3C"/>
                <w:sz w:val="32"/>
                <w:szCs w:val="32"/>
              </w:rPr>
              <w:t xml:space="preserve">6.00 / 10</w:t>
            </w:r>
          </w:p>
        </w:tc>
        <w:tc>
          <w:tcPr>
            <w:tcW w:type="dxa" w:w="2520"/>
            <w:tcBorders>
              <w:top w:val="single" w:color="BBBBBB" w:sz="1"/>
              <w:left w:val="single" w:color="BBBBBB" w:sz="1"/>
              <w:bottom w:val="single" w:color="BBBBBB" w:sz="1"/>
              <w:right w:val="single" w:color="BBBBBB"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40"/>
                <w:szCs w:val="40"/>
              </w:rPr>
              <w:t xml:space="preserve">52.5 / 100</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30%</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B2A4A"/>
                <w:sz w:val="20"/>
                <w:szCs w:val="20"/>
              </w:rPr>
              <w:t xml:space="preserve">Weight: 25%</w:t>
            </w:r>
          </w:p>
        </w:tc>
        <w:tc>
          <w:tcPr>
            <w:tcW w:type="dxa" w:w="2520"/>
            <w:tcBorders>
              <w:top w:val="single" w:color="BBBBBB" w:sz="1"/>
              <w:left w:val="single" w:color="BBBBBB" w:sz="1"/>
              <w:bottom w:val="single" w:color="BBBBBB" w:sz="1"/>
              <w:right w:val="single" w:color="BBBBBB"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RATING: BB</w:t>
            </w:r>
          </w:p>
        </w:tc>
      </w:tr>
    </w:tbl>
    <w:p>
      <w:pPr>
        <w:spacing w:after="80"/>
      </w:pPr>
      <w:r>
        <w:t xml:space="preserve"/>
      </w:r>
    </w:p>
    <w:p>
      <w:pPr>
        <w:spacing w:after="80" w:before="200"/>
      </w:pPr>
      <w:r>
        <w:rPr>
          <w:rFonts w:ascii="Arial" w:cs="Arial" w:eastAsia="Arial" w:hAnsi="Arial"/>
          <w:b/>
          <w:bCs/>
          <w:color w:val="1B2A4A"/>
          <w:sz w:val="22"/>
          <w:szCs w:val="22"/>
        </w:rPr>
        <w:t xml:space="preserve">▲  Top 3 ESG Strengths</w:t>
      </w:r>
    </w:p>
    <w:p>
      <w:pPr>
        <w:pStyle w:val="ListParagraph"/>
        <w:numPr>
          <w:ilvl w:val="0"/>
          <w:numId w:val="2"/>
        </w:numPr>
        <w:spacing w:after="60"/>
      </w:pPr>
      <w:r>
        <w:rPr>
          <w:rFonts w:ascii="Arial" w:cs="Arial" w:eastAsia="Arial" w:hAnsi="Arial"/>
          <w:sz w:val="20"/>
          <w:szCs w:val="20"/>
        </w:rPr>
        <w:t xml:space="preserve">Third-party ESG assurance obtained for BRSR FY 2024-25 — strong governance commitment for a PSU; reporting under GRI, IIRC, BRSR, UN SDG frameworks</w:t>
      </w:r>
    </w:p>
    <w:p>
      <w:pPr>
        <w:pStyle w:val="ListParagraph"/>
        <w:numPr>
          <w:ilvl w:val="0"/>
          <w:numId w:val="2"/>
        </w:numPr>
        <w:spacing w:after="60"/>
      </w:pPr>
      <w:r>
        <w:rPr>
          <w:rFonts w:ascii="Arial" w:cs="Arial" w:eastAsia="Arial" w:hAnsi="Arial"/>
          <w:sz w:val="20"/>
          <w:szCs w:val="20"/>
        </w:rPr>
        <w:t xml:space="preserve">CSR expenditure ₹583 Cr in FY22 (29% above statutory minimum); mine water supply to local communities; eco-parks and afforestation (2,416+ ha)</w:t>
      </w:r>
    </w:p>
    <w:p>
      <w:pPr>
        <w:pStyle w:val="ListParagraph"/>
        <w:numPr>
          <w:ilvl w:val="0"/>
          <w:numId w:val="2"/>
        </w:numPr>
        <w:spacing w:after="60"/>
      </w:pPr>
      <w:r>
        <w:rPr>
          <w:rFonts w:ascii="Arial" w:cs="Arial" w:eastAsia="Arial" w:hAnsi="Arial"/>
          <w:sz w:val="20"/>
          <w:szCs w:val="20"/>
        </w:rPr>
        <w:t xml:space="preserve">Strategic pivot underway: 70 MWp ground solar, 1.629 MWp rooftop solar added; pump storage, renewable energy, and coal gasification in medium-term capex</w:t>
      </w:r>
    </w:p>
    <w:p>
      <w:pPr>
        <w:spacing w:after="80"/>
      </w:pPr>
      <w:r>
        <w:t xml:space="preserve"/>
      </w:r>
    </w:p>
    <w:p>
      <w:pPr>
        <w:spacing w:after="80" w:before="200"/>
      </w:pPr>
      <w:r>
        <w:rPr>
          <w:rFonts w:ascii="Arial" w:cs="Arial" w:eastAsia="Arial" w:hAnsi="Arial"/>
          <w:b/>
          <w:bCs/>
          <w:color w:val="1B2A4A"/>
          <w:sz w:val="22"/>
          <w:szCs w:val="22"/>
        </w:rPr>
        <w:t xml:space="preserve">▼  Top 3 ESG Weaknesses</w:t>
      </w:r>
    </w:p>
    <w:p>
      <w:pPr>
        <w:pStyle w:val="ListParagraph"/>
        <w:numPr>
          <w:ilvl w:val="0"/>
          <w:numId w:val="2"/>
        </w:numPr>
        <w:spacing w:after="60"/>
      </w:pPr>
      <w:r>
        <w:rPr>
          <w:rFonts w:ascii="Arial" w:cs="Arial" w:eastAsia="Arial" w:hAnsi="Arial"/>
          <w:sz w:val="20"/>
          <w:szCs w:val="20"/>
        </w:rPr>
        <w:t xml:space="preserve">Fundamental business model conflict: coal mining accounts for ~80% of India's coal output — inherent and irreducible Scope 3 emissions at scale</w:t>
      </w:r>
    </w:p>
    <w:p>
      <w:pPr>
        <w:pStyle w:val="ListParagraph"/>
        <w:numPr>
          <w:ilvl w:val="0"/>
          <w:numId w:val="2"/>
        </w:numPr>
        <w:spacing w:after="60"/>
      </w:pPr>
      <w:r>
        <w:rPr>
          <w:rFonts w:ascii="Arial" w:cs="Arial" w:eastAsia="Arial" w:hAnsi="Arial"/>
          <w:sz w:val="20"/>
          <w:szCs w:val="20"/>
        </w:rPr>
        <w:t xml:space="preserve">No company-level net zero target; GHG reduction pathway absent; transition risk is existential and undisclosed in financial impact terms</w:t>
      </w:r>
    </w:p>
    <w:p>
      <w:pPr>
        <w:pStyle w:val="ListParagraph"/>
        <w:numPr>
          <w:ilvl w:val="0"/>
          <w:numId w:val="2"/>
        </w:numPr>
        <w:spacing w:after="60"/>
      </w:pPr>
      <w:r>
        <w:rPr>
          <w:rFonts w:ascii="Arial" w:cs="Arial" w:eastAsia="Arial" w:hAnsi="Arial"/>
          <w:sz w:val="20"/>
          <w:szCs w:val="20"/>
        </w:rPr>
        <w:t xml:space="preserve">Air quality risk (coal dust, particulate matter) remains a material and chronic operational and reputational risk with limited improvement trajectory</w:t>
      </w:r>
    </w:p>
    <w:p>
      <w:pPr>
        <w:spacing w:after="80"/>
      </w:pPr>
      <w:r>
        <w:t xml:space="preserve"/>
      </w:r>
    </w:p>
    <w:p>
      <w:pPr>
        <w:spacing w:after="80" w:before="200"/>
      </w:pPr>
      <w:r>
        <w:rPr>
          <w:rFonts w:ascii="Arial" w:cs="Arial" w:eastAsia="Arial" w:hAnsi="Arial"/>
          <w:b/>
          <w:bCs/>
          <w:color w:val="1B2A4A"/>
          <w:sz w:val="22"/>
          <w:szCs w:val="22"/>
        </w:rPr>
        <w:t xml:space="preserve">⚠  Missing / Insufficient Disclosures</w:t>
      </w:r>
    </w:p>
    <w:p>
      <w:pPr>
        <w:pStyle w:val="ListParagraph"/>
        <w:numPr>
          <w:ilvl w:val="0"/>
          <w:numId w:val="2"/>
        </w:numPr>
        <w:spacing w:after="60"/>
      </w:pPr>
      <w:r>
        <w:rPr>
          <w:rFonts w:ascii="Arial" w:cs="Arial" w:eastAsia="Arial" w:hAnsi="Arial"/>
          <w:sz w:val="20"/>
          <w:szCs w:val="20"/>
        </w:rPr>
        <w:t xml:space="preserve">Company-level net zero or transition plan</w:t>
      </w:r>
    </w:p>
    <w:p>
      <w:pPr>
        <w:pStyle w:val="ListParagraph"/>
        <w:numPr>
          <w:ilvl w:val="0"/>
          <w:numId w:val="2"/>
        </w:numPr>
        <w:spacing w:after="60"/>
      </w:pPr>
      <w:r>
        <w:rPr>
          <w:rFonts w:ascii="Arial" w:cs="Arial" w:eastAsia="Arial" w:hAnsi="Arial"/>
          <w:sz w:val="20"/>
          <w:szCs w:val="20"/>
        </w:rPr>
        <w:t xml:space="preserve">Scope 3 (coal combustion by customers) quantification</w:t>
      </w:r>
    </w:p>
    <w:p>
      <w:pPr>
        <w:pStyle w:val="ListParagraph"/>
        <w:numPr>
          <w:ilvl w:val="0"/>
          <w:numId w:val="2"/>
        </w:numPr>
        <w:spacing w:after="60"/>
      </w:pPr>
      <w:r>
        <w:rPr>
          <w:rFonts w:ascii="Arial" w:cs="Arial" w:eastAsia="Arial" w:hAnsi="Arial"/>
          <w:sz w:val="20"/>
          <w:szCs w:val="20"/>
        </w:rPr>
        <w:t xml:space="preserve">SBTi or TCFD scenario analysis</w:t>
      </w:r>
    </w:p>
    <w:p>
      <w:pPr>
        <w:pStyle w:val="ListParagraph"/>
        <w:numPr>
          <w:ilvl w:val="0"/>
          <w:numId w:val="2"/>
        </w:numPr>
        <w:spacing w:after="60"/>
      </w:pPr>
      <w:r>
        <w:rPr>
          <w:rFonts w:ascii="Arial" w:cs="Arial" w:eastAsia="Arial" w:hAnsi="Arial"/>
          <w:sz w:val="20"/>
          <w:szCs w:val="20"/>
        </w:rPr>
        <w:t xml:space="preserve">Board ESG expertise metric</w:t>
      </w:r>
    </w:p>
    <w:p>
      <w:pPr>
        <w:pStyle w:val="ListParagraph"/>
        <w:numPr>
          <w:ilvl w:val="0"/>
          <w:numId w:val="2"/>
        </w:numPr>
        <w:spacing w:after="60"/>
      </w:pPr>
      <w:r>
        <w:rPr>
          <w:rFonts w:ascii="Arial" w:cs="Arial" w:eastAsia="Arial" w:hAnsi="Arial"/>
          <w:sz w:val="20"/>
          <w:szCs w:val="20"/>
        </w:rPr>
        <w:t xml:space="preserve">TNFD biodiversity baseline</w:t>
      </w:r>
    </w:p>
    <w:p>
      <w:pPr>
        <w:spacing w:after="80"/>
      </w:pPr>
      <w:r>
        <w:t xml:space="preserve"/>
      </w:r>
    </w:p>
    <w:p>
      <w:pPr>
        <w:spacing w:after="80" w:before="200"/>
      </w:pPr>
      <w:r>
        <w:rPr>
          <w:rFonts w:ascii="Arial" w:cs="Arial" w:eastAsia="Arial" w:hAnsi="Arial"/>
          <w:b/>
          <w:bCs/>
          <w:color w:val="1B2A4A"/>
          <w:sz w:val="22"/>
          <w:szCs w:val="22"/>
        </w:rPr>
        <w:t xml:space="preserve">🎯  Improvement Roadmap</w:t>
      </w:r>
    </w:p>
    <w:p>
      <w:pPr>
        <w:pStyle w:val="ListParagraph"/>
        <w:numPr>
          <w:ilvl w:val="0"/>
          <w:numId w:val="2"/>
        </w:numPr>
        <w:spacing w:after="60"/>
      </w:pPr>
      <w:r>
        <w:rPr>
          <w:rFonts w:ascii="Arial" w:cs="Arial" w:eastAsia="Arial" w:hAnsi="Arial"/>
          <w:sz w:val="20"/>
          <w:szCs w:val="20"/>
        </w:rPr>
        <w:t xml:space="preserve">12-Month: Publish a coal transition strategy with 5-year capex allocation to renewables; begin Scope 3 (combustion) inventory; disclose TCFD scenario analysis</w:t>
      </w:r>
    </w:p>
    <w:p>
      <w:pPr>
        <w:pStyle w:val="ListParagraph"/>
        <w:numPr>
          <w:ilvl w:val="0"/>
          <w:numId w:val="2"/>
        </w:numPr>
        <w:spacing w:after="60"/>
      </w:pPr>
      <w:r>
        <w:rPr>
          <w:rFonts w:ascii="Arial" w:cs="Arial" w:eastAsia="Arial" w:hAnsi="Arial"/>
          <w:sz w:val="20"/>
          <w:szCs w:val="20"/>
        </w:rPr>
        <w:t xml:space="preserve">3-Year: Target &gt;500 MWp installed RE; expand into critical minerals and pump storage; develop revenue-stream diversification roadmap</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Score</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Momentum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Controversy Adj.</w:t>
            </w:r>
          </w:p>
        </w:tc>
        <w:tc>
          <w:tcPr>
            <w:tcW w:type="dxa" w:w="252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Forward Risk Adj.</w:t>
            </w:r>
          </w:p>
        </w:tc>
      </w:tr>
      <w:tr>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000000"/>
                <w:sz w:val="20"/>
                <w:szCs w:val="20"/>
              </w:rPr>
              <w:t xml:space="preserve">54.5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A7A3C"/>
                <w:sz w:val="20"/>
                <w:szCs w:val="20"/>
              </w:rPr>
              <w:t xml:space="preserve">+0.5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-0.5</w:t>
            </w:r>
          </w:p>
        </w:tc>
        <w:tc>
          <w:tcPr>
            <w:tcW w:type="dxa" w:w="252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C0392B"/>
                <w:sz w:val="20"/>
                <w:szCs w:val="20"/>
              </w:rPr>
              <w:t xml:space="preserve">-2.0</w:t>
            </w:r>
          </w:p>
        </w:tc>
      </w:tr>
    </w:tbl>
    <w:p>
      <w:r>
        <w:br w:type="page"/>
      </w:r>
    </w:p>
    <w:p>
      <w:pPr>
        <w:pStyle w:val="Heading1"/>
        <w:shd w:fill="1B2A4A" w:val="clear"/>
        <w:spacing w:after="160" w:before="320"/>
        <w:ind w:left="200"/>
      </w:pPr>
      <w:r>
        <w:rPr>
          <w:rFonts w:ascii="Arial" w:cs="Arial" w:eastAsia="Arial" w:hAnsi="Arial"/>
          <w:b/>
          <w:bCs/>
          <w:color w:val="FFFFFF"/>
          <w:sz w:val="32"/>
          <w:szCs w:val="32"/>
        </w:rPr>
        <w:t xml:space="preserve">SECTION 5 — INDUSTRY BENCHMARKING &amp; INVESTOR IMPLICATIONS</w:t>
      </w:r>
    </w:p>
    <w:p>
      <w:pPr>
        <w:pStyle w:val="Heading2"/>
        <w:pBdr>
          <w:bottom w:val="single" w:color="B8860B" w:sz="6" w:space="2"/>
        </w:pBdr>
        <w:spacing w:after="120" w:before="280"/>
      </w:pPr>
      <w:r>
        <w:rPr>
          <w:rFonts w:ascii="Arial" w:cs="Arial" w:eastAsia="Arial" w:hAnsi="Arial"/>
          <w:b/>
          <w:bCs/>
          <w:color w:val="1B2A4A"/>
          <w:sz w:val="26"/>
          <w:szCs w:val="26"/>
        </w:rPr>
        <w:t xml:space="preserve">5.1  Benchmarking Against Global &amp; India Sector Medians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1760"/>
        <w:gridCol w:w="2000"/>
      </w:tblGrid>
      <w:tr>
        <w:trPr>
          <w:tblHeader/>
        </w:trPr>
        <w:tc>
          <w:tcPr>
            <w:tcW w:type="dxa" w:w="28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Benchmark</w:t>
            </w:r>
          </w:p>
        </w:tc>
        <w:tc>
          <w:tcPr>
            <w:tcW w:type="dxa" w:w="176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E Score</w:t>
            </w:r>
          </w:p>
        </w:tc>
        <w:tc>
          <w:tcPr>
            <w:tcW w:type="dxa" w:w="176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 Score</w:t>
            </w:r>
          </w:p>
        </w:tc>
        <w:tc>
          <w:tcPr>
            <w:tcW w:type="dxa" w:w="176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G Score</w:t>
            </w:r>
          </w:p>
        </w:tc>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ESG Score /100</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Hindustan Zinc (Peer Best)</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8.25</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7.94</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8.33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83.0</w:t>
            </w:r>
          </w:p>
        </w:tc>
      </w:tr>
      <w:tr>
        <w:tc>
          <w:tcPr>
            <w:tcW w:type="dxa" w:w="2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Hindalco (2nd)</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7.56</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7.75</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75.5</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This Peer Group Average</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6.45</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7.08</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7.17</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66.0</w:t>
            </w:r>
          </w:p>
        </w:tc>
      </w:tr>
      <w:tr>
        <w:tc>
          <w:tcPr>
            <w:tcW w:type="dxa" w:w="2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India Mining Sector Median (est.)</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5.50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6.50</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58.0</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Global Mining Sector Median (est.)</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5.80</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6.20</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6.80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60.0</w:t>
            </w:r>
          </w:p>
        </w:tc>
      </w:tr>
      <w:tr>
        <w:tc>
          <w:tcPr>
            <w:tcW w:type="dxa" w:w="2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Global Best-in-Class Threshold (Top 10%)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8.50+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8.00+</w:t>
            </w:r>
          </w:p>
        </w:tc>
        <w:tc>
          <w:tcPr>
            <w:tcW w:type="dxa" w:w="176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8.50+</w:t>
            </w:r>
          </w:p>
        </w:tc>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75+</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Coal India (Peer Lowest)</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4.65</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6.19</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6.00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52.4</w:t>
            </w:r>
          </w:p>
        </w:tc>
      </w:tr>
    </w:tbl>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5.2  Key Investor Takeaways</w:t>
      </w:r>
    </w:p>
    <w:p>
      <w:pPr>
        <w:spacing w:after="80" w:before="200"/>
      </w:pPr>
      <w:r>
        <w:rPr>
          <w:rFonts w:ascii="Arial" w:cs="Arial" w:eastAsia="Arial" w:hAnsi="Arial"/>
          <w:b/>
          <w:bCs/>
          <w:color w:val="1B2A4A"/>
          <w:sz w:val="22"/>
          <w:szCs w:val="22"/>
        </w:rPr>
        <w:t xml:space="preserve">ESG Leaders — Buy Signal for ESG Mandated Portfolios</w:t>
      </w:r>
    </w:p>
    <w:p>
      <w:pPr>
        <w:pStyle w:val="ListParagraph"/>
        <w:numPr>
          <w:ilvl w:val="0"/>
          <w:numId w:val="2"/>
        </w:numPr>
        <w:spacing w:after="60"/>
      </w:pPr>
      <w:r>
        <w:rPr>
          <w:rFonts w:ascii="Arial" w:cs="Arial" w:eastAsia="Arial" w:hAnsi="Arial"/>
          <w:sz w:val="20"/>
          <w:szCs w:val="20"/>
        </w:rPr>
        <w:t xml:space="preserve">Hindustan Zinc (AA, 83.0/100): Globally benchmarked ESG leader. SBTi-validated, water positive, India's best BRSR. Strong buy for ESG-mandated institutional portfolios.</w:t>
      </w:r>
    </w:p>
    <w:p>
      <w:pPr>
        <w:pStyle w:val="ListParagraph"/>
        <w:numPr>
          <w:ilvl w:val="0"/>
          <w:numId w:val="2"/>
        </w:numPr>
        <w:spacing w:after="60"/>
      </w:pPr>
      <w:r>
        <w:rPr>
          <w:rFonts w:ascii="Arial" w:cs="Arial" w:eastAsia="Arial" w:hAnsi="Arial"/>
          <w:sz w:val="20"/>
          <w:szCs w:val="20"/>
        </w:rPr>
        <w:t xml:space="preserve">Hindalco (A, 75.5/100): Solid ESG performer with innovation in renewable energy (world-first RTC aluminium smelting). Minor gaps in Scope 3 and SBTi validation. Positive trajectory.</w:t>
      </w:r>
    </w:p>
    <w:p>
      <w:pPr>
        <w:spacing w:after="80" w:before="200"/>
      </w:pPr>
      <w:r>
        <w:rPr>
          <w:rFonts w:ascii="Arial" w:cs="Arial" w:eastAsia="Arial" w:hAnsi="Arial"/>
          <w:b/>
          <w:bCs/>
          <w:color w:val="1B2A4A"/>
          <w:sz w:val="22"/>
          <w:szCs w:val="22"/>
        </w:rPr>
        <w:t xml:space="preserve">ESG Average — Monitor &amp; Engage</w:t>
      </w:r>
    </w:p>
    <w:p>
      <w:pPr>
        <w:pStyle w:val="ListParagraph"/>
        <w:numPr>
          <w:ilvl w:val="0"/>
          <w:numId w:val="2"/>
        </w:numPr>
        <w:spacing w:after="60"/>
      </w:pPr>
      <w:r>
        <w:rPr>
          <w:rFonts w:ascii="Arial" w:cs="Arial" w:eastAsia="Arial" w:hAnsi="Arial"/>
          <w:sz w:val="20"/>
          <w:szCs w:val="20"/>
        </w:rPr>
        <w:t xml:space="preserve">Vedanta (BBB, 66.4/100): Above-median disclosure quality but GHG emissions increased YoY. Demerger-linked governance uncertainty warrants active engagement. Watch net debt and regulatory compliance resolution.</w:t>
      </w:r>
    </w:p>
    <w:p>
      <w:pPr>
        <w:pStyle w:val="ListParagraph"/>
        <w:numPr>
          <w:ilvl w:val="0"/>
          <w:numId w:val="2"/>
        </w:numPr>
        <w:spacing w:after="60"/>
      </w:pPr>
      <w:r>
        <w:rPr>
          <w:rFonts w:ascii="Arial" w:cs="Arial" w:eastAsia="Arial" w:hAnsi="Arial"/>
          <w:sz w:val="20"/>
          <w:szCs w:val="20"/>
        </w:rPr>
        <w:t xml:space="preserve">NMDC (BBB, 65.5/100): Strong community record and third-party assurance, but lacks net zero targets and executive ESG pay linkage. PSU governance is the primary constraint.</w:t>
      </w:r>
    </w:p>
    <w:p>
      <w:pPr>
        <w:spacing w:after="80" w:before="200"/>
      </w:pPr>
      <w:r>
        <w:rPr>
          <w:rFonts w:ascii="Arial" w:cs="Arial" w:eastAsia="Arial" w:hAnsi="Arial"/>
          <w:b/>
          <w:bCs/>
          <w:color w:val="1B2A4A"/>
          <w:sz w:val="22"/>
          <w:szCs w:val="22"/>
        </w:rPr>
        <w:t xml:space="preserve">ESG Laggard — Caution / Transition Risk</w:t>
      </w:r>
    </w:p>
    <w:p>
      <w:pPr>
        <w:pStyle w:val="ListParagraph"/>
        <w:numPr>
          <w:ilvl w:val="0"/>
          <w:numId w:val="2"/>
        </w:numPr>
        <w:spacing w:after="60"/>
      </w:pPr>
      <w:r>
        <w:rPr>
          <w:rFonts w:ascii="Arial" w:cs="Arial" w:eastAsia="Arial" w:hAnsi="Arial"/>
          <w:sz w:val="20"/>
          <w:szCs w:val="20"/>
        </w:rPr>
        <w:t xml:space="preserve">Coal India (BB, 52.4/100): Fundamental business model misalignment with Paris Agreement creates irresolvable long-term transition risk. Near-term financial strength masks deep forward risk. Not recommended for ESG-screened portfolios without a credible transition plan. ESG-agnostic value investors should monitor capex diversification into renewables and critical minerals.</w:t>
      </w:r>
    </w:p>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5.3  Momentum Outlook</w:t>
      </w:r>
    </w:p>
    <w:p>
      <w:pPr>
        <w:spacing w:after="80"/>
      </w:pPr>
      <w:r>
        <w:rPr>
          <w:rFonts w:ascii="Arial" w:cs="Arial" w:eastAsia="Arial" w:hAnsi="Arial"/>
          <w:b w:val="false"/>
          <w:bCs w:val="false"/>
          <w:color w:val="000000"/>
          <w:sz w:val="20"/>
          <w:szCs w:val="20"/>
        </w:rPr>
        <w:t xml:space="preserve">The positive momentum leaders in this peer group are Hindustan Zinc and Hindalco — both demonstrating consistent YoY ESG score improvements with quantified targets. NMDC shows incremental improvement but requires accelerated governance reform. Vedanta's rising GHG emissions and pending regulatory non-compliance are trajectory red flags. Coal India's renewable energy pivot is nascent but strategically significant — watch the FY 2026-27 BRSR for first evidence of meaningful capex reallocation.</w:t>
      </w:r>
    </w:p>
    <w:p>
      <w:r>
        <w:br w:type="page"/>
      </w:r>
    </w:p>
    <w:p>
      <w:pPr>
        <w:pStyle w:val="Heading1"/>
        <w:shd w:fill="1B2A4A" w:val="clear"/>
        <w:spacing w:after="160" w:before="320"/>
        <w:ind w:left="200"/>
      </w:pPr>
      <w:r>
        <w:rPr>
          <w:rFonts w:ascii="Arial" w:cs="Arial" w:eastAsia="Arial" w:hAnsi="Arial"/>
          <w:b/>
          <w:bCs/>
          <w:color w:val="FFFFFF"/>
          <w:sz w:val="32"/>
          <w:szCs w:val="32"/>
        </w:rPr>
        <w:t xml:space="preserve">SECTION 6 — REGULATORY RADAR &amp; BRSR EVOLUTION</w:t>
      </w:r>
    </w:p>
    <w:p>
      <w:pPr>
        <w:pStyle w:val="Heading2"/>
        <w:pBdr>
          <w:bottom w:val="single" w:color="B8860B" w:sz="6" w:space="2"/>
        </w:pBdr>
        <w:spacing w:after="120" w:before="280"/>
      </w:pPr>
      <w:r>
        <w:rPr>
          <w:rFonts w:ascii="Arial" w:cs="Arial" w:eastAsia="Arial" w:hAnsi="Arial"/>
          <w:b/>
          <w:bCs/>
          <w:color w:val="1B2A4A"/>
          <w:sz w:val="26"/>
          <w:szCs w:val="26"/>
        </w:rPr>
        <w:t xml:space="preserve">6.1  SEBI BRSR Compliance Landscape FY 2024-25</w:t>
      </w:r>
    </w:p>
    <w:p>
      <w:pPr>
        <w:spacing w:after="80"/>
      </w:pPr>
      <w:r>
        <w:rPr>
          <w:rFonts w:ascii="Arial" w:cs="Arial" w:eastAsia="Arial" w:hAnsi="Arial"/>
          <w:b w:val="false"/>
          <w:bCs w:val="false"/>
          <w:color w:val="000000"/>
          <w:sz w:val="20"/>
          <w:szCs w:val="20"/>
        </w:rPr>
        <w:t xml:space="preserve">India's BRSR framework, mandated by SEBI for the top 1,000 listed companies since FY 2022-23, represents one of the most comprehensive mandatory ESG disclosure regimes in the Global South. All five companies in this report are fully BRSR-compliant. Key regulatory developments for FY 2024-25 include:</w:t>
      </w:r>
    </w:p>
    <w:p>
      <w:pPr>
        <w:pStyle w:val="ListParagraph"/>
        <w:numPr>
          <w:ilvl w:val="0"/>
          <w:numId w:val="2"/>
        </w:numPr>
        <w:spacing w:after="60"/>
      </w:pPr>
      <w:r>
        <w:rPr>
          <w:rFonts w:ascii="Arial" w:cs="Arial" w:eastAsia="Arial" w:hAnsi="Arial"/>
          <w:sz w:val="20"/>
          <w:szCs w:val="20"/>
        </w:rPr>
        <w:t xml:space="preserve">BRSR Core limited assurance is now mandatory for the top 150 listed companies from FY 2024-25 — all five companies in this report fall within this threshold.</w:t>
      </w:r>
    </w:p>
    <w:p>
      <w:pPr>
        <w:pStyle w:val="ListParagraph"/>
        <w:numPr>
          <w:ilvl w:val="0"/>
          <w:numId w:val="2"/>
        </w:numPr>
        <w:spacing w:after="60"/>
      </w:pPr>
      <w:r>
        <w:rPr>
          <w:rFonts w:ascii="Arial" w:cs="Arial" w:eastAsia="Arial" w:hAnsi="Arial"/>
          <w:sz w:val="20"/>
          <w:szCs w:val="20"/>
        </w:rPr>
        <w:t xml:space="preserve">ISF Industry Standards (ASSOCHAM/FICCI/CII, December 2024) provide standardised interpretation guidance for BRSR Core KPI calculation, improving comparability across the peer group.</w:t>
      </w:r>
    </w:p>
    <w:p>
      <w:pPr>
        <w:pStyle w:val="ListParagraph"/>
        <w:numPr>
          <w:ilvl w:val="0"/>
          <w:numId w:val="2"/>
        </w:numPr>
        <w:spacing w:after="60"/>
      </w:pPr>
      <w:r>
        <w:rPr>
          <w:rFonts w:ascii="Arial" w:cs="Arial" w:eastAsia="Arial" w:hAnsi="Arial"/>
          <w:sz w:val="20"/>
          <w:szCs w:val="20"/>
        </w:rPr>
        <w:t xml:space="preserve">BRSR Core value chain disclosures are voluntary for the top 250 companies from FY 2025-26 — expect significant variation in disclosure completeness across this peer group in the next reporting cycle.</w:t>
      </w:r>
    </w:p>
    <w:p>
      <w:pPr>
        <w:pStyle w:val="ListParagraph"/>
        <w:numPr>
          <w:ilvl w:val="0"/>
          <w:numId w:val="2"/>
        </w:numPr>
        <w:spacing w:after="60"/>
      </w:pPr>
      <w:r>
        <w:rPr>
          <w:rFonts w:ascii="Arial" w:cs="Arial" w:eastAsia="Arial" w:hAnsi="Arial"/>
          <w:sz w:val="20"/>
          <w:szCs w:val="20"/>
        </w:rPr>
        <w:t xml:space="preserve">SEBI's expansion roadmap extends mandatory assurance to the top 500 companies by FY 2026-27 and top 1,000 by FY 2027-28, elevating investor-grade data quality across Indian markets.</w:t>
      </w:r>
    </w:p>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6.2  Framework Coverage by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080"/>
        <w:gridCol w:w="1200"/>
        <w:gridCol w:w="1000"/>
      </w:tblGrid>
      <w:tr>
        <w:trPr>
          <w:tblHeader/>
        </w:trPr>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BRSR</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GRI</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TCFD /IFRS S2</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TNFD</w:t>
            </w:r>
          </w:p>
        </w:tc>
        <w:tc>
          <w:tcPr>
            <w:tcW w:type="dxa" w:w="10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SBTi</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CDP</w:t>
            </w:r>
          </w:p>
        </w:tc>
        <w:tc>
          <w:tcPr>
            <w:tcW w:type="dxa" w:w="1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3rd Pty Asrd.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Hindustan Zinc</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(IFRS S2)</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(1st India M&amp;M)</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Validated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A- (CDP)</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r>
      <w:tr>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(TNFD)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(Adopted)</w:t>
            </w:r>
          </w:p>
        </w:tc>
        <w:tc>
          <w:tcPr>
            <w:tcW w:type="dxa" w:w="1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18"/>
                <w:szCs w:val="18"/>
              </w:rPr>
              <w:t xml:space="preserve">Committed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Disclosed</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(Reasonable)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(TCFD)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18"/>
                <w:szCs w:val="18"/>
              </w:rPr>
              <w:t xml:space="preserve">Partial</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Disclosed</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(VSAP)</w:t>
            </w:r>
          </w:p>
        </w:tc>
      </w:tr>
      <w:tr>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Cross-ref</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E67E22"/>
                <w:sz w:val="18"/>
                <w:szCs w:val="18"/>
              </w:rPr>
              <w:t xml:space="preserve">Partial</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0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(BV)</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Cross-ref</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0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C0392B"/>
                <w:sz w:val="18"/>
                <w:szCs w:val="18"/>
              </w:rPr>
              <w:t xml:space="preserve">Not yet</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A7A3C"/>
                <w:sz w:val="18"/>
                <w:szCs w:val="18"/>
              </w:rPr>
              <w:t xml:space="preserve">✓ (Jt Values)</w:t>
            </w:r>
          </w:p>
        </w:tc>
      </w:tr>
    </w:tbl>
    <w:p>
      <w:r>
        <w:br w:type="page"/>
      </w:r>
    </w:p>
    <w:p>
      <w:pPr>
        <w:pStyle w:val="Heading1"/>
        <w:shd w:fill="1B2A4A" w:val="clear"/>
        <w:spacing w:after="160" w:before="320"/>
        <w:ind w:left="200"/>
      </w:pPr>
      <w:r>
        <w:rPr>
          <w:rFonts w:ascii="Arial" w:cs="Arial" w:eastAsia="Arial" w:hAnsi="Arial"/>
          <w:b/>
          <w:bCs/>
          <w:color w:val="FFFFFF"/>
          <w:sz w:val="32"/>
          <w:szCs w:val="32"/>
        </w:rPr>
        <w:t xml:space="preserve">SECTION 7 — ASSUMPTIONS LOG &amp; AUDIT TRAIL</w:t>
      </w:r>
    </w:p>
    <w:p>
      <w:pPr>
        <w:pStyle w:val="Heading2"/>
        <w:pBdr>
          <w:bottom w:val="single" w:color="B8860B" w:sz="6" w:space="2"/>
        </w:pBdr>
        <w:spacing w:after="120" w:before="280"/>
      </w:pPr>
      <w:r>
        <w:rPr>
          <w:rFonts w:ascii="Arial" w:cs="Arial" w:eastAsia="Arial" w:hAnsi="Arial"/>
          <w:b/>
          <w:bCs/>
          <w:color w:val="1B2A4A"/>
          <w:sz w:val="26"/>
          <w:szCs w:val="26"/>
        </w:rPr>
        <w:t xml:space="preserve">7.1  Key Scoring Assumptions</w:t>
      </w:r>
    </w:p>
    <w:p>
      <w:pPr>
        <w:spacing w:after="80"/>
      </w:pPr>
      <w:r>
        <w:rPr>
          <w:rFonts w:ascii="Arial" w:cs="Arial" w:eastAsia="Arial" w:hAnsi="Arial"/>
          <w:b w:val="false"/>
          <w:bCs w:val="false"/>
          <w:color w:val="000000"/>
          <w:sz w:val="20"/>
          <w:szCs w:val="20"/>
        </w:rPr>
        <w:t xml:space="preserve">In accordance with global ESG rating best practice, all data assumptions are disclosed explicitly. A disclosure penalty of 1.5 points was applied per undisclosed material metric.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2580"/>
      </w:tblGrid>
      <w:tr>
        <w:trPr>
          <w:tblHeader/>
        </w:trPr>
        <w:tc>
          <w:tcPr>
            <w:tcW w:type="dxa" w:w="2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25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Parameter</w:t>
            </w:r>
          </w:p>
        </w:tc>
        <w:tc>
          <w:tcPr>
            <w:tcW w:type="dxa" w:w="30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Assumption</w:t>
            </w:r>
          </w:p>
        </w:tc>
        <w:tc>
          <w:tcPr>
            <w:tcW w:type="dxa" w:w="25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Source / Basis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Net Zero Strategy (score: 3.0)</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company-level net zero target; scored against India NDC alignment only</w:t>
            </w:r>
          </w:p>
        </w:tc>
        <w:tc>
          <w:tcPr>
            <w:tcW w:type="dxa" w:w="2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BRSR FY2024-25; absence of SBTi or company target</w:t>
            </w:r>
          </w:p>
        </w:tc>
      </w:tr>
      <w:tr>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w:t>
            </w:r>
          </w:p>
        </w:tc>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Renewable Energy Targets</w:t>
            </w:r>
          </w:p>
        </w:tc>
        <w:tc>
          <w:tcPr>
            <w:tcW w:type="dxa" w:w="3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FY2022-23 GHG figures used for intensity calculation; FY2024-25 figures not yet in ESG Factbook</w:t>
            </w:r>
          </w:p>
        </w:tc>
        <w:tc>
          <w:tcPr>
            <w:tcW w:type="dxa" w:w="25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ESG Factbook (March 2024); BRSR 2024-25</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GHG Performance (score: 6.5)</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1.4% YoY GHG increase per FY2024-25 report; downward adjustment applied to trend scoring</w:t>
            </w:r>
          </w:p>
        </w:tc>
        <w:tc>
          <w:tcPr>
            <w:tcW w:type="dxa" w:w="2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Integrated Annual Report FY2024-25</w:t>
            </w:r>
          </w:p>
        </w:tc>
      </w:tr>
      <w:tr>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w:t>
            </w:r>
          </w:p>
        </w:tc>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SBTi Validation</w:t>
            </w:r>
          </w:p>
        </w:tc>
        <w:tc>
          <w:tcPr>
            <w:tcW w:type="dxa" w:w="3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SBTi commitment disclosed but validation not yet confirmed as at May 2026; scored as 'Committed'</w:t>
            </w:r>
          </w:p>
        </w:tc>
        <w:tc>
          <w:tcPr>
            <w:tcW w:type="dxa" w:w="25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BRSR FY2023-24; FY2024-25 IR</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All PSUs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Executive ESG Pay Linkage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PSU compensation governed by DPE guidelines; ESG KPI linkage not publicly disclosed; scored conservatively at 5.5–6.0</w:t>
            </w:r>
          </w:p>
        </w:tc>
        <w:tc>
          <w:tcPr>
            <w:tcW w:type="dxa" w:w="2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DPE salary guidelines; absence of public disclosure</w:t>
            </w:r>
          </w:p>
        </w:tc>
      </w:tr>
      <w:tr>
        <w:tc>
          <w:tcPr>
            <w:tcW w:type="dxa" w:w="2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All Companies</w:t>
            </w:r>
          </w:p>
        </w:tc>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Scope 3 Quantification</w:t>
            </w:r>
          </w:p>
        </w:tc>
        <w:tc>
          <w:tcPr>
            <w:tcW w:type="dxa" w:w="30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company in this peer group fully quantifies all Scope 3 categories; Hindustan Zinc and Hindalco most advanced</w:t>
            </w:r>
          </w:p>
        </w:tc>
        <w:tc>
          <w:tcPr>
            <w:tcW w:type="dxa" w:w="25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Individual BRSRs and Sustainability Reports</w:t>
            </w:r>
          </w:p>
        </w:tc>
      </w:tr>
    </w:tbl>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7.2  Score Derivation Audit Trail</w:t>
      </w:r>
    </w:p>
    <w:p>
      <w:pPr>
        <w:spacing w:after="80"/>
      </w:pPr>
      <w:r>
        <w:rPr>
          <w:rFonts w:ascii="Arial" w:cs="Arial" w:eastAsia="Arial" w:hAnsi="Arial"/>
          <w:b/>
          <w:bCs/>
          <w:color w:val="000000"/>
          <w:sz w:val="20"/>
          <w:szCs w:val="20"/>
        </w:rPr>
        <w:t xml:space="preserve">Final Score = [(E Score × 0.45) + (S Score × 0.30) + (G Score × 0.25)] × 10 + Momentum + Controversy + Forward Risk Adjustment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600"/>
        <w:gridCol w:w="800"/>
        <w:gridCol w:w="800"/>
        <w:gridCol w:w="780"/>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E×0.45</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S×0.30</w:t>
            </w:r>
          </w:p>
        </w:tc>
        <w:tc>
          <w:tcPr>
            <w:tcW w:type="dxa" w:w="12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G×0.25</w:t>
            </w:r>
          </w:p>
        </w:tc>
        <w:tc>
          <w:tcPr>
            <w:tcW w:type="dxa" w:w="16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Base ×10</w:t>
            </w:r>
          </w:p>
        </w:tc>
        <w:tc>
          <w:tcPr>
            <w:tcW w:type="dxa" w:w="8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Mom.</w:t>
            </w:r>
          </w:p>
        </w:tc>
        <w:tc>
          <w:tcPr>
            <w:tcW w:type="dxa" w:w="80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Cont.</w:t>
            </w:r>
          </w:p>
        </w:tc>
        <w:tc>
          <w:tcPr>
            <w:tcW w:type="dxa" w:w="780"/>
            <w:tcBorders>
              <w:top w:val="single" w:color="BBBBBB" w:sz="1"/>
              <w:left w:val="single" w:color="BBBBBB" w:sz="1"/>
              <w:bottom w:val="single" w:color="BBBBBB" w:sz="1"/>
              <w:right w:val="single" w:color="BBBBBB" w:sz="1"/>
            </w:tcBorders>
            <w:shd w:fill="1B2A4A" w:val="clear"/>
            <w:tcMar>
              <w:top w:type="dxa" w:w="70"/>
              <w:left w:type="dxa" w:w="110"/>
              <w:bottom w:type="dxa" w:w="70"/>
              <w:right w:type="dxa" w:w="110"/>
            </w:tcMar>
            <w:vAlign w:val="center"/>
          </w:tcPr>
          <w:p>
            <w:pPr>
              <w:jc w:val="center"/>
            </w:pPr>
            <w:r>
              <w:rPr>
                <w:rFonts w:ascii="Arial" w:cs="Arial" w:eastAsia="Arial" w:hAnsi="Arial"/>
                <w:b/>
                <w:bCs/>
                <w:color w:val="FFFFFF"/>
                <w:sz w:val="20"/>
                <w:szCs w:val="20"/>
              </w:rPr>
              <w:t xml:space="preserve">Fwd.</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Hindustan Zinc Limited (HZL)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3.712</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2.382</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2.083</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81.8</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Hindalco Industries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3.375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2.268</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1.938</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75.8</w:t>
            </w:r>
          </w:p>
        </w:tc>
        <w:tc>
          <w:tcPr>
            <w:tcW w:type="dxa" w:w="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7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Vedanta Limited</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2.993</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2.082</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1.770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68.4</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w:t>
            </w:r>
          </w:p>
        </w:tc>
      </w:tr>
      <w:tr>
        <w:tc>
          <w:tcPr>
            <w:tcW w:type="dxa" w:w="25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NMDC Limited</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2.790</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2.025</w:t>
            </w:r>
          </w:p>
        </w:tc>
        <w:tc>
          <w:tcPr>
            <w:tcW w:type="dxa" w:w="12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1.667</w:t>
            </w:r>
          </w:p>
        </w:tc>
        <w:tc>
          <w:tcPr>
            <w:tcW w:type="dxa" w:w="16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64.8</w:t>
            </w:r>
          </w:p>
        </w:tc>
        <w:tc>
          <w:tcPr>
            <w:tcW w:type="dxa" w:w="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80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w:t>
            </w:r>
          </w:p>
        </w:tc>
        <w:tc>
          <w:tcPr>
            <w:tcW w:type="dxa" w:w="780"/>
            <w:tcBorders>
              <w:top w:val="single" w:color="BBBBBB" w:sz="1"/>
              <w:left w:val="single" w:color="BBBBBB" w:sz="1"/>
              <w:bottom w:val="single" w:color="BBBBBB" w:sz="1"/>
              <w:right w:val="single" w:color="BBBBBB" w:sz="1"/>
            </w:tcBorders>
            <w:shd w:fill="F5F5F5"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Coal India Limited (CIL)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2.093</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1.857</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1.500</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bCs/>
                <w:color w:val="1B2A4A"/>
                <w:sz w:val="20"/>
                <w:szCs w:val="20"/>
              </w:rPr>
              <w:t xml:space="preserve">54.5</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-0.5</w:t>
            </w:r>
          </w:p>
        </w:tc>
        <w:tc>
          <w:tcPr>
            <w:tcW w:type="dxa" w:w="7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-2.0</w:t>
            </w:r>
          </w:p>
        </w:tc>
      </w:tr>
    </w:tbl>
    <w:p>
      <w:r>
        <w:br w:type="page"/>
      </w:r>
    </w:p>
    <w:p>
      <w:pPr>
        <w:pStyle w:val="Heading1"/>
        <w:shd w:fill="1B2A4A" w:val="clear"/>
        <w:spacing w:after="160" w:before="320"/>
        <w:ind w:left="200"/>
      </w:pPr>
      <w:r>
        <w:rPr>
          <w:rFonts w:ascii="Arial" w:cs="Arial" w:eastAsia="Arial" w:hAnsi="Arial"/>
          <w:b/>
          <w:bCs/>
          <w:color w:val="FFFFFF"/>
          <w:sz w:val="32"/>
          <w:szCs w:val="32"/>
        </w:rPr>
        <w:t xml:space="preserve">SECTION 8 — CONCLUSIONS &amp; RESEARCH IMPLICATIONS</w:t>
      </w:r>
    </w:p>
    <w:p>
      <w:pPr>
        <w:pStyle w:val="Heading2"/>
        <w:pBdr>
          <w:bottom w:val="single" w:color="B8860B" w:sz="6" w:space="2"/>
        </w:pBdr>
        <w:spacing w:after="120" w:before="280"/>
      </w:pPr>
      <w:r>
        <w:rPr>
          <w:rFonts w:ascii="Arial" w:cs="Arial" w:eastAsia="Arial" w:hAnsi="Arial"/>
          <w:b/>
          <w:bCs/>
          <w:color w:val="1B2A4A"/>
          <w:sz w:val="26"/>
          <w:szCs w:val="26"/>
        </w:rPr>
        <w:t xml:space="preserve">8.1  Summary Conclusions</w:t>
      </w:r>
    </w:p>
    <w:p>
      <w:pPr>
        <w:spacing w:after="80"/>
      </w:pPr>
      <w:r>
        <w:rPr>
          <w:rFonts w:ascii="Arial" w:cs="Arial" w:eastAsia="Arial" w:hAnsi="Arial"/>
          <w:b w:val="false"/>
          <w:bCs w:val="false"/>
          <w:color w:val="000000"/>
          <w:sz w:val="20"/>
          <w:szCs w:val="20"/>
        </w:rPr>
        <w:t xml:space="preserve">This comparative ESG rating exercise reveals a significant stratification within India's five largest mining companies, spanning a 30-point range from Hindustan Zinc (AA, 83.0) to Coal India (BB, 52.4). Three structural findings emerge:</w:t>
      </w:r>
    </w:p>
    <w:p>
      <w:pPr>
        <w:pStyle w:val="ListParagraph"/>
        <w:numPr>
          <w:ilvl w:val="0"/>
          <w:numId w:val="2"/>
        </w:numPr>
        <w:spacing w:after="60"/>
      </w:pPr>
      <w:r>
        <w:rPr>
          <w:rFonts w:ascii="Arial" w:cs="Arial" w:eastAsia="Arial" w:hAnsi="Arial"/>
          <w:sz w:val="20"/>
          <w:szCs w:val="20"/>
        </w:rPr>
        <w:t xml:space="preserve">Disclosure quality has improved substantially across the peer group — all five companies now file third-party assured BRSRs, a significant milestone for Indian ESG data reliability. However, disclosure quality and actual ESG performance are not always correlated, as the Vedanta case (high disclosure, rising GHG) demonstrates.</w:t>
      </w:r>
    </w:p>
    <w:p>
      <w:pPr>
        <w:pStyle w:val="ListParagraph"/>
        <w:numPr>
          <w:ilvl w:val="0"/>
          <w:numId w:val="2"/>
        </w:numPr>
        <w:spacing w:after="60"/>
      </w:pPr>
      <w:r>
        <w:rPr>
          <w:rFonts w:ascii="Arial" w:cs="Arial" w:eastAsia="Arial" w:hAnsi="Arial"/>
          <w:sz w:val="20"/>
          <w:szCs w:val="20"/>
        </w:rPr>
        <w:t xml:space="preserve">Private sector companies significantly outperform PSUs on environmental ambition and governance innovation. The PSU governance constraint — government nominee boards, DPE salary ceilings limiting ESG pay linkage — is a structural inhibitor that requires policy-level intervention.</w:t>
      </w:r>
    </w:p>
    <w:p>
      <w:pPr>
        <w:pStyle w:val="ListParagraph"/>
        <w:numPr>
          <w:ilvl w:val="0"/>
          <w:numId w:val="2"/>
        </w:numPr>
        <w:spacing w:after="60"/>
      </w:pPr>
      <w:r>
        <w:rPr>
          <w:rFonts w:ascii="Arial" w:cs="Arial" w:eastAsia="Arial" w:hAnsi="Arial"/>
          <w:sz w:val="20"/>
          <w:szCs w:val="20"/>
        </w:rPr>
        <w:t xml:space="preserve">Transition risk is bifurcated: Hindustan Zinc and Hindalco are well-positioned for a net-zero economy; Coal India faces existential transition risk that current disclosures do not adequately quantify or mitigate.</w:t>
      </w:r>
    </w:p>
    <w:p>
      <w:pPr>
        <w:spacing w:after="80"/>
      </w:pPr>
      <w:r>
        <w:t xml:space="preserve"/>
      </w:r>
    </w:p>
    <w:p>
      <w:pPr>
        <w:pStyle w:val="Heading2"/>
        <w:pBdr>
          <w:bottom w:val="single" w:color="B8860B" w:sz="6" w:space="2"/>
        </w:pBdr>
        <w:spacing w:after="120" w:before="280"/>
      </w:pPr>
      <w:r>
        <w:rPr>
          <w:rFonts w:ascii="Arial" w:cs="Arial" w:eastAsia="Arial" w:hAnsi="Arial"/>
          <w:b/>
          <w:bCs/>
          <w:color w:val="1B2A4A"/>
          <w:sz w:val="26"/>
          <w:szCs w:val="26"/>
        </w:rPr>
        <w:t xml:space="preserve">8.2  Research &amp; Policy Implications</w:t>
      </w:r>
    </w:p>
    <w:p>
      <w:pPr>
        <w:pStyle w:val="ListParagraph"/>
        <w:numPr>
          <w:ilvl w:val="0"/>
          <w:numId w:val="2"/>
        </w:numPr>
        <w:spacing w:after="60"/>
      </w:pPr>
      <w:r>
        <w:rPr>
          <w:rFonts w:ascii="Arial" w:cs="Arial" w:eastAsia="Arial" w:hAnsi="Arial"/>
          <w:sz w:val="20"/>
          <w:szCs w:val="20"/>
        </w:rPr>
        <w:t xml:space="preserve">For ESG investors: A tiered allocation strategy — overweight HZL and Hindalco for ESG alpha; engage Vedanta and NMDC on specific KPI improvements; underweight Coal India in Paris-aligned portfolios pending a credible transition plan.</w:t>
      </w:r>
    </w:p>
    <w:p>
      <w:pPr>
        <w:pStyle w:val="ListParagraph"/>
        <w:numPr>
          <w:ilvl w:val="0"/>
          <w:numId w:val="2"/>
        </w:numPr>
        <w:spacing w:after="60"/>
      </w:pPr>
      <w:r>
        <w:rPr>
          <w:rFonts w:ascii="Arial" w:cs="Arial" w:eastAsia="Arial" w:hAnsi="Arial"/>
          <w:sz w:val="20"/>
          <w:szCs w:val="20"/>
        </w:rPr>
        <w:t xml:space="preserve">For researchers: BRSR data quality is now sufficient for longitudinal panel studies in Indian mining. Future work should examine whether BRSR disclosure scores predict operational ESG outcomes (causal identification challenge) and whether PSU vs. private ownership is a significant moderator.</w:t>
      </w:r>
    </w:p>
    <w:p>
      <w:pPr>
        <w:pStyle w:val="ListParagraph"/>
        <w:numPr>
          <w:ilvl w:val="0"/>
          <w:numId w:val="2"/>
        </w:numPr>
        <w:spacing w:after="60"/>
      </w:pPr>
      <w:r>
        <w:rPr>
          <w:rFonts w:ascii="Arial" w:cs="Arial" w:eastAsia="Arial" w:hAnsi="Arial"/>
          <w:sz w:val="20"/>
          <w:szCs w:val="20"/>
        </w:rPr>
        <w:t xml:space="preserve">For regulators: SEBI should consider mandatory Scope 3 disclosure (coal combustion) for extractive sector companies and a sector-specific BRSR supplement for mining aligned with ICMM Sustainable Development Framework.</w:t>
      </w:r>
    </w:p>
    <w:p>
      <w:pPr>
        <w:spacing w:after="80"/>
      </w:pPr>
      <w:r>
        <w:t xml:space="preserve"/>
      </w:r>
    </w:p>
    <w:p>
      <w:pPr>
        <w:pBdr>
          <w:left w:val="single" w:color="B8860B" w:sz="12" w:space="8"/>
        </w:pBdr>
        <w:shd w:fill="E8EDF4" w:val="clear"/>
        <w:spacing w:after="100" w:before="200"/>
        <w:ind w:left="300"/>
      </w:pPr>
      <w:r>
        <w:rPr>
          <w:rFonts w:ascii="Arial" w:cs="Arial" w:eastAsia="Arial" w:hAnsi="Arial"/>
          <w:b/>
          <w:bCs/>
          <w:color w:val="1B2A4A"/>
          <w:sz w:val="18"/>
          <w:szCs w:val="18"/>
        </w:rPr>
        <w:t xml:space="preserve">DISCLAIMER: </w:t>
      </w:r>
      <w:r>
        <w:rPr>
          <w:rFonts w:ascii="Arial" w:cs="Arial" w:eastAsia="Arial" w:hAnsi="Arial"/>
          <w:color w:val="1B2A4A"/>
          <w:sz w:val="18"/>
          <w:szCs w:val="18"/>
        </w:rPr>
        <w:t xml:space="preserve">This ESG Rating Report is prepared solely for academic, research, and investor education purposes by Dr. Debasis Pahi, Assistant Professor &amp; HoD Commerce, Model Degree College Malkangiri, affiliated with Vikram Deb University, Odisha. All data is sourced from publicly available company disclosures as at May 2026. This report does not constitute investment advice. Ratings represent independent analytical judgment and may differ from commercial ESG rating agencies. The author holds no financial interest in any company rated herein.</w:t>
      </w:r>
    </w:p>
    <w:p>
      <w:pPr>
        <w:spacing w:after="80"/>
      </w:pPr>
      <w:r>
        <w:t xml:space="preserve"/>
      </w:r>
    </w:p>
    <w:p>
      <w:pPr>
        <w:spacing w:after="80"/>
      </w:pPr>
      <w:r>
        <w:t xml:space="preserve"/>
      </w:r>
    </w:p>
    <w:p>
      <w:pPr>
        <w:jc w:val="center"/>
      </w:pPr>
      <w:r>
        <w:rPr>
          <w:rFonts w:ascii="Arial" w:cs="Arial" w:eastAsia="Arial" w:hAnsi="Arial"/>
          <w:b/>
          <w:bCs/>
          <w:color w:val="B8860B"/>
          <w:sz w:val="24"/>
          <w:szCs w:val="24"/>
        </w:rPr>
        <w:t xml:space="preserve">— End of Report —</w:t>
      </w:r>
    </w:p>
    <w:p>
      <w:pPr>
        <w:jc w:val="center"/>
      </w:pPr>
      <w:r>
        <w:rPr>
          <w:rFonts w:ascii="Arial" w:cs="Arial" w:eastAsia="Arial" w:hAnsi="Arial"/>
          <w:color w:val="1B2A4A"/>
          <w:sz w:val="20"/>
          <w:szCs w:val="20"/>
        </w:rPr>
        <w:t xml:space="preserve">Dr. Debasis Pahi, Ph.D. (Finance) — IIT Kharagpur</w:t>
      </w:r>
    </w:p>
    <w:p>
      <w:pPr>
        <w:jc w:val="center"/>
      </w:pPr>
      <w:r>
        <w:rPr>
          <w:rFonts w:ascii="Arial" w:cs="Arial" w:eastAsia="Arial" w:hAnsi="Arial"/>
          <w:color w:val="1B2A4A"/>
          <w:sz w:val="18"/>
          <w:szCs w:val="18"/>
        </w:rPr>
        <w:t xml:space="preserve">drdpklass.github.io  |  LinkedIn: Dr. Debasis Pahi Ph.D.  |  Instagram: @drdebasispahi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2"/>
      </w:pBdr>
      <w:tabs>
        <w:tab w:val="right" w:pos="9000"/>
      </w:tabs>
    </w:pPr>
    <w:r>
      <w:rPr>
        <w:rFonts w:ascii="Arial" w:cs="Arial" w:eastAsia="Arial" w:hAnsi="Arial"/>
        <w:color w:val="1B2A4A"/>
        <w:sz w:val="16"/>
        <w:szCs w:val="16"/>
      </w:rPr>
      <w:t xml:space="preserve">© 2025 Dr. Debasis Pahi | Assistant Professor &amp; HoD Commerce | MDC Malkangiri | Vikram Deb University  </w:t>
    </w:r>
    <w:r>
      <w:rPr>
        <w:rFonts w:ascii="Arial" w:cs="Arial" w:eastAsia="Arial" w:hAnsi="Arial"/>
        <w:color w:val="1B2A4A"/>
        <w:sz w:val="16"/>
        <w:szCs w:val="16"/>
      </w:rPr>
      <w:t xml:space="preserve">	Page </w:t>
    </w:r>
    <w:r>
      <w:rPr>
        <w:rFonts w:ascii="Arial" w:cs="Arial" w:eastAsia="Arial" w:hAnsi="Arial"/>
        <w:color w:val="1B2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tabs>
        <w:tab w:val="right" w:pos="9000"/>
      </w:tabs>
    </w:pPr>
    <w:r>
      <w:rPr>
        <w:rFonts w:ascii="Arial" w:cs="Arial" w:eastAsia="Arial" w:hAnsi="Arial"/>
        <w:b/>
        <w:bCs/>
        <w:color w:val="1B2A4A"/>
        <w:sz w:val="18"/>
        <w:szCs w:val="18"/>
      </w:rPr>
      <w:t xml:space="preserve">GLOBAL ESG RATING REPORT — TOP 5 INDIAN MINING COMPANIES  |  FY 2024-25</w:t>
    </w:r>
    <w:r>
      <w:rPr>
        <w:rFonts w:ascii="Arial" w:cs="Arial" w:eastAsia="Arial" w:hAnsi="Arial"/>
        <w:color w:val="B8860B"/>
        <w:sz w:val="18"/>
        <w:szCs w:val="18"/>
      </w:rPr>
      <w:t xml:space="preserve">		Dr. Debasis Pahi, Ph.D.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FFFFFF"/>
      <w:sz w:val="32"/>
      <w:szCs w:val="32"/>
    </w:rPr>
  </w:style>
  <w:style w:type="paragraph" w:styleId="Heading2">
    <w:name w:val="Heading 2"/>
    <w:basedOn w:val="Normal"/>
    <w:next w:val="Normal"/>
    <w:pPr>
      <w:spacing w:after="120" w:before="200"/>
      <w:outlineLvl w:val="1"/>
    </w:pPr>
    <w:rPr>
      <w:rFonts w:ascii="Arial" w:cs="Arial" w:eastAsia="Arial" w:hAnsi="Arial"/>
      <w:b/>
      <w:bCs/>
      <w:color w:val="1B2A4A"/>
      <w:sz w:val="26"/>
      <w:szCs w:val="26"/>
    </w:rPr>
  </w:style>
  <w:style w:type="paragraph" w:styleId="Heading3">
    <w:name w:val="Heading 3"/>
    <w:basedOn w:val="Normal"/>
    <w:next w:val="Normal"/>
    <w:pPr>
      <w:spacing w:after="80" w:before="1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2026-05-07T02:00:02.140Z</dcterms:created>
  <dcterms:modified xsi:type="dcterms:W3CDTF">2026-05-07T02:00:02.158Z</dcterms:modified>
</cp:coreProperties>
</file>

<file path=docProps/custom.xml><?xml version="1.0" encoding="utf-8"?>
<Properties xmlns="http://schemas.openxmlformats.org/officeDocument/2006/custom-properties" xmlns:vt="http://schemas.openxmlformats.org/officeDocument/2006/docPropsVTypes"/>
</file>