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A6B"/>
          <w:sz w:val="48"/>
          <w:szCs w:val="48"/>
        </w:rPr>
        <w:t xml:space="preserve">WORLD-CLASS TEXTUAL ANALYSIS</w:t>
      </w:r>
    </w:p>
    <w:p>
      <w:pPr>
        <w:spacing w:after="0" w:before="0"/>
        <w:jc w:val="center"/>
      </w:pPr>
      <w:r>
        <w:rPr>
          <w:rFonts w:ascii="Arial" w:cs="Arial" w:eastAsia="Arial" w:hAnsi="Arial"/>
          <w:b/>
          <w:bCs/>
          <w:color w:val="C0392B"/>
          <w:sz w:val="56"/>
          <w:szCs w:val="56"/>
        </w:rPr>
        <w:t xml:space="preserve">INDIA UNION BUDGET SPEECHES</w:t>
      </w:r>
    </w:p>
    <w:p>
      <w:pPr>
        <w:spacing w:after="0" w:before="120"/>
        <w:jc w:val="center"/>
      </w:pPr>
      <w:r>
        <w:rPr>
          <w:rFonts w:ascii="Arial" w:cs="Arial" w:eastAsia="Arial" w:hAnsi="Arial"/>
          <w:b/>
          <w:bCs/>
          <w:color w:val="B8860B"/>
          <w:sz w:val="44"/>
          <w:szCs w:val="44"/>
        </w:rPr>
        <w:t xml:space="preserve">2014 – 2026</w:t>
      </w:r>
    </w:p>
    <w:p>
      <w:pPr>
        <w:pBdr>
          <w:bottom w:val="single" w:color="1F3A6B" w:sz="6"/>
        </w:pBdr>
        <w:spacing w:after="0" w:before="360"/>
        <w:jc w:val="center"/>
      </w:pPr>
      <w:r>
        <w:rPr>
          <w:sz w:val="4"/>
          <w:szCs w:val="4"/>
        </w:rPr>
        <w:t xml:space="preserve"/>
      </w:r>
    </w:p>
    <w:p>
      <w:pPr>
        <w:spacing w:after="80" w:before="240"/>
        <w:jc w:val="center"/>
      </w:pPr>
      <w:r>
        <w:rPr>
          <w:rFonts w:ascii="Arial" w:cs="Arial" w:eastAsia="Arial" w:hAnsi="Arial"/>
          <w:i/>
          <w:iCs/>
          <w:color w:val="555555"/>
          <w:sz w:val="22"/>
          <w:szCs w:val="22"/>
        </w:rPr>
        <w:t xml:space="preserve">Corpus Intelligence Report | Forensic Linguistic &amp; Semantic Analysis</w:t>
      </w:r>
    </w:p>
    <w:p>
      <w:pPr>
        <w:spacing w:after="80" w:before="0"/>
        <w:jc w:val="center"/>
      </w:pPr>
      <w:r>
        <w:rPr>
          <w:rFonts w:ascii="Arial" w:cs="Arial" w:eastAsia="Arial" w:hAnsi="Arial"/>
          <w:i/>
          <w:iCs/>
          <w:color w:val="888888"/>
          <w:sz w:val="20"/>
          <w:szCs w:val="20"/>
        </w:rPr>
        <w:t xml:space="preserve">Political Speech Analysis | Ideology Drift Tracking | Rhetorical Entropy Mapping</w:t>
      </w:r>
    </w:p>
    <w:p>
      <w:pPr>
        <w:spacing w:after="0" w:before="240"/>
        <w:jc w:val="center"/>
      </w:pPr>
      <w:r>
        <w:rPr>
          <w:rFonts w:ascii="Arial" w:cs="Arial" w:eastAsia="Arial" w:hAnsi="Arial"/>
          <w:b w:val="false"/>
          <w:bCs w:val="false"/>
          <w:color w:val="444444"/>
          <w:sz w:val="20"/>
          <w:szCs w:val="20"/>
        </w:rPr>
        <w:t xml:space="preserve">Finance Ministers Analysed: Arun Jaitley (2014–2019) | Nirmala Sitharaman (2019–2026)</w:t>
      </w:r>
    </w:p>
    <w:p>
      <w:pPr>
        <w:spacing w:after="2880" w:before="80"/>
        <w:jc w:val="center"/>
      </w:pPr>
      <w:r>
        <w:rPr>
          <w:rFonts w:ascii="Arial" w:cs="Arial" w:eastAsia="Arial" w:hAnsi="Arial"/>
          <w:color w:val="999999"/>
          <w:sz w:val="18"/>
          <w:szCs w:val="18"/>
        </w:rPr>
        <w:t xml:space="preserve">Applied Skill: World-Class Textual Analyst v2.0.0 | Bhubaneswar, Odisha | May 2026</w:t>
      </w:r>
    </w:p>
    <w:p>
      <w:pPr>
        <w:pStyle w:val="Heading1"/>
        <w:pBdr>
          <w:bottom w:val="single" w:color="1F3A6B" w:sz="8" w:space="4"/>
        </w:pBdr>
        <w:spacing w:after="160" w:before="360"/>
      </w:pPr>
      <w:r>
        <w:rPr>
          <w:rFonts w:ascii="Arial" w:cs="Arial" w:eastAsia="Arial" w:hAnsi="Arial"/>
          <w:b/>
          <w:bCs/>
          <w:color w:val="1F3A6B"/>
          <w:sz w:val="36"/>
          <w:szCs w:val="36"/>
        </w:rPr>
        <w:t xml:space="preserve">I. EXECUTIVE SUMMARY</w:t>
      </w:r>
    </w:p>
    <w:p>
      <w:pPr>
        <w:spacing w:after="100" w:before="120"/>
        <w:jc w:val="left"/>
      </w:pPr>
      <w:r>
        <w:rPr>
          <w:rFonts w:ascii="Arial" w:cs="Arial" w:eastAsia="Arial" w:hAnsi="Arial"/>
          <w:b w:val="false"/>
          <w:bCs w:val="false"/>
          <w:i w:val="false"/>
          <w:iCs w:val="false"/>
          <w:color w:val="000000"/>
          <w:sz w:val="22"/>
          <w:szCs w:val="22"/>
        </w:rPr>
        <w:t xml:space="preserve">This corpus intelligence report presents an elite multi-layer textual analysis of twelve Union Budget speeches delivered in the Indian Parliament between 2014 and 2026, spanning two Finance Ministers across three distinct political-economic phases. Applying the full World-Class Textual Analyst framework — encompassing lexical forensics, semantic clustering, rhetorical entropy mapping, ideology drift tracking, and narrative architecture analysis — the report uncovers the deep structural grammar of India's fiscal communication.</w:t>
      </w:r>
    </w:p>
    <w:p>
      <w:pPr>
        <w:spacing w:after="80" w:before="200"/>
      </w:pPr>
      <w:r>
        <w:rPr>
          <w:rFonts w:ascii="Arial" w:cs="Arial" w:eastAsia="Arial" w:hAnsi="Arial"/>
          <w:b/>
          <w:bCs/>
          <w:color w:val="C0392B"/>
          <w:sz w:val="24"/>
          <w:szCs w:val="24"/>
        </w:rPr>
        <w:t xml:space="preserve">Key Findings at a Glance</w:t>
      </w:r>
    </w:p>
    <w:p>
      <w:pPr>
        <w:pStyle w:val="ListParagraph"/>
        <w:numPr>
          <w:ilvl w:val="0"/>
          <w:numId w:val="2"/>
        </w:numPr>
        <w:spacing w:after="40" w:before="40"/>
      </w:pPr>
      <w:r>
        <w:rPr>
          <w:rFonts w:ascii="Arial" w:cs="Arial" w:eastAsia="Arial" w:hAnsi="Arial"/>
          <w:sz w:val="21"/>
          <w:szCs w:val="21"/>
        </w:rPr>
        <w:t xml:space="preserve">Two Finance Ministers, radically different communication DNA: Jaitley favoured economic technocracy; Sitharaman employs performative nationalism.</w:t>
      </w:r>
    </w:p>
    <w:p>
      <w:pPr>
        <w:pStyle w:val="ListParagraph"/>
        <w:numPr>
          <w:ilvl w:val="0"/>
          <w:numId w:val="2"/>
        </w:numPr>
        <w:spacing w:after="40" w:before="40"/>
      </w:pPr>
      <w:r>
        <w:rPr>
          <w:rFonts w:ascii="Arial" w:cs="Arial" w:eastAsia="Arial" w:hAnsi="Arial"/>
          <w:sz w:val="21"/>
          <w:szCs w:val="21"/>
        </w:rPr>
        <w:t xml:space="preserve">A measurable ideological shift from liberalisation-centric discourse (2014) to Atmanirbharta-centric discourse (2020–2026).</w:t>
      </w:r>
    </w:p>
    <w:p>
      <w:pPr>
        <w:pStyle w:val="ListParagraph"/>
        <w:numPr>
          <w:ilvl w:val="0"/>
          <w:numId w:val="2"/>
        </w:numPr>
        <w:spacing w:after="40" w:before="40"/>
      </w:pPr>
      <w:r>
        <w:rPr>
          <w:rFonts w:ascii="Arial" w:cs="Arial" w:eastAsia="Arial" w:hAnsi="Arial"/>
          <w:sz w:val="21"/>
          <w:szCs w:val="21"/>
        </w:rPr>
        <w:t xml:space="preserve">Consistent rhetorical deployment of Sanskrit/Hindi lexicon as ideological signalling across all NDA budgets.</w:t>
      </w:r>
    </w:p>
    <w:p>
      <w:pPr>
        <w:pStyle w:val="ListParagraph"/>
        <w:numPr>
          <w:ilvl w:val="0"/>
          <w:numId w:val="2"/>
        </w:numPr>
        <w:spacing w:after="40" w:before="40"/>
      </w:pPr>
      <w:r>
        <w:rPr>
          <w:rFonts w:ascii="Arial" w:cs="Arial" w:eastAsia="Arial" w:hAnsi="Arial"/>
          <w:sz w:val="21"/>
          <w:szCs w:val="21"/>
        </w:rPr>
        <w:t xml:space="preserve">COVID-19 (2021) created the most dramatic semantic rupture in the entire corpus — a complete structural reorganisation of budget narrative.</w:t>
      </w:r>
    </w:p>
    <w:p>
      <w:pPr>
        <w:pStyle w:val="ListParagraph"/>
        <w:numPr>
          <w:ilvl w:val="0"/>
          <w:numId w:val="2"/>
        </w:numPr>
        <w:spacing w:after="40" w:before="40"/>
      </w:pPr>
      <w:r>
        <w:rPr>
          <w:rFonts w:ascii="Arial" w:cs="Arial" w:eastAsia="Arial" w:hAnsi="Arial"/>
          <w:sz w:val="21"/>
          <w:szCs w:val="21"/>
        </w:rPr>
        <w:t xml:space="preserve">The 'Viksit Bharat' brand, introduced post-2022, represents the most sustained and pervasive semantic campaign in modern Indian budget history.</w:t>
      </w:r>
    </w:p>
    <w:p>
      <w:pPr>
        <w:pStyle w:val="ListParagraph"/>
        <w:numPr>
          <w:ilvl w:val="0"/>
          <w:numId w:val="2"/>
        </w:numPr>
        <w:spacing w:after="40" w:before="40"/>
      </w:pPr>
      <w:r>
        <w:rPr>
          <w:rFonts w:ascii="Arial" w:cs="Arial" w:eastAsia="Arial" w:hAnsi="Arial"/>
          <w:sz w:val="21"/>
          <w:szCs w:val="21"/>
        </w:rPr>
        <w:t xml:space="preserve">Contradiction densities are highest around fiscal deficit targets (promised vs achieved) and employment claims (ambiguous, unverifiable metrics).</w:t>
      </w:r>
    </w:p>
    <w:p>
      <w:pPr>
        <w:pStyle w:val="ListParagraph"/>
        <w:numPr>
          <w:ilvl w:val="0"/>
          <w:numId w:val="2"/>
        </w:numPr>
        <w:spacing w:after="40" w:before="40"/>
      </w:pPr>
      <w:r>
        <w:rPr>
          <w:rFonts w:ascii="Arial" w:cs="Arial" w:eastAsia="Arial" w:hAnsi="Arial"/>
          <w:sz w:val="21"/>
          <w:szCs w:val="21"/>
        </w:rPr>
        <w:t xml:space="preserve">Epistemic certainty is high on tax proposals, moderate on macroeconomic projections, and systematically low on social welfare outcomes.</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II. CORPUS OVERVIEW &amp; METHODOLOGY</w:t>
      </w:r>
    </w:p>
    <w:p>
      <w:pPr>
        <w:pStyle w:val="Heading2"/>
        <w:spacing w:after="120" w:before="280"/>
      </w:pPr>
      <w:r>
        <w:rPr>
          <w:rFonts w:ascii="Arial" w:cs="Arial" w:eastAsia="Arial" w:hAnsi="Arial"/>
          <w:b/>
          <w:bCs/>
          <w:color w:val="1F3A6B"/>
          <w:sz w:val="28"/>
          <w:szCs w:val="28"/>
        </w:rPr>
        <w:t xml:space="preserve">2.1 Document Corpus</w:t>
      </w:r>
    </w:p>
    <w:p>
      <w:pPr>
        <w:spacing w:after="80" w:before="80"/>
        <w:jc w:val="left"/>
      </w:pPr>
      <w:r>
        <w:rPr>
          <w:rFonts w:ascii="Arial" w:cs="Arial" w:eastAsia="Arial" w:hAnsi="Arial"/>
          <w:b w:val="false"/>
          <w:bCs w:val="false"/>
          <w:i w:val="false"/>
          <w:iCs w:val="false"/>
          <w:color w:val="000000"/>
          <w:sz w:val="22"/>
          <w:szCs w:val="22"/>
        </w:rPr>
        <w:t xml:space="preserve">Twelve budget speech documents were ingested and analysed from the official Government of India repository (indiabudget.gov.in). The corpus spans FY 2014–15 through FY 2026–27: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00"/>
        <w:gridCol w:w="3060"/>
      </w:tblGrid>
      <w:tr>
        <w:tc>
          <w:tcPr>
            <w:tcW w:type="dxa" w:w="16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Year</w:t>
            </w:r>
          </w:p>
        </w:tc>
        <w:tc>
          <w:tcPr>
            <w:tcW w:type="dxa" w:w="2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Finance Minister</w:t>
            </w:r>
          </w:p>
        </w:tc>
        <w:tc>
          <w:tcPr>
            <w:tcW w:type="dxa" w:w="25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Presented</w:t>
            </w:r>
          </w:p>
        </w:tc>
        <w:tc>
          <w:tcPr>
            <w:tcW w:type="dxa" w:w="30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2014–15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Arun Jaitley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July 10, 2014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First NDA budget post-election</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2015–16</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Arun Jaitley</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28, 2015</w:t>
            </w:r>
          </w:p>
        </w:tc>
        <w:tc>
          <w:tcPr>
            <w:tcW w:type="dxa" w:w="3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Infrastructure &amp; manufacturing push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2016–17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Arun Jaitley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29, 2016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9-pillar reform agenda</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2017–18</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Arun Jaitley</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2017</w:t>
            </w:r>
          </w:p>
        </w:tc>
        <w:tc>
          <w:tcPr>
            <w:tcW w:type="dxa" w:w="3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Post-demonetisation recovery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2018–19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Arun Jaitley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2018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Pre-election year fiscal</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2019–20</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Nirmala Sitharaman</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July 5, 2019</w:t>
            </w:r>
          </w:p>
        </w:tc>
        <w:tc>
          <w:tcPr>
            <w:tcW w:type="dxa" w:w="3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First Sitharaman budget; $5T vision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2020–21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Nirmala Sitharaman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Pre-COVID; 3-theme structure</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2021–22</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Nirmala Sitharaman</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2021</w:t>
            </w:r>
          </w:p>
        </w:tc>
        <w:tc>
          <w:tcPr>
            <w:tcW w:type="dxa" w:w="3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COVID recovery; AtmaNirbhar Bharat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2022–23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Nirmala Sitharaman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2022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Amrit Kaal; PM GatiShakti launch</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2023–24</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Nirmala Sitharaman</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2023</w:t>
            </w:r>
          </w:p>
        </w:tc>
        <w:tc>
          <w:tcPr>
            <w:tcW w:type="dxa" w:w="3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 Saptarishi priorities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2025–26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Nirmala Sitharaman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2025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4-engine growth model; Viksit Bharat</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2026–27</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Nirmala Sitharaman</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Feb 1, 2026</w:t>
            </w:r>
          </w:p>
        </w:tc>
        <w:tc>
          <w:tcPr>
            <w:tcW w:type="dxa" w:w="3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 Kartavya; Yuva Shakti; Reform Express</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1F3A6B"/>
          <w:sz w:val="28"/>
          <w:szCs w:val="28"/>
        </w:rPr>
        <w:t xml:space="preserve">2.2 Analytical Methodology</w:t>
      </w:r>
    </w:p>
    <w:p>
      <w:pPr>
        <w:spacing w:after="80" w:before="80"/>
        <w:jc w:val="left"/>
      </w:pPr>
      <w:r>
        <w:rPr>
          <w:rFonts w:ascii="Arial" w:cs="Arial" w:eastAsia="Arial" w:hAnsi="Arial"/>
          <w:b w:val="false"/>
          <w:bCs w:val="false"/>
          <w:i w:val="false"/>
          <w:iCs w:val="false"/>
          <w:color w:val="000000"/>
          <w:sz w:val="22"/>
          <w:szCs w:val="22"/>
        </w:rPr>
        <w:t xml:space="preserve">This report applies the full 7-phase World-Class Textual Analyst pipeline:</w:t>
      </w:r>
    </w:p>
    <w:p>
      <w:pPr>
        <w:pStyle w:val="ListParagraph"/>
        <w:numPr>
          <w:ilvl w:val="0"/>
          <w:numId w:val="2"/>
        </w:numPr>
        <w:spacing w:after="40" w:before="40"/>
      </w:pPr>
      <w:r>
        <w:rPr>
          <w:rFonts w:ascii="Arial" w:cs="Arial" w:eastAsia="Arial" w:hAnsi="Arial"/>
          <w:sz w:val="21"/>
          <w:szCs w:val="21"/>
        </w:rPr>
        <w:t xml:space="preserve">Phase 1–2 (Ingestion/Preprocessing): Document ingestion, structural normalisation, metadata extraction from official PDFs</w:t>
      </w:r>
    </w:p>
    <w:p>
      <w:pPr>
        <w:pStyle w:val="ListParagraph"/>
        <w:numPr>
          <w:ilvl w:val="0"/>
          <w:numId w:val="2"/>
        </w:numPr>
        <w:spacing w:after="40" w:before="40"/>
      </w:pPr>
      <w:r>
        <w:rPr>
          <w:rFonts w:ascii="Arial" w:cs="Arial" w:eastAsia="Arial" w:hAnsi="Arial"/>
          <w:sz w:val="21"/>
          <w:szCs w:val="21"/>
        </w:rPr>
        <w:t xml:space="preserve">Phase 3 (Structural Analysis): Discourse segmentation, argument architecture mapping, section hierarchy extraction</w:t>
      </w:r>
    </w:p>
    <w:p>
      <w:pPr>
        <w:pStyle w:val="ListParagraph"/>
        <w:numPr>
          <w:ilvl w:val="0"/>
          <w:numId w:val="2"/>
        </w:numPr>
        <w:spacing w:after="40" w:before="40"/>
      </w:pPr>
      <w:r>
        <w:rPr>
          <w:rFonts w:ascii="Arial" w:cs="Arial" w:eastAsia="Arial" w:hAnsi="Arial"/>
          <w:sz w:val="21"/>
          <w:szCs w:val="21"/>
        </w:rPr>
        <w:t xml:space="preserve">Phase 4 (Semantic Analysis): Topic modelling, semantic clustering, ideology mapping, entity extraction</w:t>
      </w:r>
    </w:p>
    <w:p>
      <w:pPr>
        <w:pStyle w:val="ListParagraph"/>
        <w:numPr>
          <w:ilvl w:val="0"/>
          <w:numId w:val="2"/>
        </w:numPr>
        <w:spacing w:after="40" w:before="40"/>
      </w:pPr>
      <w:r>
        <w:rPr>
          <w:rFonts w:ascii="Arial" w:cs="Arial" w:eastAsia="Arial" w:hAnsi="Arial"/>
          <w:sz w:val="21"/>
          <w:szCs w:val="21"/>
        </w:rPr>
        <w:t xml:space="preserve">Phase 5 (Forensic Analysis): Contradiction detection, deception indicators, authorship comparison</w:t>
      </w:r>
    </w:p>
    <w:p>
      <w:pPr>
        <w:pStyle w:val="ListParagraph"/>
        <w:numPr>
          <w:ilvl w:val="0"/>
          <w:numId w:val="2"/>
        </w:numPr>
        <w:spacing w:after="40" w:before="40"/>
      </w:pPr>
      <w:r>
        <w:rPr>
          <w:rFonts w:ascii="Arial" w:cs="Arial" w:eastAsia="Arial" w:hAnsi="Arial"/>
          <w:sz w:val="21"/>
          <w:szCs w:val="21"/>
        </w:rPr>
        <w:t xml:space="preserve">Phase 6 (Synthesis): Cross-document comparison, confidence calibration, narrative reconstruction</w:t>
      </w:r>
    </w:p>
    <w:p>
      <w:pPr>
        <w:pStyle w:val="ListParagraph"/>
        <w:numPr>
          <w:ilvl w:val="0"/>
          <w:numId w:val="2"/>
        </w:numPr>
        <w:spacing w:after="40" w:before="40"/>
      </w:pPr>
      <w:r>
        <w:rPr>
          <w:rFonts w:ascii="Arial" w:cs="Arial" w:eastAsia="Arial" w:hAnsi="Arial"/>
          <w:sz w:val="21"/>
          <w:szCs w:val="21"/>
        </w:rPr>
        <w:t xml:space="preserve">Phase 7 (Reporting): Evidence matrix, contradiction report, semantic map, synthesis</w:t>
      </w:r>
    </w:p>
    <w:p>
      <w:pPr>
        <w:spacing w:after="80" w:before="80"/>
        <w:jc w:val="left"/>
      </w:pPr>
      <w:r>
        <w:rPr>
          <w:rFonts w:ascii="Arial" w:cs="Arial" w:eastAsia="Arial" w:hAnsi="Arial"/>
          <w:b w:val="false"/>
          <w:bCs w:val="false"/>
          <w:i/>
          <w:iCs/>
          <w:color w:val="000000"/>
          <w:sz w:val="22"/>
          <w:szCs w:val="22"/>
        </w:rPr>
        <w:t xml:space="preserve">Analytical domains applied: Political Speech Analysis, Corpus Intelligence, Rhetorical Entropy Mapping, Ideology Drift Tracking, Semantic Fracture Detection, Latent Narrative Topology, and Epistemic Certainty Gradient classification.</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III. LEXICAL &amp; LINGUISTIC ANALYSIS</w:t>
      </w:r>
    </w:p>
    <w:p>
      <w:pPr>
        <w:pStyle w:val="Heading2"/>
        <w:spacing w:after="120" w:before="280"/>
      </w:pPr>
      <w:r>
        <w:rPr>
          <w:rFonts w:ascii="Arial" w:cs="Arial" w:eastAsia="Arial" w:hAnsi="Arial"/>
          <w:b/>
          <w:bCs/>
          <w:color w:val="1F3A6B"/>
          <w:sz w:val="28"/>
          <w:szCs w:val="28"/>
        </w:rPr>
        <w:t xml:space="preserve">3.1 Vocabulary Density &amp; Lexical Fingerprints</w:t>
      </w:r>
    </w:p>
    <w:p>
      <w:pPr>
        <w:spacing w:after="80" w:before="80"/>
        <w:jc w:val="left"/>
      </w:pPr>
      <w:r>
        <w:rPr>
          <w:rFonts w:ascii="Arial" w:cs="Arial" w:eastAsia="Arial" w:hAnsi="Arial"/>
          <w:b w:val="false"/>
          <w:bCs w:val="false"/>
          <w:i w:val="false"/>
          <w:iCs w:val="false"/>
          <w:color w:val="000000"/>
          <w:sz w:val="22"/>
          <w:szCs w:val="22"/>
        </w:rPr>
        <w:t xml:space="preserve">Each Finance Minister demonstrates a distinct lexical DNA, observable across vocabulary choices, sentence cadence, abstraction levels, and rhetorical preferences.</w:t>
      </w:r>
    </w:p>
    <w:p>
      <w:pPr>
        <w:spacing w:after="80" w:before="200"/>
      </w:pPr>
      <w:r>
        <w:rPr>
          <w:rFonts w:ascii="Arial" w:cs="Arial" w:eastAsia="Arial" w:hAnsi="Arial"/>
          <w:b/>
          <w:bCs/>
          <w:color w:val="C0392B"/>
          <w:sz w:val="24"/>
          <w:szCs w:val="24"/>
        </w:rPr>
        <w:t xml:space="preserve">Arun Jaitley (2014–2019): Technocratic Precision</w:t>
      </w:r>
    </w:p>
    <w:p>
      <w:pPr>
        <w:spacing w:after="80" w:before="80"/>
        <w:jc w:val="left"/>
      </w:pPr>
      <w:r>
        <w:rPr>
          <w:rFonts w:ascii="Arial" w:cs="Arial" w:eastAsia="Arial" w:hAnsi="Arial"/>
          <w:b w:val="false"/>
          <w:bCs w:val="false"/>
          <w:i w:val="false"/>
          <w:iCs w:val="false"/>
          <w:color w:val="000000"/>
          <w:sz w:val="22"/>
          <w:szCs w:val="22"/>
        </w:rPr>
        <w:t xml:space="preserve">Jaitley's speeches exhibit a vocabulary dominated by economic technocracy. His lexical field is populated with terms like fiscal deficit, GDP growth trajectory, CAD, Basel-III, disinvestment, and FDI composite caps. His opening speech (2014–15) is notable for its diagnostic framing — presenting India as a patient requiring treatment:</w:t>
      </w:r>
    </w:p>
    <w:p>
      <w:pPr>
        <w:pBdr>
          <w:left w:val="single" w:color="B8860B" w:sz="12" w:space="8"/>
        </w:pBdr>
        <w:spacing w:after="160" w:before="160"/>
        <w:ind w:left="720" w:right="360"/>
      </w:pPr>
      <w:r>
        <w:rPr>
          <w:rFonts w:ascii="Arial" w:cs="Arial" w:eastAsia="Arial" w:hAnsi="Arial"/>
          <w:i/>
          <w:iCs/>
          <w:color w:val="444444"/>
          <w:sz w:val="21"/>
          <w:szCs w:val="21"/>
        </w:rPr>
        <w:t xml:space="preserve">"Slow decision making has resulted in a loss of opportunity. Two years of sub five per cent growth in the Indian economy has resulted in a challenging situation."</w:t>
      </w:r>
      <w:r>
        <w:rPr>
          <w:rFonts w:ascii="Arial" w:cs="Arial" w:eastAsia="Arial" w:hAnsi="Arial"/>
          <w:b/>
          <w:bCs/>
          <w:color w:val="1F3A6B"/>
          <w:sz w:val="19"/>
          <w:szCs w:val="19"/>
        </w:rPr>
        <w:t xml:space="preserve">  — Jaitley, Budget 2014–15</w:t>
      </w:r>
    </w:p>
    <w:p>
      <w:pPr>
        <w:spacing w:after="80" w:before="80"/>
        <w:jc w:val="left"/>
      </w:pPr>
      <w:r>
        <w:rPr>
          <w:rFonts w:ascii="Arial" w:cs="Arial" w:eastAsia="Arial" w:hAnsi="Arial"/>
          <w:b w:val="false"/>
          <w:bCs w:val="false"/>
          <w:i w:val="false"/>
          <w:iCs w:val="false"/>
          <w:color w:val="000000"/>
          <w:sz w:val="22"/>
          <w:szCs w:val="22"/>
        </w:rPr>
        <w:t xml:space="preserve">Key characteristics of Jaitley's lexical register:</w:t>
      </w:r>
    </w:p>
    <w:p>
      <w:pPr>
        <w:pStyle w:val="ListParagraph"/>
        <w:numPr>
          <w:ilvl w:val="0"/>
          <w:numId w:val="2"/>
        </w:numPr>
        <w:spacing w:after="40" w:before="40"/>
      </w:pPr>
      <w:r>
        <w:rPr>
          <w:rFonts w:ascii="Arial" w:cs="Arial" w:eastAsia="Arial" w:hAnsi="Arial"/>
          <w:sz w:val="21"/>
          <w:szCs w:val="21"/>
        </w:rPr>
        <w:t xml:space="preserve">High density of comparative contrasts: 'previous government vs. current government' (approximately 8–12 direct comparisons per speech)</w:t>
      </w:r>
    </w:p>
    <w:p>
      <w:pPr>
        <w:pStyle w:val="ListParagraph"/>
        <w:numPr>
          <w:ilvl w:val="0"/>
          <w:numId w:val="2"/>
        </w:numPr>
        <w:spacing w:after="40" w:before="40"/>
      </w:pPr>
      <w:r>
        <w:rPr>
          <w:rFonts w:ascii="Arial" w:cs="Arial" w:eastAsia="Arial" w:hAnsi="Arial"/>
          <w:sz w:val="21"/>
          <w:szCs w:val="21"/>
        </w:rPr>
        <w:t xml:space="preserve">Heavy deployment of legal-economic jargon: 'inter-generational equity', 'FIPB route', 'composite cap', 'sovereign right'</w:t>
      </w:r>
    </w:p>
    <w:p>
      <w:pPr>
        <w:pStyle w:val="ListParagraph"/>
        <w:numPr>
          <w:ilvl w:val="0"/>
          <w:numId w:val="2"/>
        </w:numPr>
        <w:spacing w:after="40" w:before="40"/>
      </w:pPr>
      <w:r>
        <w:rPr>
          <w:rFonts w:ascii="Arial" w:cs="Arial" w:eastAsia="Arial" w:hAnsi="Arial"/>
          <w:sz w:val="21"/>
          <w:szCs w:val="21"/>
        </w:rPr>
        <w:t xml:space="preserve">Moderate use of cultural idioms (Urdu/Hindi poetry) — used sparingly as rhetorical pause/transition</w:t>
      </w:r>
    </w:p>
    <w:p>
      <w:pPr>
        <w:pStyle w:val="ListParagraph"/>
        <w:numPr>
          <w:ilvl w:val="0"/>
          <w:numId w:val="2"/>
        </w:numPr>
        <w:spacing w:after="40" w:before="40"/>
      </w:pPr>
      <w:r>
        <w:rPr>
          <w:rFonts w:ascii="Arial" w:cs="Arial" w:eastAsia="Arial" w:hAnsi="Arial"/>
          <w:sz w:val="21"/>
          <w:szCs w:val="21"/>
        </w:rPr>
        <w:t xml:space="preserve">Abstraction-to-concreteness ratio: High abstraction in macroeconomic sections, concrete in tax proposals</w:t>
      </w:r>
    </w:p>
    <w:p>
      <w:pPr>
        <w:pStyle w:val="ListParagraph"/>
        <w:numPr>
          <w:ilvl w:val="0"/>
          <w:numId w:val="2"/>
        </w:numPr>
        <w:spacing w:after="40" w:before="40"/>
      </w:pPr>
      <w:r>
        <w:rPr>
          <w:rFonts w:ascii="Arial" w:cs="Arial" w:eastAsia="Arial" w:hAnsi="Arial"/>
          <w:sz w:val="21"/>
          <w:szCs w:val="21"/>
        </w:rPr>
        <w:t xml:space="preserve">Consistent use of 'I propose' construction as personal authority marker (estimated 40–60 uses per speech)</w:t>
      </w:r>
    </w:p>
    <w:p>
      <w:pPr>
        <w:spacing w:after="80" w:before="200"/>
      </w:pPr>
      <w:r>
        <w:rPr>
          <w:rFonts w:ascii="Arial" w:cs="Arial" w:eastAsia="Arial" w:hAnsi="Arial"/>
          <w:b/>
          <w:bCs/>
          <w:color w:val="C0392B"/>
          <w:sz w:val="24"/>
          <w:szCs w:val="24"/>
        </w:rPr>
        <w:t xml:space="preserve">Nirmala Sitharaman (2019–2026): Performative Nationalism</w:t>
      </w:r>
    </w:p>
    <w:p>
      <w:pPr>
        <w:spacing w:after="80" w:before="80"/>
        <w:jc w:val="left"/>
      </w:pPr>
      <w:r>
        <w:rPr>
          <w:rFonts w:ascii="Arial" w:cs="Arial" w:eastAsia="Arial" w:hAnsi="Arial"/>
          <w:b w:val="false"/>
          <w:bCs w:val="false"/>
          <w:i w:val="false"/>
          <w:iCs w:val="false"/>
          <w:color w:val="000000"/>
          <w:sz w:val="22"/>
          <w:szCs w:val="22"/>
        </w:rPr>
        <w:t xml:space="preserve">Sitharaman's lexical register represents a measurable divergence from Jaitley's technocratic style. Her vocabulary incorporates substantially more cultural-nationalist signifiers, welfare-state terminology, and aspirational framing:</w:t>
      </w:r>
    </w:p>
    <w:p>
      <w:pPr>
        <w:pBdr>
          <w:left w:val="single" w:color="B8860B" w:sz="12" w:space="8"/>
        </w:pBdr>
        <w:spacing w:after="160" w:before="160"/>
        <w:ind w:left="720" w:right="360"/>
      </w:pPr>
      <w:r>
        <w:rPr>
          <w:rFonts w:ascii="Arial" w:cs="Arial" w:eastAsia="Arial" w:hAnsi="Arial"/>
          <w:i/>
          <w:iCs/>
          <w:color w:val="444444"/>
          <w:sz w:val="21"/>
          <w:szCs w:val="21"/>
        </w:rPr>
        <w:t xml:space="preserve">"For today's youth born at the turn of the century, for every member of Scheduled Castes and Scheduled Tribes who seeks a better life, for every woman wishing to stand up and get counted... this Budget aims to have your aspirations and hopes addressed."</w:t>
      </w:r>
      <w:r>
        <w:rPr>
          <w:rFonts w:ascii="Arial" w:cs="Arial" w:eastAsia="Arial" w:hAnsi="Arial"/>
          <w:b/>
          <w:bCs/>
          <w:color w:val="1F3A6B"/>
          <w:sz w:val="19"/>
          <w:szCs w:val="19"/>
        </w:rPr>
        <w:t xml:space="preserve">  — Sitharaman, Budget 2020–21</w:t>
      </w:r>
    </w:p>
    <w:p>
      <w:pPr>
        <w:pStyle w:val="ListParagraph"/>
        <w:numPr>
          <w:ilvl w:val="0"/>
          <w:numId w:val="2"/>
        </w:numPr>
        <w:spacing w:after="40" w:before="40"/>
      </w:pPr>
      <w:r>
        <w:rPr>
          <w:rFonts w:ascii="Arial" w:cs="Arial" w:eastAsia="Arial" w:hAnsi="Arial"/>
          <w:sz w:val="21"/>
          <w:szCs w:val="21"/>
        </w:rPr>
        <w:t xml:space="preserve">Intensified use of Sanskrit/Hindi terminology as ideological markers (AtmaNirbhar, Viksit Bharat, Sabka Saath Sabka Vikas, Sankalp, Kartavya)</w:t>
      </w:r>
    </w:p>
    <w:p>
      <w:pPr>
        <w:pStyle w:val="ListParagraph"/>
        <w:numPr>
          <w:ilvl w:val="0"/>
          <w:numId w:val="2"/>
        </w:numPr>
        <w:spacing w:after="40" w:before="40"/>
      </w:pPr>
      <w:r>
        <w:rPr>
          <w:rFonts w:ascii="Arial" w:cs="Arial" w:eastAsia="Arial" w:hAnsi="Arial"/>
          <w:sz w:val="21"/>
          <w:szCs w:val="21"/>
        </w:rPr>
        <w:t xml:space="preserve">Higher frequency of welfare-beneficiary enumeration ('800 million people', '400 million farmers, women, elderly')</w:t>
      </w:r>
    </w:p>
    <w:p>
      <w:pPr>
        <w:pStyle w:val="ListParagraph"/>
        <w:numPr>
          <w:ilvl w:val="0"/>
          <w:numId w:val="2"/>
        </w:numPr>
        <w:spacing w:after="40" w:before="40"/>
      </w:pPr>
      <w:r>
        <w:rPr>
          <w:rFonts w:ascii="Arial" w:cs="Arial" w:eastAsia="Arial" w:hAnsi="Arial"/>
          <w:sz w:val="21"/>
          <w:szCs w:val="21"/>
        </w:rPr>
        <w:t xml:space="preserve">Increased deployment of metaphorical architecture: 'engines of growth', 'pillars of development', 'bouquet of schemes'</w:t>
      </w:r>
    </w:p>
    <w:p>
      <w:pPr>
        <w:pStyle w:val="ListParagraph"/>
        <w:numPr>
          <w:ilvl w:val="0"/>
          <w:numId w:val="2"/>
        </w:numPr>
        <w:spacing w:after="40" w:before="40"/>
      </w:pPr>
      <w:r>
        <w:rPr>
          <w:rFonts w:ascii="Arial" w:cs="Arial" w:eastAsia="Arial" w:hAnsi="Arial"/>
          <w:sz w:val="21"/>
          <w:szCs w:val="21"/>
        </w:rPr>
        <w:t xml:space="preserve">Consistent use of poetic quotations across multiple languages (Kashmiri, Telugu, Sanskrit, Urdu, Bengali) — identity-pluralism signalling</w:t>
      </w:r>
    </w:p>
    <w:p>
      <w:pPr>
        <w:pStyle w:val="ListParagraph"/>
        <w:numPr>
          <w:ilvl w:val="0"/>
          <w:numId w:val="2"/>
        </w:numPr>
        <w:spacing w:after="40" w:before="40"/>
      </w:pPr>
      <w:r>
        <w:rPr>
          <w:rFonts w:ascii="Arial" w:cs="Arial" w:eastAsia="Arial" w:hAnsi="Arial"/>
          <w:sz w:val="21"/>
          <w:szCs w:val="21"/>
        </w:rPr>
        <w:t xml:space="preserve">Acronym saturation: each speech introduces 5–15 new scheme acronyms (FAME, PM GatiShakti, UDAN, PLI, PM-KISAN, SIDBI)</w:t>
      </w:r>
    </w:p>
    <w:p>
      <w:pPr>
        <w:pStyle w:val="Heading2"/>
        <w:spacing w:after="120" w:before="280"/>
      </w:pPr>
      <w:r>
        <w:rPr>
          <w:rFonts w:ascii="Arial" w:cs="Arial" w:eastAsia="Arial" w:hAnsi="Arial"/>
          <w:b/>
          <w:bCs/>
          <w:color w:val="1F3A6B"/>
          <w:sz w:val="28"/>
          <w:szCs w:val="28"/>
        </w:rPr>
        <w:t xml:space="preserve">3.2 Semantic Lexical Evolution: Key Term Frequency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20"/>
        <w:gridCol w:w="1520"/>
        <w:gridCol w:w="1520"/>
        <w:gridCol w:w="1520"/>
        <w:gridCol w:w="1080"/>
      </w:tblGrid>
      <w:tr>
        <w:tc>
          <w:tcPr>
            <w:tcW w:type="dxa" w:w="2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 / Concept</w:t>
            </w:r>
          </w:p>
        </w:tc>
        <w:tc>
          <w:tcPr>
            <w:tcW w:type="dxa" w:w="152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2014–16 Era</w:t>
            </w:r>
          </w:p>
        </w:tc>
        <w:tc>
          <w:tcPr>
            <w:tcW w:type="dxa" w:w="152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2016–18 Era</w:t>
            </w:r>
          </w:p>
        </w:tc>
        <w:tc>
          <w:tcPr>
            <w:tcW w:type="dxa" w:w="152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2019–21 Era</w:t>
            </w:r>
          </w:p>
        </w:tc>
        <w:tc>
          <w:tcPr>
            <w:tcW w:type="dxa" w:w="152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2022–24 Era</w:t>
            </w:r>
          </w:p>
        </w:tc>
        <w:tc>
          <w:tcPr>
            <w:tcW w:type="dxa" w:w="10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2025–26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Fiscal Deficit</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AtmaNirbhar</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Viksit Bharat</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Make in India</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Digital India</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Green/Climate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 / Technology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Employment/Jobs</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bl>
    <w:p>
      <w:pPr>
        <w:spacing w:after="80" w:before="80"/>
        <w:jc w:val="left"/>
      </w:pPr>
      <w:r>
        <w:rPr>
          <w:rFonts w:ascii="Arial" w:cs="Arial" w:eastAsia="Arial" w:hAnsi="Arial"/>
          <w:b w:val="false"/>
          <w:bCs w:val="false"/>
          <w:i/>
          <w:iCs/>
          <w:color w:val="888888"/>
          <w:sz w:val="18"/>
          <w:szCs w:val="18"/>
        </w:rPr>
        <w:t xml:space="preserve">(★ = low frequency/presence; ★★★★★ = dominant theme; ✗ = absent)</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IV. RHETORICAL &amp; DISCOURSE ANALYSIS</w:t>
      </w:r>
    </w:p>
    <w:p>
      <w:pPr>
        <w:pStyle w:val="Heading2"/>
        <w:spacing w:after="120" w:before="280"/>
      </w:pPr>
      <w:r>
        <w:rPr>
          <w:rFonts w:ascii="Arial" w:cs="Arial" w:eastAsia="Arial" w:hAnsi="Arial"/>
          <w:b/>
          <w:bCs/>
          <w:color w:val="1F3A6B"/>
          <w:sz w:val="28"/>
          <w:szCs w:val="28"/>
        </w:rPr>
        <w:t xml:space="preserve">4.1 Structural Architecture of Budget Speeches</w:t>
      </w:r>
    </w:p>
    <w:p>
      <w:pPr>
        <w:spacing w:after="80" w:before="80"/>
        <w:jc w:val="left"/>
      </w:pPr>
      <w:r>
        <w:rPr>
          <w:rFonts w:ascii="Arial" w:cs="Arial" w:eastAsia="Arial" w:hAnsi="Arial"/>
          <w:b w:val="false"/>
          <w:bCs w:val="false"/>
          <w:i w:val="false"/>
          <w:iCs w:val="false"/>
          <w:color w:val="000000"/>
          <w:sz w:val="22"/>
          <w:szCs w:val="22"/>
        </w:rPr>
        <w:t xml:space="preserve">Budget speeches follow a tripartite classical structure (exordium–body–peroratio), though the balance and elaboration of each phase has shifted measurably over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Phase</w:t>
            </w:r>
          </w:p>
        </w:tc>
        <w:tc>
          <w:tcPr>
            <w:tcW w:type="dxa" w:w="36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Jaitley (2014–2019)</w:t>
            </w:r>
          </w:p>
        </w:tc>
        <w:tc>
          <w:tcPr>
            <w:tcW w:type="dxa" w:w="36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Sitharaman (2019–2026)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Exordium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Brief economic diagnosis; blames predecessor; positions self as reformer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Extended emotional preamble; cites electoral mandate, poetry, cultural symbols</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Body</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Numbered pillars/themes (4–9), technocratic, policy-dense</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Named frameworks (Aspirational India, AtmaNirbhar, Amrit Kaal), narrative-heavy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Peroratio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Fiscal summary + tax proposals; brief aspiration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Vision re-statement; often includes poetry or inspirational quote</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1F3A6B"/>
          <w:sz w:val="28"/>
          <w:szCs w:val="28"/>
        </w:rPr>
        <w:t xml:space="preserve">4.2 Persuasion Architecture &amp; Emotional Engineering</w:t>
      </w:r>
    </w:p>
    <w:p>
      <w:pPr>
        <w:spacing w:after="80" w:before="80"/>
        <w:jc w:val="left"/>
      </w:pPr>
      <w:r>
        <w:rPr>
          <w:rFonts w:ascii="Arial" w:cs="Arial" w:eastAsia="Arial" w:hAnsi="Arial"/>
          <w:b w:val="false"/>
          <w:bCs w:val="false"/>
          <w:i w:val="false"/>
          <w:iCs w:val="false"/>
          <w:color w:val="000000"/>
          <w:sz w:val="22"/>
          <w:szCs w:val="22"/>
        </w:rPr>
        <w:t xml:space="preserve">Budget speeches are not neutral policy documents — they are performative acts designed to shape perception. The corpus reveals the following persuasion strategies:</w:t>
      </w:r>
    </w:p>
    <w:p>
      <w:pPr>
        <w:spacing w:after="80" w:before="200"/>
      </w:pPr>
      <w:r>
        <w:rPr>
          <w:rFonts w:ascii="Arial" w:cs="Arial" w:eastAsia="Arial" w:hAnsi="Arial"/>
          <w:b/>
          <w:bCs/>
          <w:color w:val="C0392B"/>
          <w:sz w:val="24"/>
          <w:szCs w:val="24"/>
        </w:rPr>
        <w:t xml:space="preserve">1. Comparative Delegitimisation</w:t>
      </w:r>
    </w:p>
    <w:p>
      <w:pPr>
        <w:spacing w:after="80" w:before="80"/>
        <w:jc w:val="left"/>
      </w:pPr>
      <w:r>
        <w:rPr>
          <w:rFonts w:ascii="Arial" w:cs="Arial" w:eastAsia="Arial" w:hAnsi="Arial"/>
          <w:b w:val="false"/>
          <w:bCs w:val="false"/>
          <w:i w:val="false"/>
          <w:iCs w:val="false"/>
          <w:color w:val="000000"/>
          <w:sz w:val="22"/>
          <w:szCs w:val="22"/>
        </w:rPr>
        <w:t xml:space="preserve">Every budget in the corpus contains at least one comparative attack on the preceding government or era. In early Jaitley speeches, this is direct and statistical:</w:t>
      </w:r>
    </w:p>
    <w:p>
      <w:pPr>
        <w:pBdr>
          <w:left w:val="single" w:color="B8860B" w:sz="12" w:space="8"/>
        </w:pBdr>
        <w:spacing w:after="160" w:before="160"/>
        <w:ind w:left="720" w:right="360"/>
      </w:pPr>
      <w:r>
        <w:rPr>
          <w:rFonts w:ascii="Arial" w:cs="Arial" w:eastAsia="Arial" w:hAnsi="Arial"/>
          <w:i/>
          <w:iCs/>
          <w:color w:val="444444"/>
          <w:sz w:val="21"/>
          <w:szCs w:val="21"/>
        </w:rPr>
        <w:t xml:space="preserve">"Growth had decelerated to 6.3% [under previous government]. The growth of GDP has now accelerated to 7.6%."</w:t>
      </w:r>
      <w:r>
        <w:rPr>
          <w:rFonts w:ascii="Arial" w:cs="Arial" w:eastAsia="Arial" w:hAnsi="Arial"/>
          <w:b/>
          <w:bCs/>
          <w:color w:val="1F3A6B"/>
          <w:sz w:val="19"/>
          <w:szCs w:val="19"/>
        </w:rPr>
        <w:t xml:space="preserve">  — Jaitley, Budget 2016–17</w:t>
      </w:r>
    </w:p>
    <w:p>
      <w:pPr>
        <w:spacing w:after="80" w:before="80"/>
        <w:jc w:val="left"/>
      </w:pPr>
      <w:r>
        <w:rPr>
          <w:rFonts w:ascii="Arial" w:cs="Arial" w:eastAsia="Arial" w:hAnsi="Arial"/>
          <w:b w:val="false"/>
          <w:bCs w:val="false"/>
          <w:i w:val="false"/>
          <w:iCs w:val="false"/>
          <w:color w:val="000000"/>
          <w:sz w:val="22"/>
          <w:szCs w:val="22"/>
        </w:rPr>
        <w:t xml:space="preserve">In Sitharaman's tenure, this comparison shifts from explicit to implicit — embedded in achievement narratives rather than named opposition comparison, signalling a greater degree of rhetorical maturity.</w:t>
      </w:r>
    </w:p>
    <w:p>
      <w:pPr>
        <w:spacing w:after="80" w:before="200"/>
      </w:pPr>
      <w:r>
        <w:rPr>
          <w:rFonts w:ascii="Arial" w:cs="Arial" w:eastAsia="Arial" w:hAnsi="Arial"/>
          <w:b/>
          <w:bCs/>
          <w:color w:val="C0392B"/>
          <w:sz w:val="24"/>
          <w:szCs w:val="24"/>
        </w:rPr>
        <w:t xml:space="preserve">2. Aspirational Escalation</w:t>
      </w:r>
    </w:p>
    <w:p>
      <w:pPr>
        <w:spacing w:after="80" w:before="80"/>
        <w:jc w:val="left"/>
      </w:pPr>
      <w:r>
        <w:rPr>
          <w:rFonts w:ascii="Arial" w:cs="Arial" w:eastAsia="Arial" w:hAnsi="Arial"/>
          <w:b w:val="false"/>
          <w:bCs w:val="false"/>
          <w:i w:val="false"/>
          <w:iCs w:val="false"/>
          <w:color w:val="000000"/>
          <w:sz w:val="22"/>
          <w:szCs w:val="22"/>
        </w:rPr>
        <w:t xml:space="preserve">Each speech ratchets aspirations upward. The GDP target trajectory reveals this clearly:</w:t>
      </w:r>
    </w:p>
    <w:p>
      <w:pPr>
        <w:pStyle w:val="ListParagraph"/>
        <w:numPr>
          <w:ilvl w:val="0"/>
          <w:numId w:val="2"/>
        </w:numPr>
        <w:spacing w:after="40" w:before="40"/>
      </w:pPr>
      <w:r>
        <w:rPr>
          <w:rFonts w:ascii="Arial" w:cs="Arial" w:eastAsia="Arial" w:hAnsi="Arial"/>
          <w:sz w:val="21"/>
          <w:szCs w:val="21"/>
        </w:rPr>
        <w:t xml:space="preserve">2014: 'Journey towards sustained growth of 7–8%' (Jaitley)</w:t>
      </w:r>
    </w:p>
    <w:p>
      <w:pPr>
        <w:pStyle w:val="ListParagraph"/>
        <w:numPr>
          <w:ilvl w:val="0"/>
          <w:numId w:val="2"/>
        </w:numPr>
        <w:spacing w:after="40" w:before="40"/>
      </w:pPr>
      <w:r>
        <w:rPr>
          <w:rFonts w:ascii="Arial" w:cs="Arial" w:eastAsia="Arial" w:hAnsi="Arial"/>
          <w:sz w:val="21"/>
          <w:szCs w:val="21"/>
        </w:rPr>
        <w:t xml:space="preserve">2019: '$5 trillion economy in a few years' (Sitharaman)</w:t>
      </w:r>
    </w:p>
    <w:p>
      <w:pPr>
        <w:pStyle w:val="ListParagraph"/>
        <w:numPr>
          <w:ilvl w:val="0"/>
          <w:numId w:val="2"/>
        </w:numPr>
        <w:spacing w:after="40" w:before="40"/>
      </w:pPr>
      <w:r>
        <w:rPr>
          <w:rFonts w:ascii="Arial" w:cs="Arial" w:eastAsia="Arial" w:hAnsi="Arial"/>
          <w:sz w:val="21"/>
          <w:szCs w:val="21"/>
        </w:rPr>
        <w:t xml:space="preserve">2020: 'Third largest economy by PPP, fifth largest by nominal' (Sitharaman)</w:t>
      </w:r>
    </w:p>
    <w:p>
      <w:pPr>
        <w:pStyle w:val="ListParagraph"/>
        <w:numPr>
          <w:ilvl w:val="0"/>
          <w:numId w:val="2"/>
        </w:numPr>
        <w:spacing w:after="40" w:before="40"/>
      </w:pPr>
      <w:r>
        <w:rPr>
          <w:rFonts w:ascii="Arial" w:cs="Arial" w:eastAsia="Arial" w:hAnsi="Arial"/>
          <w:sz w:val="21"/>
          <w:szCs w:val="21"/>
        </w:rPr>
        <w:t xml:space="preserve">2022: 'India@100 — 25-year Amrit Kaal vision' (Sitharaman)</w:t>
      </w:r>
    </w:p>
    <w:p>
      <w:pPr>
        <w:pStyle w:val="ListParagraph"/>
        <w:numPr>
          <w:ilvl w:val="0"/>
          <w:numId w:val="2"/>
        </w:numPr>
        <w:spacing w:after="40" w:before="40"/>
      </w:pPr>
      <w:r>
        <w:rPr>
          <w:rFonts w:ascii="Arial" w:cs="Arial" w:eastAsia="Arial" w:hAnsi="Arial"/>
          <w:sz w:val="21"/>
          <w:szCs w:val="21"/>
        </w:rPr>
        <w:t xml:space="preserve">2026: 'Among the largest economies of the world' (Sitharaman)</w:t>
      </w:r>
    </w:p>
    <w:p>
      <w:pPr>
        <w:spacing w:after="80" w:before="80"/>
        <w:jc w:val="left"/>
      </w:pPr>
      <w:r>
        <w:rPr>
          <w:rFonts w:ascii="Arial" w:cs="Arial" w:eastAsia="Arial" w:hAnsi="Arial"/>
          <w:b w:val="false"/>
          <w:bCs w:val="false"/>
          <w:i w:val="false"/>
          <w:iCs w:val="false"/>
          <w:color w:val="000000"/>
          <w:sz w:val="22"/>
          <w:szCs w:val="22"/>
        </w:rPr>
        <w:t xml:space="preserve">This escalating ambition serves multiple rhetorical functions: it defers accountability for current failures, builds emotional investment in future success, and expands the range of plausible positive framing.</w:t>
      </w:r>
    </w:p>
    <w:p>
      <w:pPr>
        <w:spacing w:after="80" w:before="200"/>
      </w:pPr>
      <w:r>
        <w:rPr>
          <w:rFonts w:ascii="Arial" w:cs="Arial" w:eastAsia="Arial" w:hAnsi="Arial"/>
          <w:b/>
          <w:bCs/>
          <w:color w:val="C0392B"/>
          <w:sz w:val="24"/>
          <w:szCs w:val="24"/>
        </w:rPr>
        <w:t xml:space="preserve">3. Sanskrit/Cultural Lexicon as Ideological Anchoring</w:t>
      </w:r>
    </w:p>
    <w:p>
      <w:pPr>
        <w:spacing w:after="80" w:before="80"/>
        <w:jc w:val="left"/>
      </w:pPr>
      <w:r>
        <w:rPr>
          <w:rFonts w:ascii="Arial" w:cs="Arial" w:eastAsia="Arial" w:hAnsi="Arial"/>
          <w:b w:val="false"/>
          <w:bCs w:val="false"/>
          <w:i w:val="false"/>
          <w:iCs w:val="false"/>
          <w:color w:val="000000"/>
          <w:sz w:val="22"/>
          <w:szCs w:val="22"/>
        </w:rPr>
        <w:t xml:space="preserve">A uniquely NDA rhetorical strategy is the systematic injection of Sanskrit and vernacular Indian language terms into fiscal-technocratic discourse. This serves as ideological anchoring — connecting economic policy to cultural identity:</w:t>
      </w:r>
    </w:p>
    <w:p>
      <w:pPr>
        <w:pStyle w:val="ListParagraph"/>
        <w:numPr>
          <w:ilvl w:val="0"/>
          <w:numId w:val="2"/>
        </w:numPr>
        <w:spacing w:after="40" w:before="40"/>
      </w:pPr>
      <w:r>
        <w:rPr>
          <w:rFonts w:ascii="Arial" w:cs="Arial" w:eastAsia="Arial" w:hAnsi="Arial"/>
          <w:sz w:val="21"/>
          <w:szCs w:val="21"/>
        </w:rPr>
        <w:t xml:space="preserve">'Sab ka Saath, Sab ka Vikas' — egalitarian nationalism signal</w:t>
      </w:r>
    </w:p>
    <w:p>
      <w:pPr>
        <w:pStyle w:val="ListParagraph"/>
        <w:numPr>
          <w:ilvl w:val="0"/>
          <w:numId w:val="2"/>
        </w:numPr>
        <w:spacing w:after="40" w:before="40"/>
      </w:pPr>
      <w:r>
        <w:rPr>
          <w:rFonts w:ascii="Arial" w:cs="Arial" w:eastAsia="Arial" w:hAnsi="Arial"/>
          <w:sz w:val="21"/>
          <w:szCs w:val="21"/>
        </w:rPr>
        <w:t xml:space="preserve">'AtmaNirbhar Bharat' — economic self-sufficiency framed as cultural virtue</w:t>
      </w:r>
    </w:p>
    <w:p>
      <w:pPr>
        <w:pStyle w:val="ListParagraph"/>
        <w:numPr>
          <w:ilvl w:val="0"/>
          <w:numId w:val="2"/>
        </w:numPr>
        <w:spacing w:after="40" w:before="40"/>
      </w:pPr>
      <w:r>
        <w:rPr>
          <w:rFonts w:ascii="Arial" w:cs="Arial" w:eastAsia="Arial" w:hAnsi="Arial"/>
          <w:sz w:val="21"/>
          <w:szCs w:val="21"/>
        </w:rPr>
        <w:t xml:space="preserve">'Viksit Bharat' — civilisational destiny framing</w:t>
      </w:r>
    </w:p>
    <w:p>
      <w:pPr>
        <w:pStyle w:val="ListParagraph"/>
        <w:numPr>
          <w:ilvl w:val="0"/>
          <w:numId w:val="2"/>
        </w:numPr>
        <w:spacing w:after="40" w:before="40"/>
      </w:pPr>
      <w:r>
        <w:rPr>
          <w:rFonts w:ascii="Arial" w:cs="Arial" w:eastAsia="Arial" w:hAnsi="Arial"/>
          <w:sz w:val="21"/>
          <w:szCs w:val="21"/>
        </w:rPr>
        <w:t xml:space="preserve">'Kartavya' (duty) — transforms governance into moral obligation</w:t>
      </w:r>
    </w:p>
    <w:p>
      <w:pPr>
        <w:pStyle w:val="ListParagraph"/>
        <w:numPr>
          <w:ilvl w:val="0"/>
          <w:numId w:val="2"/>
        </w:numPr>
        <w:spacing w:after="40" w:before="40"/>
      </w:pPr>
      <w:r>
        <w:rPr>
          <w:rFonts w:ascii="Arial" w:cs="Arial" w:eastAsia="Arial" w:hAnsi="Arial"/>
          <w:sz w:val="21"/>
          <w:szCs w:val="21"/>
        </w:rPr>
        <w:t xml:space="preserve">'Sankalp' (resolve/commitment) — mobilises ideological energy</w:t>
      </w:r>
    </w:p>
    <w:p>
      <w:pPr>
        <w:pStyle w:val="ListParagraph"/>
        <w:numPr>
          <w:ilvl w:val="0"/>
          <w:numId w:val="2"/>
        </w:numPr>
        <w:spacing w:after="40" w:before="40"/>
      </w:pPr>
      <w:r>
        <w:rPr>
          <w:rFonts w:ascii="Arial" w:cs="Arial" w:eastAsia="Arial" w:hAnsi="Arial"/>
          <w:sz w:val="21"/>
          <w:szCs w:val="21"/>
        </w:rPr>
        <w:t xml:space="preserve">'Yuva Shakti' — demographic dividend as cultural asset</w:t>
      </w:r>
    </w:p>
    <w:p>
      <w:pPr>
        <w:spacing w:after="80" w:before="80"/>
        <w:jc w:val="left"/>
      </w:pPr>
      <w:r>
        <w:rPr>
          <w:rFonts w:ascii="Arial" w:cs="Arial" w:eastAsia="Arial" w:hAnsi="Arial"/>
          <w:b w:val="false"/>
          <w:bCs w:val="false"/>
          <w:i w:val="false"/>
          <w:iCs w:val="false"/>
          <w:color w:val="000000"/>
          <w:sz w:val="22"/>
          <w:szCs w:val="22"/>
        </w:rPr>
        <w:t xml:space="preserve">Confidence Level: Very High. This pattern is consistent, deliberate, and increases in frequency across successive speeches.</w:t>
      </w:r>
    </w:p>
    <w:p>
      <w:pPr>
        <w:spacing w:after="80" w:before="200"/>
      </w:pPr>
      <w:r>
        <w:rPr>
          <w:rFonts w:ascii="Arial" w:cs="Arial" w:eastAsia="Arial" w:hAnsi="Arial"/>
          <w:b/>
          <w:bCs/>
          <w:color w:val="C0392B"/>
          <w:sz w:val="24"/>
          <w:szCs w:val="24"/>
        </w:rPr>
        <w:t xml:space="preserve">4. Beneficiary Enumeration as Empathy Signalling</w:t>
      </w:r>
    </w:p>
    <w:p>
      <w:pPr>
        <w:spacing w:after="80" w:before="80"/>
        <w:jc w:val="left"/>
      </w:pPr>
      <w:r>
        <w:rPr>
          <w:rFonts w:ascii="Arial" w:cs="Arial" w:eastAsia="Arial" w:hAnsi="Arial"/>
          <w:b w:val="false"/>
          <w:bCs w:val="false"/>
          <w:i w:val="false"/>
          <w:iCs w:val="false"/>
          <w:color w:val="000000"/>
          <w:sz w:val="22"/>
          <w:szCs w:val="22"/>
        </w:rPr>
        <w:t xml:space="preserve">Particularly in Sitharaman speeches from 2019 onward, there is a recurring device of explicit beneficiary enumeration — naming specific categories of vulnerable people to signal inclusive intent. This device performs compassion rather than proving delivery:</w:t>
      </w:r>
    </w:p>
    <w:p>
      <w:pPr>
        <w:pBdr>
          <w:left w:val="single" w:color="B8860B" w:sz="12" w:space="8"/>
        </w:pBdr>
        <w:spacing w:after="160" w:before="160"/>
        <w:ind w:left="720" w:right="360"/>
      </w:pPr>
      <w:r>
        <w:rPr>
          <w:rFonts w:ascii="Arial" w:cs="Arial" w:eastAsia="Arial" w:hAnsi="Arial"/>
          <w:i/>
          <w:iCs/>
          <w:color w:val="444444"/>
          <w:sz w:val="21"/>
          <w:szCs w:val="21"/>
        </w:rPr>
        <w:t xml:space="preserve">"For today's youth born at the turn of the century, for every member of Scheduled Castes and Scheduled Tribes who seeks a better life, for every woman wishing to stand up and get counted, for every individual from the minority sections of our society..."</w:t>
      </w:r>
      <w:r>
        <w:rPr>
          <w:rFonts w:ascii="Arial" w:cs="Arial" w:eastAsia="Arial" w:hAnsi="Arial"/>
          <w:b/>
          <w:bCs/>
          <w:color w:val="1F3A6B"/>
          <w:sz w:val="19"/>
          <w:szCs w:val="19"/>
        </w:rPr>
        <w:t xml:space="preserve">  — Sitharaman, Budget 2020–21</w:t>
      </w:r>
    </w:p>
    <w:p>
      <w:pPr>
        <w:spacing w:after="80" w:before="80"/>
        <w:jc w:val="left"/>
      </w:pPr>
      <w:r>
        <w:rPr>
          <w:rFonts w:ascii="Arial" w:cs="Arial" w:eastAsia="Arial" w:hAnsi="Arial"/>
          <w:b w:val="false"/>
          <w:bCs w:val="false"/>
          <w:i w:val="false"/>
          <w:iCs w:val="false"/>
          <w:color w:val="000000"/>
          <w:sz w:val="22"/>
          <w:szCs w:val="22"/>
        </w:rPr>
        <w:t xml:space="preserve">This rhetorical strategy functions as inoculation against inequality critiques — by naming excluded groups, the speech pre-emptively claims to have addressed them.</w:t>
      </w:r>
    </w:p>
    <w:p>
      <w:pPr>
        <w:pStyle w:val="Heading2"/>
        <w:spacing w:after="120" w:before="280"/>
      </w:pPr>
      <w:r>
        <w:rPr>
          <w:rFonts w:ascii="Arial" w:cs="Arial" w:eastAsia="Arial" w:hAnsi="Arial"/>
          <w:b/>
          <w:bCs/>
          <w:color w:val="1F3A6B"/>
          <w:sz w:val="28"/>
          <w:szCs w:val="28"/>
        </w:rPr>
        <w:t xml:space="preserve">4.3 Rhetorical Entropy Mapping</w:t>
      </w:r>
    </w:p>
    <w:p>
      <w:pPr>
        <w:spacing w:after="80" w:before="80"/>
        <w:jc w:val="left"/>
      </w:pPr>
      <w:r>
        <w:rPr>
          <w:rFonts w:ascii="Arial" w:cs="Arial" w:eastAsia="Arial" w:hAnsi="Arial"/>
          <w:b w:val="false"/>
          <w:bCs w:val="false"/>
          <w:i w:val="false"/>
          <w:iCs w:val="false"/>
          <w:color w:val="000000"/>
          <w:sz w:val="22"/>
          <w:szCs w:val="22"/>
        </w:rPr>
        <w:t xml:space="preserve">Rhetorical entropy — a measure of tonal volatility, framing inconsistency, and semantic instability — varies significantly across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5680"/>
      </w:tblGrid>
      <w:tr>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Budget Year</w:t>
            </w:r>
          </w:p>
        </w:tc>
        <w:tc>
          <w:tcPr>
            <w:tcW w:type="dxa" w:w="16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Entropy Level</w:t>
            </w:r>
          </w:p>
        </w:tc>
        <w:tc>
          <w:tcPr>
            <w:tcW w:type="dxa" w:w="568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Primary Source of Instability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2014–15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600"/>
                <w:sz w:val="19"/>
                <w:szCs w:val="19"/>
              </w:rPr>
              <w:t xml:space="preserve">LOW</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Coherent diagnosis → prescription structure</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2016–17</w:t>
            </w:r>
          </w:p>
        </w:tc>
        <w:tc>
          <w:tcPr>
            <w:tcW w:type="dxa" w:w="1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885500"/>
                <w:sz w:val="19"/>
                <w:szCs w:val="19"/>
              </w:rPr>
              <w:t xml:space="preserve">LOW-MOD</w:t>
            </w:r>
          </w:p>
        </w:tc>
        <w:tc>
          <w:tcPr>
            <w:tcW w:type="dxa" w:w="5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Global headwind framing vs. domestic optimism tension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2019–20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85500"/>
                <w:sz w:val="19"/>
                <w:szCs w:val="19"/>
              </w:rPr>
              <w:t xml:space="preserve">MODERATE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$5T ambition vs. structural reform specificity gap</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2020–21</w:t>
            </w:r>
          </w:p>
        </w:tc>
        <w:tc>
          <w:tcPr>
            <w:tcW w:type="dxa" w:w="1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885500"/>
                <w:sz w:val="19"/>
                <w:szCs w:val="19"/>
              </w:rPr>
              <w:t xml:space="preserve">MODERATE</w:t>
            </w:r>
          </w:p>
        </w:tc>
        <w:tc>
          <w:tcPr>
            <w:tcW w:type="dxa" w:w="5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Aspirational themes vs. pre-COVID growth data divergence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2021–22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600"/>
                <w:sz w:val="19"/>
                <w:szCs w:val="19"/>
              </w:rPr>
              <w:t xml:space="preserve">LOW</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Unusually coherent COVID-response narrative (crisis creates clarity)</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2022–23</w:t>
            </w:r>
          </w:p>
        </w:tc>
        <w:tc>
          <w:tcPr>
            <w:tcW w:type="dxa" w:w="1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885500"/>
                <w:sz w:val="19"/>
                <w:szCs w:val="19"/>
              </w:rPr>
              <w:t xml:space="preserve">LOW-MOD</w:t>
            </w:r>
          </w:p>
        </w:tc>
        <w:tc>
          <w:tcPr>
            <w:tcW w:type="dxa" w:w="5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Amrit Kaal framing vs. Omicron caution tension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2025–26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85500"/>
                <w:sz w:val="19"/>
                <w:szCs w:val="19"/>
              </w:rPr>
              <w:t xml:space="preserve">MODERATE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Viksit Bharat aspiration vs. unacknowledged growth moderation</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2026–27</w:t>
            </w:r>
          </w:p>
        </w:tc>
        <w:tc>
          <w:tcPr>
            <w:tcW w:type="dxa" w:w="1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HIGH</w:t>
            </w:r>
          </w:p>
        </w:tc>
        <w:tc>
          <w:tcPr>
            <w:tcW w:type="dxa" w:w="5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'12 years of success' framing vs. acknowledged global trade disruption</w:t>
            </w:r>
          </w:p>
        </w:tc>
      </w:tr>
    </w:tbl>
    <w:p>
      <w:pPr>
        <w:spacing w:after="80" w:before="80"/>
        <w:jc w:val="left"/>
      </w:pPr>
      <w:r>
        <w:rPr>
          <w:rFonts w:ascii="Arial" w:cs="Arial" w:eastAsia="Arial" w:hAnsi="Arial"/>
          <w:b w:val="false"/>
          <w:bCs w:val="false"/>
          <w:i w:val="false"/>
          <w:iCs w:val="false"/>
          <w:color w:val="000000"/>
          <w:sz w:val="22"/>
          <w:szCs w:val="22"/>
        </w:rPr>
        <w:t xml:space="preserve"/>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V. IDEOLOGY DRIFT TRACKING</w:t>
      </w:r>
    </w:p>
    <w:p>
      <w:pPr>
        <w:pStyle w:val="Heading2"/>
        <w:spacing w:after="120" w:before="280"/>
      </w:pPr>
      <w:r>
        <w:rPr>
          <w:rFonts w:ascii="Arial" w:cs="Arial" w:eastAsia="Arial" w:hAnsi="Arial"/>
          <w:b/>
          <w:bCs/>
          <w:color w:val="1F3A6B"/>
          <w:sz w:val="28"/>
          <w:szCs w:val="28"/>
        </w:rPr>
        <w:t xml:space="preserve">5.1 The Three Ideological Phases (2014–2026)</w:t>
      </w:r>
    </w:p>
    <w:p>
      <w:pPr>
        <w:spacing w:after="80" w:before="80"/>
        <w:jc w:val="left"/>
      </w:pPr>
      <w:r>
        <w:rPr>
          <w:rFonts w:ascii="Arial" w:cs="Arial" w:eastAsia="Arial" w:hAnsi="Arial"/>
          <w:b w:val="false"/>
          <w:bCs w:val="false"/>
          <w:i w:val="false"/>
          <w:iCs w:val="false"/>
          <w:color w:val="000000"/>
          <w:sz w:val="22"/>
          <w:szCs w:val="22"/>
        </w:rPr>
        <w:t xml:space="preserve">The corpus reveals three analytically distinct ideological phases in NDA budget discourse:</w:t>
      </w:r>
    </w:p>
    <w:p>
      <w:pPr>
        <w:spacing w:after="80" w:before="200"/>
      </w:pPr>
      <w:r>
        <w:rPr>
          <w:rFonts w:ascii="Arial" w:cs="Arial" w:eastAsia="Arial" w:hAnsi="Arial"/>
          <w:b/>
          <w:bCs/>
          <w:color w:val="C0392B"/>
          <w:sz w:val="24"/>
          <w:szCs w:val="24"/>
        </w:rPr>
        <w:t xml:space="preserve">Phase 1: Reformist Liberalisation (2014–2017)</w:t>
      </w:r>
    </w:p>
    <w:p>
      <w:pPr>
        <w:spacing w:after="80" w:before="80"/>
        <w:jc w:val="left"/>
      </w:pPr>
      <w:r>
        <w:rPr>
          <w:rFonts w:ascii="Arial" w:cs="Arial" w:eastAsia="Arial" w:hAnsi="Arial"/>
          <w:b w:val="false"/>
          <w:bCs w:val="false"/>
          <w:i w:val="false"/>
          <w:iCs w:val="false"/>
          <w:color w:val="000000"/>
          <w:sz w:val="22"/>
          <w:szCs w:val="22"/>
        </w:rPr>
        <w:t xml:space="preserve">Jaitley's early budgets are ideologically anchored in market-liberalisation thinking. The dominant frames are:</w:t>
      </w:r>
    </w:p>
    <w:p>
      <w:pPr>
        <w:pStyle w:val="ListParagraph"/>
        <w:numPr>
          <w:ilvl w:val="0"/>
          <w:numId w:val="2"/>
        </w:numPr>
        <w:spacing w:after="40" w:before="40"/>
      </w:pPr>
      <w:r>
        <w:rPr>
          <w:rFonts w:ascii="Arial" w:cs="Arial" w:eastAsia="Arial" w:hAnsi="Arial"/>
          <w:sz w:val="21"/>
          <w:szCs w:val="21"/>
        </w:rPr>
        <w:t xml:space="preserve">FDI openness as growth engine (Defence raised to 49%, Insurance to 49%, Smart Cities incentivised)</w:t>
      </w:r>
    </w:p>
    <w:p>
      <w:pPr>
        <w:pStyle w:val="ListParagraph"/>
        <w:numPr>
          <w:ilvl w:val="0"/>
          <w:numId w:val="2"/>
        </w:numPr>
        <w:spacing w:after="40" w:before="40"/>
      </w:pPr>
      <w:r>
        <w:rPr>
          <w:rFonts w:ascii="Arial" w:cs="Arial" w:eastAsia="Arial" w:hAnsi="Arial"/>
          <w:sz w:val="21"/>
          <w:szCs w:val="21"/>
        </w:rPr>
        <w:t xml:space="preserve">Fiscal discipline as moral virtue ('inter-generational equity', 'we cannot leave behind a legacy of debt')</w:t>
      </w:r>
    </w:p>
    <w:p>
      <w:pPr>
        <w:pStyle w:val="ListParagraph"/>
        <w:numPr>
          <w:ilvl w:val="0"/>
          <w:numId w:val="2"/>
        </w:numPr>
        <w:spacing w:after="40" w:before="40"/>
      </w:pPr>
      <w:r>
        <w:rPr>
          <w:rFonts w:ascii="Arial" w:cs="Arial" w:eastAsia="Arial" w:hAnsi="Arial"/>
          <w:sz w:val="21"/>
          <w:szCs w:val="21"/>
        </w:rPr>
        <w:t xml:space="preserve">Anti-corruption framing targeting the predecessor regime ('trust deficit created by previous government')</w:t>
      </w:r>
    </w:p>
    <w:p>
      <w:pPr>
        <w:pStyle w:val="ListParagraph"/>
        <w:numPr>
          <w:ilvl w:val="0"/>
          <w:numId w:val="2"/>
        </w:numPr>
        <w:spacing w:after="40" w:before="40"/>
      </w:pPr>
      <w:r>
        <w:rPr>
          <w:rFonts w:ascii="Arial" w:cs="Arial" w:eastAsia="Arial" w:hAnsi="Arial"/>
          <w:sz w:val="21"/>
          <w:szCs w:val="21"/>
        </w:rPr>
        <w:t xml:space="preserve">Institutional reform as priority (GST, IBC, RERA, FIPB reforms)</w:t>
      </w:r>
    </w:p>
    <w:p>
      <w:pPr>
        <w:pStyle w:val="ListParagraph"/>
        <w:numPr>
          <w:ilvl w:val="0"/>
          <w:numId w:val="2"/>
        </w:numPr>
        <w:spacing w:after="40" w:before="40"/>
      </w:pPr>
      <w:r>
        <w:rPr>
          <w:rFonts w:ascii="Arial" w:cs="Arial" w:eastAsia="Arial" w:hAnsi="Arial"/>
          <w:sz w:val="21"/>
          <w:szCs w:val="21"/>
        </w:rPr>
        <w:t xml:space="preserve">'Minimum Government, Maximum Governance' — explicitly libertarian-leaning governance philosophy</w:t>
      </w:r>
    </w:p>
    <w:p>
      <w:pPr>
        <w:spacing w:after="80" w:before="80"/>
        <w:jc w:val="left"/>
      </w:pPr>
      <w:r>
        <w:rPr>
          <w:rFonts w:ascii="Arial" w:cs="Arial" w:eastAsia="Arial" w:hAnsi="Arial"/>
          <w:b w:val="false"/>
          <w:bCs w:val="false"/>
          <w:i w:val="false"/>
          <w:iCs w:val="false"/>
          <w:color w:val="000000"/>
          <w:sz w:val="22"/>
          <w:szCs w:val="22"/>
        </w:rPr>
        <w:t xml:space="preserve">This phase reflects a political economy influenced by Washington Consensus thinking — markets, fiscal consolidation, and deregulation.</w:t>
      </w:r>
    </w:p>
    <w:p>
      <w:pPr>
        <w:spacing w:after="80" w:before="200"/>
      </w:pPr>
      <w:r>
        <w:rPr>
          <w:rFonts w:ascii="Arial" w:cs="Arial" w:eastAsia="Arial" w:hAnsi="Arial"/>
          <w:b/>
          <w:bCs/>
          <w:color w:val="C0392B"/>
          <w:sz w:val="24"/>
          <w:szCs w:val="24"/>
        </w:rPr>
        <w:t xml:space="preserve">Phase 2: Developmental Nationalism (2017–2021)</w:t>
      </w:r>
    </w:p>
    <w:p>
      <w:pPr>
        <w:spacing w:after="80" w:before="80"/>
        <w:jc w:val="left"/>
      </w:pPr>
      <w:r>
        <w:rPr>
          <w:rFonts w:ascii="Arial" w:cs="Arial" w:eastAsia="Arial" w:hAnsi="Arial"/>
          <w:b w:val="false"/>
          <w:bCs w:val="false"/>
          <w:i w:val="false"/>
          <w:iCs w:val="false"/>
          <w:color w:val="000000"/>
          <w:sz w:val="22"/>
          <w:szCs w:val="22"/>
        </w:rPr>
        <w:t xml:space="preserve">From 2017 onward (and accelerating under Sitharaman), a visible shift occurs toward developmental-nationalist framing:</w:t>
      </w:r>
    </w:p>
    <w:p>
      <w:pPr>
        <w:pStyle w:val="ListParagraph"/>
        <w:numPr>
          <w:ilvl w:val="0"/>
          <w:numId w:val="2"/>
        </w:numPr>
        <w:spacing w:after="40" w:before="40"/>
      </w:pPr>
      <w:r>
        <w:rPr>
          <w:rFonts w:ascii="Arial" w:cs="Arial" w:eastAsia="Arial" w:hAnsi="Arial"/>
          <w:sz w:val="21"/>
          <w:szCs w:val="21"/>
        </w:rPr>
        <w:t xml:space="preserve">Make in India transitions from slogan to structural policy architecture (PLI schemes, import substitution)</w:t>
      </w:r>
    </w:p>
    <w:p>
      <w:pPr>
        <w:pStyle w:val="ListParagraph"/>
        <w:numPr>
          <w:ilvl w:val="0"/>
          <w:numId w:val="2"/>
        </w:numPr>
        <w:spacing w:after="40" w:before="40"/>
      </w:pPr>
      <w:r>
        <w:rPr>
          <w:rFonts w:ascii="Arial" w:cs="Arial" w:eastAsia="Arial" w:hAnsi="Arial"/>
          <w:sz w:val="21"/>
          <w:szCs w:val="21"/>
        </w:rPr>
        <w:t xml:space="preserve">Welfare delivery becomes explicitly quantified and competitive ('fastest in the world', 'unprecedented scale')</w:t>
      </w:r>
    </w:p>
    <w:p>
      <w:pPr>
        <w:pStyle w:val="ListParagraph"/>
        <w:numPr>
          <w:ilvl w:val="0"/>
          <w:numId w:val="2"/>
        </w:numPr>
        <w:spacing w:after="40" w:before="40"/>
      </w:pPr>
      <w:r>
        <w:rPr>
          <w:rFonts w:ascii="Arial" w:cs="Arial" w:eastAsia="Arial" w:hAnsi="Arial"/>
          <w:sz w:val="21"/>
          <w:szCs w:val="21"/>
        </w:rPr>
        <w:t xml:space="preserve">AtmaNirbhar Bharat (announced May 2020) marks the ideological inflection point — self-reliance as national project</w:t>
      </w:r>
    </w:p>
    <w:p>
      <w:pPr>
        <w:pStyle w:val="ListParagraph"/>
        <w:numPr>
          <w:ilvl w:val="0"/>
          <w:numId w:val="2"/>
        </w:numPr>
        <w:spacing w:after="40" w:before="40"/>
      </w:pPr>
      <w:r>
        <w:rPr>
          <w:rFonts w:ascii="Arial" w:cs="Arial" w:eastAsia="Arial" w:hAnsi="Arial"/>
          <w:sz w:val="21"/>
          <w:szCs w:val="21"/>
        </w:rPr>
        <w:t xml:space="preserve">Private sector praised but now instrumentalised ('India Inc. are India's job-creators, wealth-creators') — subordinated to national narrative</w:t>
      </w:r>
    </w:p>
    <w:p>
      <w:pPr>
        <w:pStyle w:val="ListParagraph"/>
        <w:numPr>
          <w:ilvl w:val="0"/>
          <w:numId w:val="2"/>
        </w:numPr>
        <w:spacing w:after="40" w:before="40"/>
      </w:pPr>
      <w:r>
        <w:rPr>
          <w:rFonts w:ascii="Arial" w:cs="Arial" w:eastAsia="Arial" w:hAnsi="Arial"/>
          <w:sz w:val="21"/>
          <w:szCs w:val="21"/>
        </w:rPr>
        <w:t xml:space="preserve">China is the unstated competitor benchmark, present in semiconductor, rare earth, and manufacturing discourse</w:t>
      </w:r>
    </w:p>
    <w:p>
      <w:pPr>
        <w:spacing w:after="80" w:before="200"/>
      </w:pPr>
      <w:r>
        <w:rPr>
          <w:rFonts w:ascii="Arial" w:cs="Arial" w:eastAsia="Arial" w:hAnsi="Arial"/>
          <w:b/>
          <w:bCs/>
          <w:color w:val="C0392B"/>
          <w:sz w:val="24"/>
          <w:szCs w:val="24"/>
        </w:rPr>
        <w:t xml:space="preserve">Phase 3: Civilisational Mission (2022–2026)</w:t>
      </w:r>
    </w:p>
    <w:p>
      <w:pPr>
        <w:spacing w:after="80" w:before="80"/>
        <w:jc w:val="left"/>
      </w:pPr>
      <w:r>
        <w:rPr>
          <w:rFonts w:ascii="Arial" w:cs="Arial" w:eastAsia="Arial" w:hAnsi="Arial"/>
          <w:b w:val="false"/>
          <w:bCs w:val="false"/>
          <w:i w:val="false"/>
          <w:iCs w:val="false"/>
          <w:color w:val="000000"/>
          <w:sz w:val="22"/>
          <w:szCs w:val="22"/>
        </w:rPr>
        <w:t xml:space="preserve">The most recent phase represents a full ideological architecture shift toward civilisational teleology:</w:t>
      </w:r>
    </w:p>
    <w:p>
      <w:pPr>
        <w:pStyle w:val="ListParagraph"/>
        <w:numPr>
          <w:ilvl w:val="0"/>
          <w:numId w:val="2"/>
        </w:numPr>
        <w:spacing w:after="40" w:before="40"/>
      </w:pPr>
      <w:r>
        <w:rPr>
          <w:rFonts w:ascii="Arial" w:cs="Arial" w:eastAsia="Arial" w:hAnsi="Arial"/>
          <w:sz w:val="21"/>
          <w:szCs w:val="21"/>
        </w:rPr>
        <w:t xml:space="preserve">'Amrit Kaal' — 25-year journey framing India's development as historical destiny</w:t>
      </w:r>
    </w:p>
    <w:p>
      <w:pPr>
        <w:pStyle w:val="ListParagraph"/>
        <w:numPr>
          <w:ilvl w:val="0"/>
          <w:numId w:val="2"/>
        </w:numPr>
        <w:spacing w:after="40" w:before="40"/>
      </w:pPr>
      <w:r>
        <w:rPr>
          <w:rFonts w:ascii="Arial" w:cs="Arial" w:eastAsia="Arial" w:hAnsi="Arial"/>
          <w:sz w:val="21"/>
          <w:szCs w:val="21"/>
        </w:rPr>
        <w:t xml:space="preserve">'India@100' — national identity project supersedes economic policy as organising logic</w:t>
      </w:r>
    </w:p>
    <w:p>
      <w:pPr>
        <w:pStyle w:val="ListParagraph"/>
        <w:numPr>
          <w:ilvl w:val="0"/>
          <w:numId w:val="2"/>
        </w:numPr>
        <w:spacing w:after="40" w:before="40"/>
      </w:pPr>
      <w:r>
        <w:rPr>
          <w:rFonts w:ascii="Arial" w:cs="Arial" w:eastAsia="Arial" w:hAnsi="Arial"/>
          <w:sz w:val="21"/>
          <w:szCs w:val="21"/>
        </w:rPr>
        <w:t xml:space="preserve">'Viksit Bharat' becomes aspirational standard against which all policy is measured</w:t>
      </w:r>
    </w:p>
    <w:p>
      <w:pPr>
        <w:pStyle w:val="ListParagraph"/>
        <w:numPr>
          <w:ilvl w:val="0"/>
          <w:numId w:val="2"/>
        </w:numPr>
        <w:spacing w:after="40" w:before="40"/>
      </w:pPr>
      <w:r>
        <w:rPr>
          <w:rFonts w:ascii="Arial" w:cs="Arial" w:eastAsia="Arial" w:hAnsi="Arial"/>
          <w:sz w:val="21"/>
          <w:szCs w:val="21"/>
        </w:rPr>
        <w:t xml:space="preserve">'3 Kartavya' (2026) — governance reframed as moral duty rather than technocratic management</w:t>
      </w:r>
    </w:p>
    <w:p>
      <w:pPr>
        <w:pStyle w:val="ListParagraph"/>
        <w:numPr>
          <w:ilvl w:val="0"/>
          <w:numId w:val="2"/>
        </w:numPr>
        <w:spacing w:after="40" w:before="40"/>
      </w:pPr>
      <w:r>
        <w:rPr>
          <w:rFonts w:ascii="Arial" w:cs="Arial" w:eastAsia="Arial" w:hAnsi="Arial"/>
          <w:sz w:val="21"/>
          <w:szCs w:val="21"/>
        </w:rPr>
        <w:t xml:space="preserve">'Yuva Shakti' — demographic dividend refigured as civilisational energy</w:t>
      </w:r>
    </w:p>
    <w:p>
      <w:pPr>
        <w:pBdr>
          <w:left w:val="single" w:color="B8860B" w:sz="12" w:space="8"/>
        </w:pBdr>
        <w:spacing w:after="160" w:before="160"/>
        <w:ind w:left="720" w:right="360"/>
      </w:pPr>
      <w:r>
        <w:rPr>
          <w:rFonts w:ascii="Arial" w:cs="Arial" w:eastAsia="Arial" w:hAnsi="Arial"/>
          <w:i/>
          <w:iCs/>
          <w:color w:val="444444"/>
          <w:sz w:val="21"/>
          <w:szCs w:val="21"/>
        </w:rPr>
        <w:t xml:space="preserve">"Our aim is to transform aspiration into achievement and potential into performance, as we ensure that the dividends of growth reach every farmer, the scheduled caste, the scheduled tribes, the nomads, the youth, the poor and the women."</w:t>
      </w:r>
      <w:r>
        <w:rPr>
          <w:rFonts w:ascii="Arial" w:cs="Arial" w:eastAsia="Arial" w:hAnsi="Arial"/>
          <w:b/>
          <w:bCs/>
          <w:color w:val="1F3A6B"/>
          <w:sz w:val="19"/>
          <w:szCs w:val="19"/>
        </w:rPr>
        <w:t xml:space="preserve">  — Sitharaman, Budget 2026–27</w:t>
      </w:r>
    </w:p>
    <w:p>
      <w:pPr>
        <w:spacing w:after="80" w:before="80"/>
        <w:jc w:val="left"/>
      </w:pPr>
      <w:r>
        <w:rPr>
          <w:rFonts w:ascii="Arial" w:cs="Arial" w:eastAsia="Arial" w:hAnsi="Arial"/>
          <w:b w:val="false"/>
          <w:bCs w:val="false"/>
          <w:i w:val="false"/>
          <w:iCs w:val="false"/>
          <w:color w:val="000000"/>
          <w:sz w:val="22"/>
          <w:szCs w:val="22"/>
        </w:rPr>
        <w:t xml:space="preserve">This phase marks the most ambitious rhetorical reach in the corpus — positioning India's fiscal policy as the instrument of civilisational fulfilment.</w:t>
      </w:r>
    </w:p>
    <w:p>
      <w:pPr>
        <w:pStyle w:val="Heading2"/>
        <w:spacing w:after="120" w:before="280"/>
      </w:pPr>
      <w:r>
        <w:rPr>
          <w:rFonts w:ascii="Arial" w:cs="Arial" w:eastAsia="Arial" w:hAnsi="Arial"/>
          <w:b/>
          <w:bCs/>
          <w:color w:val="1F3A6B"/>
          <w:sz w:val="28"/>
          <w:szCs w:val="28"/>
        </w:rPr>
        <w:t xml:space="preserve">5.2 The 'Enemy' Construction Across the Corpus</w:t>
      </w:r>
    </w:p>
    <w:p>
      <w:pPr>
        <w:spacing w:after="80" w:before="80"/>
        <w:jc w:val="left"/>
      </w:pPr>
      <w:r>
        <w:rPr>
          <w:rFonts w:ascii="Arial" w:cs="Arial" w:eastAsia="Arial" w:hAnsi="Arial"/>
          <w:b w:val="false"/>
          <w:bCs w:val="false"/>
          <w:i w:val="false"/>
          <w:iCs w:val="false"/>
          <w:color w:val="000000"/>
          <w:sz w:val="22"/>
          <w:szCs w:val="22"/>
        </w:rPr>
        <w:t xml:space="preserve">Political speech analysis requires examination of 'enemy framing' — how opposition/threat is constructed to justify government action:</w:t>
      </w:r>
    </w:p>
    <w:p>
      <w:pPr>
        <w:pStyle w:val="ListParagraph"/>
        <w:numPr>
          <w:ilvl w:val="0"/>
          <w:numId w:val="2"/>
        </w:numPr>
        <w:spacing w:after="40" w:before="40"/>
      </w:pPr>
      <w:r>
        <w:rPr>
          <w:rFonts w:ascii="Arial" w:cs="Arial" w:eastAsia="Arial" w:hAnsi="Arial"/>
          <w:sz w:val="21"/>
          <w:szCs w:val="21"/>
        </w:rPr>
        <w:t xml:space="preserve">2014–16 (Jaitley): The enemy is the 'previous UPA government' — named explicitly, statistically indicted</w:t>
      </w:r>
    </w:p>
    <w:p>
      <w:pPr>
        <w:pStyle w:val="ListParagraph"/>
        <w:numPr>
          <w:ilvl w:val="0"/>
          <w:numId w:val="2"/>
        </w:numPr>
        <w:spacing w:after="40" w:before="40"/>
      </w:pPr>
      <w:r>
        <w:rPr>
          <w:rFonts w:ascii="Arial" w:cs="Arial" w:eastAsia="Arial" w:hAnsi="Arial"/>
          <w:sz w:val="21"/>
          <w:szCs w:val="21"/>
        </w:rPr>
        <w:t xml:space="preserve">2016–19 (Jaitley): Enemy shifts to 'black money/corruption' — abstract moral enemy</w:t>
      </w:r>
    </w:p>
    <w:p>
      <w:pPr>
        <w:pStyle w:val="ListParagraph"/>
        <w:numPr>
          <w:ilvl w:val="0"/>
          <w:numId w:val="2"/>
        </w:numPr>
        <w:spacing w:after="40" w:before="40"/>
      </w:pPr>
      <w:r>
        <w:rPr>
          <w:rFonts w:ascii="Arial" w:cs="Arial" w:eastAsia="Arial" w:hAnsi="Arial"/>
          <w:sz w:val="21"/>
          <w:szCs w:val="21"/>
        </w:rPr>
        <w:t xml:space="preserve">2019–21 (Sitharaman): Enemy becomes 'policy paralysis and license-quota-control regimes' — historical/systemic</w:t>
      </w:r>
    </w:p>
    <w:p>
      <w:pPr>
        <w:pStyle w:val="ListParagraph"/>
        <w:numPr>
          <w:ilvl w:val="0"/>
          <w:numId w:val="2"/>
        </w:numPr>
        <w:spacing w:after="40" w:before="40"/>
      </w:pPr>
      <w:r>
        <w:rPr>
          <w:rFonts w:ascii="Arial" w:cs="Arial" w:eastAsia="Arial" w:hAnsi="Arial"/>
          <w:sz w:val="21"/>
          <w:szCs w:val="21"/>
        </w:rPr>
        <w:t xml:space="preserve">2021–23 (Sitharaman): Enemy is the COVID-19 pandemic — external/natural — which paradoxically unifies the nation</w:t>
      </w:r>
    </w:p>
    <w:p>
      <w:pPr>
        <w:pStyle w:val="ListParagraph"/>
        <w:numPr>
          <w:ilvl w:val="0"/>
          <w:numId w:val="2"/>
        </w:numPr>
        <w:spacing w:after="40" w:before="40"/>
      </w:pPr>
      <w:r>
        <w:rPr>
          <w:rFonts w:ascii="Arial" w:cs="Arial" w:eastAsia="Arial" w:hAnsi="Arial"/>
          <w:sz w:val="21"/>
          <w:szCs w:val="21"/>
        </w:rPr>
        <w:t xml:space="preserve">2024–26 (Sitharaman): Enemy is 'volatile global dynamics', 'trade protectionism', 'supply chain disruption' — geopolitical external threat</w:t>
      </w:r>
    </w:p>
    <w:p>
      <w:pPr>
        <w:spacing w:after="80" w:before="80"/>
        <w:jc w:val="left"/>
      </w:pPr>
      <w:r>
        <w:rPr>
          <w:rFonts w:ascii="Arial" w:cs="Arial" w:eastAsia="Arial" w:hAnsi="Arial"/>
          <w:b w:val="false"/>
          <w:bCs w:val="false"/>
          <w:i w:val="false"/>
          <w:iCs w:val="false"/>
          <w:color w:val="000000"/>
          <w:sz w:val="22"/>
          <w:szCs w:val="22"/>
        </w:rPr>
        <w:t xml:space="preserve">The enemy consistently moves outward and upward — from domestic predecessors to global forces — reducing domestic accountability while maximising rally-around-the-flag effects.</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VI. SEMANTIC FRACTURE &amp; CONTRADICTION MATRIX</w:t>
      </w:r>
    </w:p>
    <w:p>
      <w:pPr>
        <w:pStyle w:val="Heading2"/>
        <w:spacing w:after="120" w:before="280"/>
      </w:pPr>
      <w:r>
        <w:rPr>
          <w:rFonts w:ascii="Arial" w:cs="Arial" w:eastAsia="Arial" w:hAnsi="Arial"/>
          <w:b/>
          <w:bCs/>
          <w:color w:val="1F3A6B"/>
          <w:sz w:val="28"/>
          <w:szCs w:val="28"/>
        </w:rPr>
        <w:t xml:space="preserve">6.1 Major Contradiction Clusters</w:t>
      </w:r>
    </w:p>
    <w:p>
      <w:pPr>
        <w:spacing w:after="80" w:before="80"/>
        <w:jc w:val="left"/>
      </w:pPr>
      <w:r>
        <w:rPr>
          <w:rFonts w:ascii="Arial" w:cs="Arial" w:eastAsia="Arial" w:hAnsi="Arial"/>
          <w:b w:val="false"/>
          <w:bCs w:val="false"/>
          <w:i w:val="false"/>
          <w:iCs w:val="false"/>
          <w:color w:val="000000"/>
          <w:sz w:val="22"/>
          <w:szCs w:val="22"/>
        </w:rPr>
        <w:t xml:space="preserve">Applying the contradiction detection protocol, the following key contradiction clusters were identified across the corpus:</w:t>
      </w:r>
    </w:p>
    <w:p>
      <w:pPr>
        <w:spacing w:after="80" w:before="200"/>
      </w:pPr>
      <w:r>
        <w:rPr>
          <w:rFonts w:ascii="Arial" w:cs="Arial" w:eastAsia="Arial" w:hAnsi="Arial"/>
          <w:b/>
          <w:bCs/>
          <w:color w:val="C0392B"/>
          <w:sz w:val="24"/>
          <w:szCs w:val="24"/>
        </w:rPr>
        <w:t xml:space="preserve">Contradiction 1: Fiscal Deficit Targets vs. Actuals</w:t>
      </w:r>
    </w:p>
    <w:p>
      <w:pPr>
        <w:pBdr>
          <w:left w:val="single" w:color="B8860B" w:sz="12" w:space="8"/>
        </w:pBdr>
        <w:spacing w:after="160" w:before="160"/>
        <w:ind w:left="720" w:right="360"/>
      </w:pPr>
      <w:r>
        <w:rPr>
          <w:rFonts w:ascii="Arial" w:cs="Arial" w:eastAsia="Arial" w:hAnsi="Arial"/>
          <w:i/>
          <w:iCs/>
          <w:color w:val="444444"/>
          <w:sz w:val="21"/>
          <w:szCs w:val="21"/>
        </w:rPr>
        <w:t xml:space="preserve">"My Road map for fiscal consolidation is a fiscal deficit of 3.6 per cent for 2015-16 and 3 per cent for 2016-17."</w:t>
      </w:r>
      <w:r>
        <w:rPr>
          <w:rFonts w:ascii="Arial" w:cs="Arial" w:eastAsia="Arial" w:hAnsi="Arial"/>
          <w:b/>
          <w:bCs/>
          <w:color w:val="1F3A6B"/>
          <w:sz w:val="19"/>
          <w:szCs w:val="19"/>
        </w:rPr>
        <w:t xml:space="preserve">  — Jaitley, Budget 2014–15</w:t>
      </w:r>
    </w:p>
    <w:p>
      <w:pPr>
        <w:spacing w:after="80" w:before="80"/>
        <w:jc w:val="left"/>
      </w:pPr>
      <w:r>
        <w:rPr>
          <w:rFonts w:ascii="Arial" w:cs="Arial" w:eastAsia="Arial" w:hAnsi="Arial"/>
          <w:b w:val="false"/>
          <w:bCs w:val="false"/>
          <w:i w:val="false"/>
          <w:iCs w:val="false"/>
          <w:color w:val="000000"/>
          <w:sz w:val="22"/>
          <w:szCs w:val="22"/>
        </w:rPr>
        <w:t xml:space="preserve">Analysis: The 3% target stated in 2014 was not achieved in 2016–17 (actual was ~3.5%). Each subsequent budget speech acknowledges 'challenging conditions' that justify slippage while re-committing to future targets. This creates a rolling contradiction: the future target is always credible, the past target is always contextualised as having met an exception. Confidence Level: Very High (fiscal data verifiable through public records).</w:t>
      </w:r>
    </w:p>
    <w:p>
      <w:pPr>
        <w:spacing w:after="80" w:before="200"/>
      </w:pPr>
      <w:r>
        <w:rPr>
          <w:rFonts w:ascii="Arial" w:cs="Arial" w:eastAsia="Arial" w:hAnsi="Arial"/>
          <w:b/>
          <w:bCs/>
          <w:color w:val="C0392B"/>
          <w:sz w:val="24"/>
          <w:szCs w:val="24"/>
        </w:rPr>
        <w:t xml:space="preserve">Contradiction 2: Employment Claims vs. Measurement Opacity</w:t>
      </w:r>
    </w:p>
    <w:p>
      <w:pPr>
        <w:spacing w:after="80" w:before="80"/>
        <w:jc w:val="left"/>
      </w:pPr>
      <w:r>
        <w:rPr>
          <w:rFonts w:ascii="Arial" w:cs="Arial" w:eastAsia="Arial" w:hAnsi="Arial"/>
          <w:b w:val="false"/>
          <w:bCs w:val="false"/>
          <w:i w:val="false"/>
          <w:iCs w:val="false"/>
          <w:color w:val="000000"/>
          <w:sz w:val="22"/>
          <w:szCs w:val="22"/>
        </w:rPr>
        <w:t xml:space="preserve">Employment and job creation claims appear in every speech but without consistent, comparable metrics. The corpus reveals three incompatible measurement frameworks used across different speeches:</w:t>
      </w:r>
    </w:p>
    <w:p>
      <w:pPr>
        <w:pStyle w:val="ListParagraph"/>
        <w:numPr>
          <w:ilvl w:val="0"/>
          <w:numId w:val="2"/>
        </w:numPr>
        <w:spacing w:after="40" w:before="40"/>
      </w:pPr>
      <w:r>
        <w:rPr>
          <w:rFonts w:ascii="Arial" w:cs="Arial" w:eastAsia="Arial" w:hAnsi="Arial"/>
          <w:sz w:val="21"/>
          <w:szCs w:val="21"/>
        </w:rPr>
        <w:t xml:space="preserve">Mudra loans disbursed ≠ jobs created</w:t>
      </w:r>
    </w:p>
    <w:p>
      <w:pPr>
        <w:pStyle w:val="ListParagraph"/>
        <w:numPr>
          <w:ilvl w:val="0"/>
          <w:numId w:val="2"/>
        </w:numPr>
        <w:spacing w:after="40" w:before="40"/>
      </w:pPr>
      <w:r>
        <w:rPr>
          <w:rFonts w:ascii="Arial" w:cs="Arial" w:eastAsia="Arial" w:hAnsi="Arial"/>
          <w:sz w:val="21"/>
          <w:szCs w:val="21"/>
        </w:rPr>
        <w:t xml:space="preserve">PLI scheme 'potential' jobs ≠ verified employment</w:t>
      </w:r>
    </w:p>
    <w:p>
      <w:pPr>
        <w:pStyle w:val="ListParagraph"/>
        <w:numPr>
          <w:ilvl w:val="0"/>
          <w:numId w:val="2"/>
        </w:numPr>
        <w:spacing w:after="40" w:before="40"/>
      </w:pPr>
      <w:r>
        <w:rPr>
          <w:rFonts w:ascii="Arial" w:cs="Arial" w:eastAsia="Arial" w:hAnsi="Arial"/>
          <w:sz w:val="21"/>
          <w:szCs w:val="21"/>
        </w:rPr>
        <w:t xml:space="preserve">Formalization of informal economy workers ≠ new job creation</w:t>
      </w:r>
    </w:p>
    <w:p>
      <w:pPr>
        <w:spacing w:after="80" w:before="80"/>
        <w:jc w:val="left"/>
      </w:pPr>
      <w:r>
        <w:rPr>
          <w:rFonts w:ascii="Arial" w:cs="Arial" w:eastAsia="Arial" w:hAnsi="Arial"/>
          <w:b w:val="false"/>
          <w:bCs w:val="false"/>
          <w:i w:val="false"/>
          <w:iCs w:val="false"/>
          <w:color w:val="000000"/>
          <w:sz w:val="22"/>
          <w:szCs w:val="22"/>
        </w:rPr>
        <w:t xml:space="preserve">The 2022–23 speech claims PLI schemes have 'potential to create 60 lakh new jobs' — a forward projection cited as present evidence. By 2025–26, this figure is not revisited or verified. Confidence Level: High.</w:t>
      </w:r>
    </w:p>
    <w:p>
      <w:pPr>
        <w:spacing w:after="80" w:before="200"/>
      </w:pPr>
      <w:r>
        <w:rPr>
          <w:rFonts w:ascii="Arial" w:cs="Arial" w:eastAsia="Arial" w:hAnsi="Arial"/>
          <w:b/>
          <w:bCs/>
          <w:color w:val="C0392B"/>
          <w:sz w:val="24"/>
          <w:szCs w:val="24"/>
        </w:rPr>
        <w:t xml:space="preserve">Contradiction 3: GST Complexity Claims</w:t>
      </w:r>
    </w:p>
    <w:p>
      <w:pPr>
        <w:spacing w:after="80" w:before="80"/>
        <w:jc w:val="left"/>
      </w:pPr>
      <w:r>
        <w:rPr>
          <w:rFonts w:ascii="Arial" w:cs="Arial" w:eastAsia="Arial" w:hAnsi="Arial"/>
          <w:b w:val="false"/>
          <w:bCs w:val="false"/>
          <w:i w:val="false"/>
          <w:iCs w:val="false"/>
          <w:color w:val="000000"/>
          <w:sz w:val="22"/>
          <w:szCs w:val="22"/>
        </w:rPr>
        <w:t xml:space="preserve">Every speech from 2017 onward celebrates GST as a 'historic reform' that simplified taxation. Yet each successive budget also contains GST 'rationalization', 'simplification', and 'clarification' proposals — implicitly acknowledging persistent complexity. The 2026–27 speech explicitly mentions 'GST simplification' as part of the 350 post-Independence Day reforms. The contradiction between celebrated achievement and acknowledged ongoing reform is structurally embedded.</w:t>
      </w:r>
    </w:p>
    <w:p>
      <w:pPr>
        <w:spacing w:after="80" w:before="200"/>
      </w:pPr>
      <w:r>
        <w:rPr>
          <w:rFonts w:ascii="Arial" w:cs="Arial" w:eastAsia="Arial" w:hAnsi="Arial"/>
          <w:b/>
          <w:bCs/>
          <w:color w:val="C0392B"/>
          <w:sz w:val="24"/>
          <w:szCs w:val="24"/>
        </w:rPr>
        <w:t xml:space="preserve">Contradiction 4: Private Sector Autonomy vs. State Direction</w:t>
      </w:r>
    </w:p>
    <w:p>
      <w:pPr>
        <w:spacing w:after="80" w:before="80"/>
        <w:jc w:val="left"/>
      </w:pPr>
      <w:r>
        <w:rPr>
          <w:rFonts w:ascii="Arial" w:cs="Arial" w:eastAsia="Arial" w:hAnsi="Arial"/>
          <w:b w:val="false"/>
          <w:bCs w:val="false"/>
          <w:i w:val="false"/>
          <w:iCs w:val="false"/>
          <w:color w:val="000000"/>
          <w:sz w:val="22"/>
          <w:szCs w:val="22"/>
        </w:rPr>
        <w:t xml:space="preserve">Jaitley's 2014 speeches strongly affirm private sector primacy and market mechanisms. However, by 2022–26, the speeches reveal a state-led industrial policy approach (PLI, ISM, semiconductor programs, mandatory TReDS integration for CPSEs) that contradicts the earlier 'minimum government' philosophy. This is a genuine ideological fracture across the corpus — not merely rhetorical adaptation.</w:t>
      </w:r>
    </w:p>
    <w:p>
      <w:pPr>
        <w:spacing w:after="80" w:before="200"/>
      </w:pPr>
      <w:r>
        <w:rPr>
          <w:rFonts w:ascii="Arial" w:cs="Arial" w:eastAsia="Arial" w:hAnsi="Arial"/>
          <w:b/>
          <w:bCs/>
          <w:color w:val="C0392B"/>
          <w:sz w:val="24"/>
          <w:szCs w:val="24"/>
        </w:rPr>
        <w:t xml:space="preserve">Contradiction 5: Viksit Bharat Zero Poverty vs. Acknowledged Poverty</w:t>
      </w:r>
    </w:p>
    <w:p>
      <w:pPr>
        <w:spacing w:after="80" w:before="80"/>
        <w:jc w:val="left"/>
      </w:pPr>
      <w:r>
        <w:rPr>
          <w:rFonts w:ascii="Arial" w:cs="Arial" w:eastAsia="Arial" w:hAnsi="Arial"/>
          <w:b w:val="false"/>
          <w:bCs w:val="false"/>
          <w:i w:val="false"/>
          <w:iCs w:val="false"/>
          <w:color w:val="000000"/>
          <w:sz w:val="22"/>
          <w:szCs w:val="22"/>
        </w:rPr>
        <w:t xml:space="preserve">The 2025–26 speech defines 'Viksit Bharat' as encompassing 'zero poverty', yet the same speech announces new poverty-targeting welfare programmes (PM Dhan-Dhaanya for 100 districts with low productivity, rural prosperity for 'underemployed' agricultural families). The simultaneous aspiration for zero poverty and the structural acknowledgement of pervasive rural poverty creates a live contradiction.</w:t>
      </w:r>
    </w:p>
    <w:p>
      <w:pPr>
        <w:pStyle w:val="Heading2"/>
        <w:spacing w:after="120" w:before="280"/>
      </w:pPr>
      <w:r>
        <w:rPr>
          <w:rFonts w:ascii="Arial" w:cs="Arial" w:eastAsia="Arial" w:hAnsi="Arial"/>
          <w:b/>
          <w:bCs/>
          <w:color w:val="1F3A6B"/>
          <w:sz w:val="28"/>
          <w:szCs w:val="28"/>
        </w:rPr>
        <w:t xml:space="preserve">6.2 Semantic Fracture Detection</w:t>
      </w:r>
    </w:p>
    <w:p>
      <w:pPr>
        <w:spacing w:after="80" w:before="80"/>
        <w:jc w:val="left"/>
      </w:pPr>
      <w:r>
        <w:rPr>
          <w:rFonts w:ascii="Arial" w:cs="Arial" w:eastAsia="Arial" w:hAnsi="Arial"/>
          <w:b w:val="false"/>
          <w:bCs w:val="false"/>
          <w:i w:val="false"/>
          <w:iCs w:val="false"/>
          <w:color w:val="000000"/>
          <w:sz w:val="22"/>
          <w:szCs w:val="22"/>
        </w:rPr>
        <w:t xml:space="preserve">Beyond explicit contradictions, the corpus contains hidden breaks in conceptual continuity — 'semantic fractures' where terms are redefined or concepts are silently replaced:</w:t>
      </w:r>
    </w:p>
    <w:p>
      <w:pPr>
        <w:pStyle w:val="ListParagraph"/>
        <w:numPr>
          <w:ilvl w:val="0"/>
          <w:numId w:val="2"/>
        </w:numPr>
        <w:spacing w:after="40" w:before="40"/>
      </w:pPr>
      <w:r>
        <w:rPr>
          <w:rFonts w:ascii="Arial" w:cs="Arial" w:eastAsia="Arial" w:hAnsi="Arial"/>
          <w:sz w:val="21"/>
          <w:szCs w:val="21"/>
        </w:rPr>
        <w:t xml:space="preserve">'Fiscal consolidation' (2014–18 frame) silently replaced by 'fiscal prudence' (2019+ frame) — the target moves from a specific ratio to an attitude</w:t>
      </w:r>
    </w:p>
    <w:p>
      <w:pPr>
        <w:pStyle w:val="ListParagraph"/>
        <w:numPr>
          <w:ilvl w:val="0"/>
          <w:numId w:val="2"/>
        </w:numPr>
        <w:spacing w:after="40" w:before="40"/>
      </w:pPr>
      <w:r>
        <w:rPr>
          <w:rFonts w:ascii="Arial" w:cs="Arial" w:eastAsia="Arial" w:hAnsi="Arial"/>
          <w:sz w:val="21"/>
          <w:szCs w:val="21"/>
        </w:rPr>
        <w:t xml:space="preserve">'Ease of Doing Business' rankings prominently cited 2014–2018, then largely absent after India's removal from the index in 2021</w:t>
      </w:r>
    </w:p>
    <w:p>
      <w:pPr>
        <w:pStyle w:val="ListParagraph"/>
        <w:numPr>
          <w:ilvl w:val="0"/>
          <w:numId w:val="2"/>
        </w:numPr>
        <w:spacing w:after="40" w:before="40"/>
      </w:pPr>
      <w:r>
        <w:rPr>
          <w:rFonts w:ascii="Arial" w:cs="Arial" w:eastAsia="Arial" w:hAnsi="Arial"/>
          <w:sz w:val="21"/>
          <w:szCs w:val="21"/>
        </w:rPr>
        <w:t xml:space="preserve">'Achhe Din' (good days) — present in political discourse but absent from budget speeches, representing a disciplined semantic containment</w:t>
      </w:r>
    </w:p>
    <w:p>
      <w:pPr>
        <w:pStyle w:val="ListParagraph"/>
        <w:numPr>
          <w:ilvl w:val="0"/>
          <w:numId w:val="2"/>
        </w:numPr>
        <w:spacing w:after="40" w:before="40"/>
      </w:pPr>
      <w:r>
        <w:rPr>
          <w:rFonts w:ascii="Arial" w:cs="Arial" w:eastAsia="Arial" w:hAnsi="Arial"/>
          <w:sz w:val="21"/>
          <w:szCs w:val="21"/>
        </w:rPr>
        <w:t xml:space="preserve">'Disinvestment' targets — cited every year, rarely met, never retrospectively analysed in subsequent speeches</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VII. LATENT NARRATIVE TOPOLOGY</w:t>
      </w:r>
    </w:p>
    <w:p>
      <w:pPr>
        <w:pStyle w:val="Heading2"/>
        <w:spacing w:after="120" w:before="280"/>
      </w:pPr>
      <w:r>
        <w:rPr>
          <w:rFonts w:ascii="Arial" w:cs="Arial" w:eastAsia="Arial" w:hAnsi="Arial"/>
          <w:b/>
          <w:bCs/>
          <w:color w:val="1F3A6B"/>
          <w:sz w:val="28"/>
          <w:szCs w:val="28"/>
        </w:rPr>
        <w:t xml:space="preserve">7.1 The Master Narrative</w:t>
      </w:r>
    </w:p>
    <w:p>
      <w:pPr>
        <w:spacing w:after="80" w:before="80"/>
        <w:jc w:val="left"/>
      </w:pPr>
      <w:r>
        <w:rPr>
          <w:rFonts w:ascii="Arial" w:cs="Arial" w:eastAsia="Arial" w:hAnsi="Arial"/>
          <w:b w:val="false"/>
          <w:bCs w:val="false"/>
          <w:i w:val="false"/>
          <w:iCs w:val="false"/>
          <w:color w:val="000000"/>
          <w:sz w:val="22"/>
          <w:szCs w:val="22"/>
        </w:rPr>
        <w:t xml:space="preserve">Across all twelve speeches, a persistent master narrative structure is identifiable — what we term the 'India Rising' meta-narrative. It operates at four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Level</w:t>
            </w:r>
          </w:p>
        </w:tc>
        <w:tc>
          <w:tcPr>
            <w:tcW w:type="dxa" w:w="35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Narrative Element</w:t>
            </w:r>
          </w:p>
        </w:tc>
        <w:tc>
          <w:tcPr>
            <w:tcW w:type="dxa" w:w="38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Evidence in Corpus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Origin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India in crisis/decay (attributed to predecessors or global forces)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Every speech opens with problem framing</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Turn</w:t>
            </w:r>
          </w:p>
        </w:tc>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NDA government as transformative agent</w:t>
            </w:r>
          </w:p>
        </w:tc>
        <w:tc>
          <w:tcPr>
            <w:tcW w:type="dxa" w:w="3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Systematic achievement enumeration in every speech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Journey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Reforms, schemes, milestones as progress markers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Numbered pillars, engines, kartavyas</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Destination</w:t>
            </w:r>
          </w:p>
        </w:tc>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Viksit Bharat / India@100 / $5T economy</w:t>
            </w:r>
          </w:p>
        </w:tc>
        <w:tc>
          <w:tcPr>
            <w:tcW w:type="dxa" w:w="3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Escalating aspirational targets per speech</w:t>
            </w:r>
          </w:p>
        </w:tc>
      </w:tr>
    </w:tbl>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This four-part structure — Crisis → Transformation → Journey → Destiny — recurs in every speech, creating narrative continuity that functions independently of specific policy content. The speeches are structurally designed to be emotionally satisfying regardless of whether individual policies are implemented.</w:t>
      </w:r>
    </w:p>
    <w:p>
      <w:pPr>
        <w:pStyle w:val="Heading2"/>
        <w:spacing w:after="120" w:before="280"/>
      </w:pPr>
      <w:r>
        <w:rPr>
          <w:rFonts w:ascii="Arial" w:cs="Arial" w:eastAsia="Arial" w:hAnsi="Arial"/>
          <w:b/>
          <w:bCs/>
          <w:color w:val="1F3A6B"/>
          <w:sz w:val="28"/>
          <w:szCs w:val="28"/>
        </w:rPr>
        <w:t xml:space="preserve">7.2 COVID-19 as Narrative Rupture and Reinforcement</w:t>
      </w:r>
    </w:p>
    <w:p>
      <w:pPr>
        <w:spacing w:after="80" w:before="80"/>
        <w:jc w:val="left"/>
      </w:pPr>
      <w:r>
        <w:rPr>
          <w:rFonts w:ascii="Arial" w:cs="Arial" w:eastAsia="Arial" w:hAnsi="Arial"/>
          <w:b w:val="false"/>
          <w:bCs w:val="false"/>
          <w:i w:val="false"/>
          <w:iCs w:val="false"/>
          <w:color w:val="000000"/>
          <w:sz w:val="22"/>
          <w:szCs w:val="22"/>
        </w:rPr>
        <w:t xml:space="preserve">The 2021–22 Budget speech represents the most significant narrative rupture in the corpus. COVID-19 forced a semantic reorganisation that paradoxically strengthened the master narrative:</w:t>
      </w:r>
    </w:p>
    <w:p>
      <w:pPr>
        <w:pStyle w:val="ListParagraph"/>
        <w:numPr>
          <w:ilvl w:val="0"/>
          <w:numId w:val="2"/>
        </w:numPr>
        <w:spacing w:after="40" w:before="40"/>
      </w:pPr>
      <w:r>
        <w:rPr>
          <w:rFonts w:ascii="Arial" w:cs="Arial" w:eastAsia="Arial" w:hAnsi="Arial"/>
          <w:sz w:val="21"/>
          <w:szCs w:val="21"/>
        </w:rPr>
        <w:t xml:space="preserve">The crisis was externally attributed (global pandemic) — preserving the 'India Rising' arc from self-contamination</w:t>
      </w:r>
    </w:p>
    <w:p>
      <w:pPr>
        <w:pStyle w:val="ListParagraph"/>
        <w:numPr>
          <w:ilvl w:val="0"/>
          <w:numId w:val="2"/>
        </w:numPr>
        <w:spacing w:after="40" w:before="40"/>
      </w:pPr>
      <w:r>
        <w:rPr>
          <w:rFonts w:ascii="Arial" w:cs="Arial" w:eastAsia="Arial" w:hAnsi="Arial"/>
          <w:sz w:val="21"/>
          <w:szCs w:val="21"/>
        </w:rPr>
        <w:t xml:space="preserve">The government's response (vaccines, PMGKY, AtmaNirbhar packages) was narrated as heroic intervention — transforming a crisis into a proof of capability</w:t>
      </w:r>
    </w:p>
    <w:p>
      <w:pPr>
        <w:pStyle w:val="ListParagraph"/>
        <w:numPr>
          <w:ilvl w:val="0"/>
          <w:numId w:val="2"/>
        </w:numPr>
        <w:spacing w:after="40" w:before="40"/>
      </w:pPr>
      <w:r>
        <w:rPr>
          <w:rFonts w:ascii="Arial" w:cs="Arial" w:eastAsia="Arial" w:hAnsi="Arial"/>
          <w:sz w:val="21"/>
          <w:szCs w:val="21"/>
        </w:rPr>
        <w:t xml:space="preserve">India's position as vaccine supplier to 100+ countries was deployed as civilisational-scale achievement</w:t>
      </w:r>
    </w:p>
    <w:p>
      <w:pPr>
        <w:pBdr>
          <w:left w:val="single" w:color="B8860B" w:sz="12" w:space="8"/>
        </w:pBdr>
        <w:spacing w:after="160" w:before="160"/>
        <w:ind w:left="720" w:right="360"/>
      </w:pPr>
      <w:r>
        <w:rPr>
          <w:rFonts w:ascii="Arial" w:cs="Arial" w:eastAsia="Arial" w:hAnsi="Arial"/>
          <w:i/>
          <w:iCs/>
          <w:color w:val="444444"/>
          <w:sz w:val="21"/>
          <w:szCs w:val="21"/>
        </w:rPr>
        <w:t xml:space="preserve">"Today, India has two vaccines available, and has begun medically safeguarding not only her own citizens against COVID-19, but also those of 100 or more countries."</w:t>
      </w:r>
      <w:r>
        <w:rPr>
          <w:rFonts w:ascii="Arial" w:cs="Arial" w:eastAsia="Arial" w:hAnsi="Arial"/>
          <w:b/>
          <w:bCs/>
          <w:color w:val="1F3A6B"/>
          <w:sz w:val="19"/>
          <w:szCs w:val="19"/>
        </w:rPr>
        <w:t xml:space="preserve">  — Sitharaman, Budget 2021–22</w:t>
      </w:r>
    </w:p>
    <w:p>
      <w:pPr>
        <w:spacing w:after="80" w:before="80"/>
        <w:jc w:val="left"/>
      </w:pPr>
      <w:r>
        <w:rPr>
          <w:rFonts w:ascii="Arial" w:cs="Arial" w:eastAsia="Arial" w:hAnsi="Arial"/>
          <w:b w:val="false"/>
          <w:bCs w:val="false"/>
          <w:i w:val="false"/>
          <w:iCs w:val="false"/>
          <w:color w:val="000000"/>
          <w:sz w:val="22"/>
          <w:szCs w:val="22"/>
        </w:rPr>
        <w:t xml:space="preserve">This narrative move is forensically significant: the COVID crisis, which could have severely damaged the 'India Rising' master narrative, was instead absorbed into it as a validation event.</w:t>
      </w:r>
    </w:p>
    <w:p>
      <w:pPr>
        <w:pStyle w:val="Heading2"/>
        <w:spacing w:after="120" w:before="280"/>
      </w:pPr>
      <w:r>
        <w:rPr>
          <w:rFonts w:ascii="Arial" w:cs="Arial" w:eastAsia="Arial" w:hAnsi="Arial"/>
          <w:b/>
          <w:bCs/>
          <w:color w:val="1F3A6B"/>
          <w:sz w:val="28"/>
          <w:szCs w:val="28"/>
        </w:rPr>
        <w:t xml:space="preserve">7.3 The 'Youth' Motif</w:t>
      </w:r>
    </w:p>
    <w:p>
      <w:pPr>
        <w:spacing w:after="80" w:before="80"/>
        <w:jc w:val="left"/>
      </w:pPr>
      <w:r>
        <w:rPr>
          <w:rFonts w:ascii="Arial" w:cs="Arial" w:eastAsia="Arial" w:hAnsi="Arial"/>
          <w:b w:val="false"/>
          <w:bCs w:val="false"/>
          <w:i w:val="false"/>
          <w:iCs w:val="false"/>
          <w:color w:val="000000"/>
          <w:sz w:val="22"/>
          <w:szCs w:val="22"/>
        </w:rPr>
        <w:t xml:space="preserve">The figure of the 'Indian Youth' functions as a recurring symbolic actor across the corpus — increasing in rhetorical prominence from 2014 to 2026. In 2014, youth appear as beneficiaries of jobs and education. By 2026, they are recast as the primary drivers of the national mission ('Yuva Shakti-driven Budget', 'Viksit Bharat Young Leaders Dialogue'). This rhetorical escalation performs two functions: it defers accountability (the future belongs to youth, not current governments) and it mobilises energy through aspiration.</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VIII. FORENSIC ANALYSIS: DECEPTION INDICATORS &amp; EPISTEMIC CERTAINTY</w:t>
      </w:r>
    </w:p>
    <w:p>
      <w:pPr>
        <w:pStyle w:val="Heading2"/>
        <w:spacing w:after="120" w:before="280"/>
      </w:pPr>
      <w:r>
        <w:rPr>
          <w:rFonts w:ascii="Arial" w:cs="Arial" w:eastAsia="Arial" w:hAnsi="Arial"/>
          <w:b/>
          <w:bCs/>
          <w:color w:val="1F3A6B"/>
          <w:sz w:val="28"/>
          <w:szCs w:val="28"/>
        </w:rPr>
        <w:t xml:space="preserve">8.1 Epistemic Certainty Gradient</w:t>
      </w:r>
    </w:p>
    <w:p>
      <w:pPr>
        <w:spacing w:after="80" w:before="80"/>
        <w:jc w:val="left"/>
      </w:pPr>
      <w:r>
        <w:rPr>
          <w:rFonts w:ascii="Arial" w:cs="Arial" w:eastAsia="Arial" w:hAnsi="Arial"/>
          <w:b w:val="false"/>
          <w:bCs w:val="false"/>
          <w:i w:val="false"/>
          <w:iCs w:val="false"/>
          <w:color w:val="000000"/>
          <w:sz w:val="22"/>
          <w:szCs w:val="22"/>
        </w:rPr>
        <w:t xml:space="preserve">Across the corpus, statements can be classified by their epistemic status — empirical fact, policy assertion, aspiration, or rhetorical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Density in Corpus</w:t>
            </w:r>
          </w:p>
        </w:tc>
        <w:tc>
          <w:tcPr>
            <w:tcW w:type="dxa" w:w="53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Typical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Empirical (verifiable)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GDP figures, tax collections, scheme beneficiary counts</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Policy Assertion</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~35%</w:t>
            </w:r>
          </w:p>
        </w:tc>
        <w:tc>
          <w:tcPr>
            <w:tcW w:type="dxa" w:w="5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 propose to...', 'Government will...', scheme announcements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Forward Projection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$5T economy, 60 lakh new jobs, zero poverty by 2047</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Rhetorical Aspiration</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~15%</w:t>
            </w:r>
          </w:p>
        </w:tc>
        <w:tc>
          <w:tcPr>
            <w:tcW w:type="dxa" w:w="5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'India's moment has come', 'transforming aspiration into achievement'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Cultural Signalling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Poetry quotations, Sanskrit terms, historical references</w:t>
            </w:r>
          </w:p>
        </w:tc>
      </w:tr>
    </w:tbl>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The highest epistemic risk zones are the forward projections (25%), where specific numbers are stated with high confidence but cannot be held accountable within the speech lifecycle.</w:t>
      </w:r>
    </w:p>
    <w:p>
      <w:pPr>
        <w:pStyle w:val="Heading2"/>
        <w:spacing w:after="120" w:before="280"/>
      </w:pPr>
      <w:r>
        <w:rPr>
          <w:rFonts w:ascii="Arial" w:cs="Arial" w:eastAsia="Arial" w:hAnsi="Arial"/>
          <w:b/>
          <w:bCs/>
          <w:color w:val="1F3A6B"/>
          <w:sz w:val="28"/>
          <w:szCs w:val="28"/>
        </w:rPr>
        <w:t xml:space="preserve">8.2 Linguistic Leakage and Evasive Framing Indicators</w:t>
      </w:r>
    </w:p>
    <w:p>
      <w:pPr>
        <w:spacing w:after="80" w:before="80"/>
        <w:jc w:val="left"/>
      </w:pPr>
      <w:r>
        <w:rPr>
          <w:rFonts w:ascii="Arial" w:cs="Arial" w:eastAsia="Arial" w:hAnsi="Arial"/>
          <w:b w:val="false"/>
          <w:bCs w:val="false"/>
          <w:i w:val="false"/>
          <w:iCs w:val="false"/>
          <w:color w:val="000000"/>
          <w:sz w:val="22"/>
          <w:szCs w:val="22"/>
        </w:rPr>
        <w:t xml:space="preserve">The following patterns suggest systematic evasive framing in the corpus:</w:t>
      </w:r>
    </w:p>
    <w:p>
      <w:pPr>
        <w:spacing w:after="80" w:before="200"/>
      </w:pPr>
      <w:r>
        <w:rPr>
          <w:rFonts w:ascii="Arial" w:cs="Arial" w:eastAsia="Arial" w:hAnsi="Arial"/>
          <w:b/>
          <w:bCs/>
          <w:color w:val="C0392B"/>
          <w:sz w:val="24"/>
          <w:szCs w:val="24"/>
        </w:rPr>
        <w:t xml:space="preserve">Overqualification Zones</w:t>
      </w:r>
    </w:p>
    <w:p>
      <w:pPr>
        <w:spacing w:after="80" w:before="80"/>
        <w:jc w:val="left"/>
      </w:pPr>
      <w:r>
        <w:rPr>
          <w:rFonts w:ascii="Arial" w:cs="Arial" w:eastAsia="Arial" w:hAnsi="Arial"/>
          <w:b w:val="false"/>
          <w:bCs w:val="false"/>
          <w:i w:val="false"/>
          <w:iCs w:val="false"/>
          <w:color w:val="000000"/>
          <w:sz w:val="22"/>
          <w:szCs w:val="22"/>
        </w:rPr>
        <w:t xml:space="preserve">Statements about past failures or shortfalls are systematically overqualified with contextual excuses:</w:t>
      </w:r>
    </w:p>
    <w:p>
      <w:pPr>
        <w:pStyle w:val="ListParagraph"/>
        <w:numPr>
          <w:ilvl w:val="0"/>
          <w:numId w:val="2"/>
        </w:numPr>
        <w:spacing w:after="40" w:before="40"/>
      </w:pPr>
      <w:r>
        <w:rPr>
          <w:rFonts w:ascii="Arial" w:cs="Arial" w:eastAsia="Arial" w:hAnsi="Arial"/>
          <w:sz w:val="21"/>
          <w:szCs w:val="21"/>
        </w:rPr>
        <w:t xml:space="preserve">Fiscal deficit slippage: 'Given the challenging global environment...'</w:t>
      </w:r>
    </w:p>
    <w:p>
      <w:pPr>
        <w:pStyle w:val="ListParagraph"/>
        <w:numPr>
          <w:ilvl w:val="0"/>
          <w:numId w:val="2"/>
        </w:numPr>
        <w:spacing w:after="40" w:before="40"/>
      </w:pPr>
      <w:r>
        <w:rPr>
          <w:rFonts w:ascii="Arial" w:cs="Arial" w:eastAsia="Arial" w:hAnsi="Arial"/>
          <w:sz w:val="21"/>
          <w:szCs w:val="21"/>
        </w:rPr>
        <w:t xml:space="preserve">Growth moderation: 'Notwithstanding global headwinds...'</w:t>
      </w:r>
    </w:p>
    <w:p>
      <w:pPr>
        <w:pStyle w:val="ListParagraph"/>
        <w:numPr>
          <w:ilvl w:val="0"/>
          <w:numId w:val="2"/>
        </w:numPr>
        <w:spacing w:after="40" w:before="40"/>
      </w:pPr>
      <w:r>
        <w:rPr>
          <w:rFonts w:ascii="Arial" w:cs="Arial" w:eastAsia="Arial" w:hAnsi="Arial"/>
          <w:sz w:val="21"/>
          <w:szCs w:val="21"/>
        </w:rPr>
        <w:t xml:space="preserve">Scheme underperformance: Never directly addressed; replaced by next year's enhanced scheme</w:t>
      </w:r>
    </w:p>
    <w:p>
      <w:pPr>
        <w:spacing w:after="80" w:before="200"/>
      </w:pPr>
      <w:r>
        <w:rPr>
          <w:rFonts w:ascii="Arial" w:cs="Arial" w:eastAsia="Arial" w:hAnsi="Arial"/>
          <w:b/>
          <w:bCs/>
          <w:color w:val="C0392B"/>
          <w:sz w:val="24"/>
          <w:szCs w:val="24"/>
        </w:rPr>
        <w:t xml:space="preserve">Selective Omission</w:t>
      </w:r>
    </w:p>
    <w:p>
      <w:pPr>
        <w:pStyle w:val="ListParagraph"/>
        <w:numPr>
          <w:ilvl w:val="0"/>
          <w:numId w:val="2"/>
        </w:numPr>
        <w:spacing w:after="40" w:before="40"/>
      </w:pPr>
      <w:r>
        <w:rPr>
          <w:rFonts w:ascii="Arial" w:cs="Arial" w:eastAsia="Arial" w:hAnsi="Arial"/>
          <w:sz w:val="21"/>
          <w:szCs w:val="21"/>
        </w:rPr>
        <w:t xml:space="preserve">Demonetisation (Nov 2016): The 2017–18 speech addresses 'structural transformation' but the word 'demonetisation' appears only once, rapidly pivoting to digital economy benefits</w:t>
      </w:r>
    </w:p>
    <w:p>
      <w:pPr>
        <w:pStyle w:val="ListParagraph"/>
        <w:numPr>
          <w:ilvl w:val="0"/>
          <w:numId w:val="2"/>
        </w:numPr>
        <w:spacing w:after="40" w:before="40"/>
      </w:pPr>
      <w:r>
        <w:rPr>
          <w:rFonts w:ascii="Arial" w:cs="Arial" w:eastAsia="Arial" w:hAnsi="Arial"/>
          <w:sz w:val="21"/>
          <w:szCs w:val="21"/>
        </w:rPr>
        <w:t xml:space="preserve">Ease of Doing Business rankings: Cited prominently 2016–2020; absent after 2021</w:t>
      </w:r>
    </w:p>
    <w:p>
      <w:pPr>
        <w:pStyle w:val="ListParagraph"/>
        <w:numPr>
          <w:ilvl w:val="0"/>
          <w:numId w:val="2"/>
        </w:numPr>
        <w:spacing w:after="40" w:before="40"/>
      </w:pPr>
      <w:r>
        <w:rPr>
          <w:rFonts w:ascii="Arial" w:cs="Arial" w:eastAsia="Arial" w:hAnsi="Arial"/>
          <w:sz w:val="21"/>
          <w:szCs w:val="21"/>
        </w:rPr>
        <w:t xml:space="preserve">NPA (Non-Performing Assets) crisis: Acknowledged in 2021–22 ('banks saw thorough cleaning of accumulated loans') but framed as solved rather than ongoing</w:t>
      </w:r>
    </w:p>
    <w:p>
      <w:pPr>
        <w:pStyle w:val="ListParagraph"/>
        <w:numPr>
          <w:ilvl w:val="0"/>
          <w:numId w:val="2"/>
        </w:numPr>
        <w:spacing w:after="40" w:before="40"/>
      </w:pPr>
      <w:r>
        <w:rPr>
          <w:rFonts w:ascii="Arial" w:cs="Arial" w:eastAsia="Arial" w:hAnsi="Arial"/>
          <w:sz w:val="21"/>
          <w:szCs w:val="21"/>
        </w:rPr>
        <w:t xml:space="preserve">Unemployment data controversy: Persistent underemployment in agriculture acknowledged in 2025–26 but framed as opportunity rather than failure</w:t>
      </w:r>
    </w:p>
    <w:p>
      <w:pPr>
        <w:spacing w:after="80" w:before="200"/>
      </w:pPr>
      <w:r>
        <w:rPr>
          <w:rFonts w:ascii="Arial" w:cs="Arial" w:eastAsia="Arial" w:hAnsi="Arial"/>
          <w:b/>
          <w:bCs/>
          <w:color w:val="C0392B"/>
          <w:sz w:val="24"/>
          <w:szCs w:val="24"/>
        </w:rPr>
        <w:t xml:space="preserve">Uncertainty Spikes</w:t>
      </w:r>
    </w:p>
    <w:p>
      <w:pPr>
        <w:spacing w:after="80" w:before="80"/>
        <w:jc w:val="left"/>
      </w:pPr>
      <w:r>
        <w:rPr>
          <w:rFonts w:ascii="Arial" w:cs="Arial" w:eastAsia="Arial" w:hAnsi="Arial"/>
          <w:b w:val="false"/>
          <w:bCs w:val="false"/>
          <w:i w:val="false"/>
          <w:iCs w:val="false"/>
          <w:color w:val="000000"/>
          <w:sz w:val="22"/>
          <w:szCs w:val="22"/>
        </w:rPr>
        <w:t xml:space="preserve">Language becomes measurably vaguer around three consistent topics: agricultural income doubling timelines (first promised 2016–17, still referenced 2025–26 without completion), specific disinvestment realisation, and fiscal deficit achievement. These are the high-accountability zones where epistemic certainty deliberately drops.</w:t>
      </w:r>
    </w:p>
    <w:p>
      <w:pPr>
        <w:pStyle w:val="Heading2"/>
        <w:spacing w:after="120" w:before="280"/>
      </w:pPr>
      <w:r>
        <w:rPr>
          <w:rFonts w:ascii="Arial" w:cs="Arial" w:eastAsia="Arial" w:hAnsi="Arial"/>
          <w:b/>
          <w:bCs/>
          <w:color w:val="1F3A6B"/>
          <w:sz w:val="28"/>
          <w:szCs w:val="28"/>
        </w:rPr>
        <w:t xml:space="preserve">8.3 Authorship Attribution Analysis</w:t>
      </w:r>
    </w:p>
    <w:p>
      <w:pPr>
        <w:spacing w:after="80" w:before="80"/>
        <w:jc w:val="left"/>
      </w:pPr>
      <w:r>
        <w:rPr>
          <w:rFonts w:ascii="Arial" w:cs="Arial" w:eastAsia="Arial" w:hAnsi="Arial"/>
          <w:b w:val="false"/>
          <w:bCs w:val="false"/>
          <w:i w:val="false"/>
          <w:iCs w:val="false"/>
          <w:color w:val="000000"/>
          <w:sz w:val="22"/>
          <w:szCs w:val="22"/>
        </w:rPr>
        <w:t xml:space="preserve">Despite being presentations by different Finance Ministers, budget speeches are complex collaborative documents. Stylometric analysis reveals:</w:t>
      </w:r>
    </w:p>
    <w:p>
      <w:pPr>
        <w:pStyle w:val="ListParagraph"/>
        <w:numPr>
          <w:ilvl w:val="0"/>
          <w:numId w:val="2"/>
        </w:numPr>
        <w:spacing w:after="40" w:before="40"/>
      </w:pPr>
      <w:r>
        <w:rPr>
          <w:rFonts w:ascii="Arial" w:cs="Arial" w:eastAsia="Arial" w:hAnsi="Arial"/>
          <w:sz w:val="21"/>
          <w:szCs w:val="21"/>
        </w:rPr>
        <w:t xml:space="preserve">Jaitley speeches: Evidence of legal-drafting influence (precise qualification language, conditional construction, liability-limiting phrasing common in legal documents)</w:t>
      </w:r>
    </w:p>
    <w:p>
      <w:pPr>
        <w:pStyle w:val="ListParagraph"/>
        <w:numPr>
          <w:ilvl w:val="0"/>
          <w:numId w:val="2"/>
        </w:numPr>
        <w:spacing w:after="40" w:before="40"/>
      </w:pPr>
      <w:r>
        <w:rPr>
          <w:rFonts w:ascii="Arial" w:cs="Arial" w:eastAsia="Arial" w:hAnsi="Arial"/>
          <w:sz w:val="21"/>
          <w:szCs w:val="21"/>
        </w:rPr>
        <w:t xml:space="preserve">Early Sitharaman speeches (2019–2020): Detectable transition — retains some Jaitley structural patterns while introducing welfare-enumeration devices</w:t>
      </w:r>
    </w:p>
    <w:p>
      <w:pPr>
        <w:pStyle w:val="ListParagraph"/>
        <w:numPr>
          <w:ilvl w:val="0"/>
          <w:numId w:val="2"/>
        </w:numPr>
        <w:spacing w:after="40" w:before="40"/>
      </w:pPr>
      <w:r>
        <w:rPr>
          <w:rFonts w:ascii="Arial" w:cs="Arial" w:eastAsia="Arial" w:hAnsi="Arial"/>
          <w:sz w:val="21"/>
          <w:szCs w:val="21"/>
        </w:rPr>
        <w:t xml:space="preserve">Mature Sitharaman speeches (2022–2026): Fully distinct stylistic fingerprint — aspirational metaphor systems, multilingual cultural deployment, scheme-branding emphasis</w:t>
      </w:r>
    </w:p>
    <w:p>
      <w:pPr>
        <w:pStyle w:val="ListParagraph"/>
        <w:numPr>
          <w:ilvl w:val="0"/>
          <w:numId w:val="2"/>
        </w:numPr>
        <w:spacing w:after="40" w:before="40"/>
      </w:pPr>
      <w:r>
        <w:rPr>
          <w:rFonts w:ascii="Arial" w:cs="Arial" w:eastAsia="Arial" w:hAnsi="Arial"/>
          <w:sz w:val="21"/>
          <w:szCs w:val="21"/>
        </w:rPr>
        <w:t xml:space="preserve">Tax proposals across all speeches: Highly consistent technocratic register, suggesting a separate drafting process (likely CBDT/Finance Ministry bureaucratic authorship) largely independent of the Finance Minister's personal style</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IX. CROSS-THEMATIC SEMANTIC INTELLIGENCE</w:t>
      </w:r>
    </w:p>
    <w:p>
      <w:pPr>
        <w:pStyle w:val="Heading2"/>
        <w:spacing w:after="120" w:before="280"/>
      </w:pPr>
      <w:r>
        <w:rPr>
          <w:rFonts w:ascii="Arial" w:cs="Arial" w:eastAsia="Arial" w:hAnsi="Arial"/>
          <w:b/>
          <w:bCs/>
          <w:color w:val="1F3A6B"/>
          <w:sz w:val="28"/>
          <w:szCs w:val="28"/>
        </w:rPr>
        <w:t xml:space="preserve">9.1 Infrastructure: From Asset Creation to Narrative Anchor</w:t>
      </w:r>
    </w:p>
    <w:p>
      <w:pPr>
        <w:spacing w:after="80" w:before="80"/>
        <w:jc w:val="left"/>
      </w:pPr>
      <w:r>
        <w:rPr>
          <w:rFonts w:ascii="Arial" w:cs="Arial" w:eastAsia="Arial" w:hAnsi="Arial"/>
          <w:b w:val="false"/>
          <w:bCs w:val="false"/>
          <w:i w:val="false"/>
          <w:iCs w:val="false"/>
          <w:color w:val="000000"/>
          <w:sz w:val="22"/>
          <w:szCs w:val="22"/>
        </w:rPr>
        <w:t xml:space="preserve">Infrastructure discourse undergoes a significant semantic transformation across the corpus. In 2014–16, infrastructure is framed as an economic necessity — a tool for growth crowding-in and supply-side correction. By 2022–26, infrastructure has become a narrative anchor — the centrepiece of civilisational aspiration:</w:t>
      </w:r>
    </w:p>
    <w:p>
      <w:pPr>
        <w:pBdr>
          <w:left w:val="single" w:color="B8860B" w:sz="12" w:space="8"/>
        </w:pBdr>
        <w:spacing w:after="160" w:before="160"/>
        <w:ind w:left="720" w:right="360"/>
      </w:pPr>
      <w:r>
        <w:rPr>
          <w:rFonts w:ascii="Arial" w:cs="Arial" w:eastAsia="Arial" w:hAnsi="Arial"/>
          <w:i/>
          <w:iCs/>
          <w:color w:val="444444"/>
          <w:sz w:val="21"/>
          <w:szCs w:val="21"/>
        </w:rPr>
        <w:t xml:space="preserve">"PM GatiShakti is a transformative approach for economic growth and sustainable development. The approach is driven by seven engines, namely, Roads, Railways, Airports, Ports, Mass Transport, Waterways, and Logistics Infrastructure."</w:t>
      </w:r>
      <w:r>
        <w:rPr>
          <w:rFonts w:ascii="Arial" w:cs="Arial" w:eastAsia="Arial" w:hAnsi="Arial"/>
          <w:b/>
          <w:bCs/>
          <w:color w:val="1F3A6B"/>
          <w:sz w:val="19"/>
          <w:szCs w:val="19"/>
        </w:rPr>
        <w:t xml:space="preserve">  — Sitharaman, Budget 2022–23</w:t>
      </w:r>
    </w:p>
    <w:p>
      <w:pPr>
        <w:spacing w:after="80" w:before="80"/>
        <w:jc w:val="left"/>
      </w:pPr>
      <w:r>
        <w:rPr>
          <w:rFonts w:ascii="Arial" w:cs="Arial" w:eastAsia="Arial" w:hAnsi="Arial"/>
          <w:b w:val="false"/>
          <w:bCs w:val="false"/>
          <w:i w:val="false"/>
          <w:iCs w:val="false"/>
          <w:color w:val="000000"/>
          <w:sz w:val="22"/>
          <w:szCs w:val="22"/>
        </w:rPr>
        <w:t xml:space="preserve">The 'seven engines' metaphor (2022–23) and 'four engines of growth' (2025–26) reflect the rhetorical inflation of infrastructure from policy domain to meta-metaphor. This semantic escalation carries ideological risk: as infrastructure becomes metaphorically all-encompassing, it becomes analytically hollow.</w:t>
      </w:r>
    </w:p>
    <w:p>
      <w:pPr>
        <w:pStyle w:val="Heading2"/>
        <w:spacing w:after="120" w:before="280"/>
      </w:pPr>
      <w:r>
        <w:rPr>
          <w:rFonts w:ascii="Arial" w:cs="Arial" w:eastAsia="Arial" w:hAnsi="Arial"/>
          <w:b/>
          <w:bCs/>
          <w:color w:val="1F3A6B"/>
          <w:sz w:val="28"/>
          <w:szCs w:val="28"/>
        </w:rPr>
        <w:t xml:space="preserve">9.2 Agriculture: The Persistent Contradiction Domain</w:t>
      </w:r>
    </w:p>
    <w:p>
      <w:pPr>
        <w:spacing w:after="80" w:before="80"/>
        <w:jc w:val="left"/>
      </w:pPr>
      <w:r>
        <w:rPr>
          <w:rFonts w:ascii="Arial" w:cs="Arial" w:eastAsia="Arial" w:hAnsi="Arial"/>
          <w:b w:val="false"/>
          <w:bCs w:val="false"/>
          <w:i w:val="false"/>
          <w:iCs w:val="false"/>
          <w:color w:val="000000"/>
          <w:sz w:val="22"/>
          <w:szCs w:val="22"/>
        </w:rPr>
        <w:t xml:space="preserve">Agriculture represents the highest contradiction density in the corpus. Key patterns:</w:t>
      </w:r>
    </w:p>
    <w:p>
      <w:pPr>
        <w:pStyle w:val="ListParagraph"/>
        <w:numPr>
          <w:ilvl w:val="0"/>
          <w:numId w:val="2"/>
        </w:numPr>
        <w:spacing w:after="40" w:before="40"/>
      </w:pPr>
      <w:r>
        <w:rPr>
          <w:rFonts w:ascii="Arial" w:cs="Arial" w:eastAsia="Arial" w:hAnsi="Arial"/>
          <w:sz w:val="21"/>
          <w:szCs w:val="21"/>
        </w:rPr>
        <w:t xml:space="preserve">'Doubling farmer income by 2022' (announced 2016–17): Still referenced in 2025–26 as ongoing mission — implying non-achievement</w:t>
      </w:r>
    </w:p>
    <w:p>
      <w:pPr>
        <w:pStyle w:val="ListParagraph"/>
        <w:numPr>
          <w:ilvl w:val="0"/>
          <w:numId w:val="2"/>
        </w:numPr>
        <w:spacing w:after="40" w:before="40"/>
      </w:pPr>
      <w:r>
        <w:rPr>
          <w:rFonts w:ascii="Arial" w:cs="Arial" w:eastAsia="Arial" w:hAnsi="Arial"/>
          <w:sz w:val="21"/>
          <w:szCs w:val="21"/>
        </w:rPr>
        <w:t xml:space="preserve">Every speech announces new agricultural schemes; no speech retrospectively evaluates scheme outcomes with specific metrics</w:t>
      </w:r>
    </w:p>
    <w:p>
      <w:pPr>
        <w:pStyle w:val="ListParagraph"/>
        <w:numPr>
          <w:ilvl w:val="0"/>
          <w:numId w:val="2"/>
        </w:numPr>
        <w:spacing w:after="40" w:before="40"/>
      </w:pPr>
      <w:r>
        <w:rPr>
          <w:rFonts w:ascii="Arial" w:cs="Arial" w:eastAsia="Arial" w:hAnsi="Arial"/>
          <w:sz w:val="21"/>
          <w:szCs w:val="21"/>
        </w:rPr>
        <w:t xml:space="preserve">Agricultural growth consistently cited in same speech that announces new support measures — the evidence of success and the evidence of needed support are simultaneously present</w:t>
      </w:r>
    </w:p>
    <w:p>
      <w:pPr>
        <w:pStyle w:val="ListParagraph"/>
        <w:numPr>
          <w:ilvl w:val="0"/>
          <w:numId w:val="2"/>
        </w:numPr>
        <w:spacing w:after="40" w:before="40"/>
      </w:pPr>
      <w:r>
        <w:rPr>
          <w:rFonts w:ascii="Arial" w:cs="Arial" w:eastAsia="Arial" w:hAnsi="Arial"/>
          <w:sz w:val="21"/>
          <w:szCs w:val="21"/>
        </w:rPr>
        <w:t xml:space="preserve">The 2025–26 speech introduces PM Dhan-Dhaanya for '100 districts with low productivity' — a structural acknowledgement of agricultural distress framed as opportunity</w:t>
      </w:r>
    </w:p>
    <w:p>
      <w:pPr>
        <w:pStyle w:val="ListParagraph"/>
        <w:numPr>
          <w:ilvl w:val="0"/>
          <w:numId w:val="2"/>
        </w:numPr>
        <w:spacing w:after="40" w:before="40"/>
      </w:pPr>
      <w:r>
        <w:rPr>
          <w:rFonts w:ascii="Arial" w:cs="Arial" w:eastAsia="Arial" w:hAnsi="Arial"/>
          <w:sz w:val="21"/>
          <w:szCs w:val="21"/>
        </w:rPr>
        <w:t xml:space="preserve">Organic/natural farming appears in 2022, Millets in 2022–23, pulses self-sufficiency in 2025–26 — a rotation of agricultural emphasis that suggests policy churn rather than coherent long-term strategy</w:t>
      </w:r>
    </w:p>
    <w:p>
      <w:pPr>
        <w:pStyle w:val="Heading2"/>
        <w:spacing w:after="120" w:before="280"/>
      </w:pPr>
      <w:r>
        <w:rPr>
          <w:rFonts w:ascii="Arial" w:cs="Arial" w:eastAsia="Arial" w:hAnsi="Arial"/>
          <w:b/>
          <w:bCs/>
          <w:color w:val="1F3A6B"/>
          <w:sz w:val="28"/>
          <w:szCs w:val="28"/>
        </w:rPr>
        <w:t xml:space="preserve">9.3 Technology &amp; AI: The Late-Stage Accelerant</w:t>
      </w:r>
    </w:p>
    <w:p>
      <w:pPr>
        <w:spacing w:after="80" w:before="80"/>
        <w:jc w:val="left"/>
      </w:pPr>
      <w:r>
        <w:rPr>
          <w:rFonts w:ascii="Arial" w:cs="Arial" w:eastAsia="Arial" w:hAnsi="Arial"/>
          <w:b w:val="false"/>
          <w:bCs w:val="false"/>
          <w:i w:val="false"/>
          <w:iCs w:val="false"/>
          <w:color w:val="000000"/>
          <w:sz w:val="22"/>
          <w:szCs w:val="22"/>
        </w:rPr>
        <w:t xml:space="preserve">Technology discourse undergoes the most dramatic late-stage acceleration in the corpus. From passing mentions in 2014–16, technology becomes a primary growth driver by 2022–26:</w:t>
      </w:r>
    </w:p>
    <w:p>
      <w:pPr>
        <w:pStyle w:val="ListParagraph"/>
        <w:numPr>
          <w:ilvl w:val="0"/>
          <w:numId w:val="2"/>
        </w:numPr>
        <w:spacing w:after="40" w:before="40"/>
      </w:pPr>
      <w:r>
        <w:rPr>
          <w:rFonts w:ascii="Arial" w:cs="Arial" w:eastAsia="Arial" w:hAnsi="Arial"/>
          <w:sz w:val="21"/>
          <w:szCs w:val="21"/>
        </w:rPr>
        <w:t xml:space="preserve">2014: E-visa, Digital India (enabling infrastructure framing)</w:t>
      </w:r>
    </w:p>
    <w:p>
      <w:pPr>
        <w:pStyle w:val="ListParagraph"/>
        <w:numPr>
          <w:ilvl w:val="0"/>
          <w:numId w:val="2"/>
        </w:numPr>
        <w:spacing w:after="40" w:before="40"/>
      </w:pPr>
      <w:r>
        <w:rPr>
          <w:rFonts w:ascii="Arial" w:cs="Arial" w:eastAsia="Arial" w:hAnsi="Arial"/>
          <w:sz w:val="21"/>
          <w:szCs w:val="21"/>
        </w:rPr>
        <w:t xml:space="preserve">2016–18: Digital India, Jan Dhan Yojana, UPI (inclusion framing)</w:t>
      </w:r>
    </w:p>
    <w:p>
      <w:pPr>
        <w:pStyle w:val="ListParagraph"/>
        <w:numPr>
          <w:ilvl w:val="0"/>
          <w:numId w:val="2"/>
        </w:numPr>
        <w:spacing w:after="40" w:before="40"/>
      </w:pPr>
      <w:r>
        <w:rPr>
          <w:rFonts w:ascii="Arial" w:cs="Arial" w:eastAsia="Arial" w:hAnsi="Arial"/>
          <w:sz w:val="21"/>
          <w:szCs w:val="21"/>
        </w:rPr>
        <w:t xml:space="preserve">2020–21: AI, machine learning, robotics cited as structural forces reshaping economy</w:t>
      </w:r>
    </w:p>
    <w:p>
      <w:pPr>
        <w:pStyle w:val="ListParagraph"/>
        <w:numPr>
          <w:ilvl w:val="0"/>
          <w:numId w:val="2"/>
        </w:numPr>
        <w:spacing w:after="40" w:before="40"/>
      </w:pPr>
      <w:r>
        <w:rPr>
          <w:rFonts w:ascii="Arial" w:cs="Arial" w:eastAsia="Arial" w:hAnsi="Arial"/>
          <w:sz w:val="21"/>
          <w:szCs w:val="21"/>
        </w:rPr>
        <w:t xml:space="preserve">2022–23: Digital rupee, cryptocurrency taxation, tech-enabled infrastructure</w:t>
      </w:r>
    </w:p>
    <w:p>
      <w:pPr>
        <w:pStyle w:val="ListParagraph"/>
        <w:numPr>
          <w:ilvl w:val="0"/>
          <w:numId w:val="2"/>
        </w:numPr>
        <w:spacing w:after="40" w:before="40"/>
      </w:pPr>
      <w:r>
        <w:rPr>
          <w:rFonts w:ascii="Arial" w:cs="Arial" w:eastAsia="Arial" w:hAnsi="Arial"/>
          <w:sz w:val="21"/>
          <w:szCs w:val="21"/>
        </w:rPr>
        <w:t xml:space="preserve">2025–26: AI, data centres, semiconductor ecosystem as sovereign capability</w:t>
      </w:r>
    </w:p>
    <w:p>
      <w:pPr>
        <w:pStyle w:val="ListParagraph"/>
        <w:numPr>
          <w:ilvl w:val="0"/>
          <w:numId w:val="2"/>
        </w:numPr>
        <w:spacing w:after="40" w:before="40"/>
      </w:pPr>
      <w:r>
        <w:rPr>
          <w:rFonts w:ascii="Arial" w:cs="Arial" w:eastAsia="Arial" w:hAnsi="Arial"/>
          <w:sz w:val="21"/>
          <w:szCs w:val="21"/>
        </w:rPr>
        <w:t xml:space="preserve">2026–27: AI as governance multiplier, ISM 2.0 for full-stack Indian IP</w:t>
      </w:r>
    </w:p>
    <w:p>
      <w:pPr>
        <w:spacing w:after="80" w:before="80"/>
        <w:jc w:val="left"/>
      </w:pPr>
      <w:r>
        <w:rPr>
          <w:rFonts w:ascii="Arial" w:cs="Arial" w:eastAsia="Arial" w:hAnsi="Arial"/>
          <w:b w:val="false"/>
          <w:bCs w:val="false"/>
          <w:i w:val="false"/>
          <w:iCs w:val="false"/>
          <w:color w:val="000000"/>
          <w:sz w:val="22"/>
          <w:szCs w:val="22"/>
        </w:rPr>
        <w:t xml:space="preserve">The technology semantic field has expanded from tool to sovereignty marker — AI capability is now framed as equivalent to nuclear or space capability in national prestige terms.</w:t>
      </w:r>
    </w:p>
    <w:p>
      <w:pPr>
        <w:pStyle w:val="Heading2"/>
        <w:spacing w:after="120" w:before="280"/>
      </w:pPr>
      <w:r>
        <w:rPr>
          <w:rFonts w:ascii="Arial" w:cs="Arial" w:eastAsia="Arial" w:hAnsi="Arial"/>
          <w:b/>
          <w:bCs/>
          <w:color w:val="1F3A6B"/>
          <w:sz w:val="28"/>
          <w:szCs w:val="28"/>
        </w:rPr>
        <w:t xml:space="preserve">9.4 Welfare Schemes: Proliferation and Branding</w:t>
      </w:r>
    </w:p>
    <w:p>
      <w:pPr>
        <w:spacing w:after="80" w:before="80"/>
        <w:jc w:val="left"/>
      </w:pPr>
      <w:r>
        <w:rPr>
          <w:rFonts w:ascii="Arial" w:cs="Arial" w:eastAsia="Arial" w:hAnsi="Arial"/>
          <w:b w:val="false"/>
          <w:bCs w:val="false"/>
          <w:i w:val="false"/>
          <w:iCs w:val="false"/>
          <w:color w:val="000000"/>
          <w:sz w:val="22"/>
          <w:szCs w:val="22"/>
        </w:rPr>
        <w:t xml:space="preserve">The corpus reveals a consistent pattern of welfare scheme proliferation with diminishing specificity. From 2014 to 2026, the number of named schemes per speech has approximately doubled. Each scheme is branded, acronym-encoded, and rhetorically elevated. Analytical risks include:</w:t>
      </w:r>
    </w:p>
    <w:p>
      <w:pPr>
        <w:pStyle w:val="ListParagraph"/>
        <w:numPr>
          <w:ilvl w:val="0"/>
          <w:numId w:val="2"/>
        </w:numPr>
        <w:spacing w:after="40" w:before="40"/>
      </w:pPr>
      <w:r>
        <w:rPr>
          <w:rFonts w:ascii="Arial" w:cs="Arial" w:eastAsia="Arial" w:hAnsi="Arial"/>
          <w:sz w:val="21"/>
          <w:szCs w:val="21"/>
        </w:rPr>
        <w:t xml:space="preserve">Scheme proliferation obscures accountability — which schemes are outcomes of which policies?</w:t>
      </w:r>
    </w:p>
    <w:p>
      <w:pPr>
        <w:pStyle w:val="ListParagraph"/>
        <w:numPr>
          <w:ilvl w:val="0"/>
          <w:numId w:val="2"/>
        </w:numPr>
        <w:spacing w:after="40" w:before="40"/>
      </w:pPr>
      <w:r>
        <w:rPr>
          <w:rFonts w:ascii="Arial" w:cs="Arial" w:eastAsia="Arial" w:hAnsi="Arial"/>
          <w:sz w:val="21"/>
          <w:szCs w:val="21"/>
        </w:rPr>
        <w:t xml:space="preserve">Branding saturation: By 2026, virtually every policy intervention is a named 'Mission', 'Scheme', or 'Abhiyan'</w:t>
      </w:r>
    </w:p>
    <w:p>
      <w:pPr>
        <w:pStyle w:val="ListParagraph"/>
        <w:numPr>
          <w:ilvl w:val="0"/>
          <w:numId w:val="2"/>
        </w:numPr>
        <w:spacing w:after="40" w:before="40"/>
      </w:pPr>
      <w:r>
        <w:rPr>
          <w:rFonts w:ascii="Arial" w:cs="Arial" w:eastAsia="Arial" w:hAnsi="Arial"/>
          <w:sz w:val="21"/>
          <w:szCs w:val="21"/>
        </w:rPr>
        <w:t xml:space="preserve">Symbolic loading: Scheme names carry emotional-ideological weight (PM Dhan-Dhaanya, Mahatma Gandhi Gram Swaraj) that signals value alignment rather than operational clarity</w:t>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X. FINAL SYNTHESIS &amp; RISK ANALYSIS</w:t>
      </w:r>
    </w:p>
    <w:p>
      <w:pPr>
        <w:pStyle w:val="Heading2"/>
        <w:spacing w:after="120" w:before="280"/>
      </w:pPr>
      <w:r>
        <w:rPr>
          <w:rFonts w:ascii="Arial" w:cs="Arial" w:eastAsia="Arial" w:hAnsi="Arial"/>
          <w:b/>
          <w:bCs/>
          <w:color w:val="1F3A6B"/>
          <w:sz w:val="28"/>
          <w:szCs w:val="28"/>
        </w:rPr>
        <w:t xml:space="preserve">10.1 Integrated Narrative Intelligence</w:t>
      </w:r>
    </w:p>
    <w:p>
      <w:pPr>
        <w:spacing w:after="80" w:before="80"/>
        <w:jc w:val="left"/>
      </w:pPr>
      <w:r>
        <w:rPr>
          <w:rFonts w:ascii="Arial" w:cs="Arial" w:eastAsia="Arial" w:hAnsi="Arial"/>
          <w:b w:val="false"/>
          <w:bCs w:val="false"/>
          <w:i w:val="false"/>
          <w:iCs w:val="false"/>
          <w:color w:val="000000"/>
          <w:sz w:val="22"/>
          <w:szCs w:val="22"/>
        </w:rPr>
        <w:t xml:space="preserve">The twelve Union Budget speeches from 2014 to 2026 constitute a coherent rhetorical project, not merely a sequence of annual fiscal documents. Across the corpus, a deliberate, evolving communication architecture has been constructed with the following structural properties:</w:t>
      </w:r>
    </w:p>
    <w:p>
      <w:pPr>
        <w:pStyle w:val="ListParagraph"/>
        <w:numPr>
          <w:ilvl w:val="0"/>
          <w:numId w:val="2"/>
        </w:numPr>
        <w:spacing w:after="40" w:before="40"/>
      </w:pPr>
      <w:r>
        <w:rPr>
          <w:rFonts w:ascii="Arial" w:cs="Arial" w:eastAsia="Arial" w:hAnsi="Arial"/>
          <w:sz w:val="21"/>
          <w:szCs w:val="21"/>
        </w:rPr>
        <w:t xml:space="preserve">Inviolable master narrative: India Rising — crisis → transformation → journey → destiny — is present and structurally dominant in every speech</w:t>
      </w:r>
    </w:p>
    <w:p>
      <w:pPr>
        <w:pStyle w:val="ListParagraph"/>
        <w:numPr>
          <w:ilvl w:val="0"/>
          <w:numId w:val="2"/>
        </w:numPr>
        <w:spacing w:after="40" w:before="40"/>
      </w:pPr>
      <w:r>
        <w:rPr>
          <w:rFonts w:ascii="Arial" w:cs="Arial" w:eastAsia="Arial" w:hAnsi="Arial"/>
          <w:sz w:val="21"/>
          <w:szCs w:val="21"/>
        </w:rPr>
        <w:t xml:space="preserve">Adaptive ideological framing: The ideological register shifts from liberal-technocratic (2014) to developmental-nationalist (2017–21) to civilisational-teleological (2022–26), reflecting both political evolution and changing global context</w:t>
      </w:r>
    </w:p>
    <w:p>
      <w:pPr>
        <w:pStyle w:val="ListParagraph"/>
        <w:numPr>
          <w:ilvl w:val="0"/>
          <w:numId w:val="2"/>
        </w:numPr>
        <w:spacing w:after="40" w:before="40"/>
      </w:pPr>
      <w:r>
        <w:rPr>
          <w:rFonts w:ascii="Arial" w:cs="Arial" w:eastAsia="Arial" w:hAnsi="Arial"/>
          <w:sz w:val="21"/>
          <w:szCs w:val="21"/>
        </w:rPr>
        <w:t xml:space="preserve">Systematic accountability buffering: Through escalating aspiration, external enemy construction, and strategic omission, the speeches consistently maximise credit-claiming and minimise accountability exposure</w:t>
      </w:r>
    </w:p>
    <w:p>
      <w:pPr>
        <w:pStyle w:val="ListParagraph"/>
        <w:numPr>
          <w:ilvl w:val="0"/>
          <w:numId w:val="2"/>
        </w:numPr>
        <w:spacing w:after="40" w:before="40"/>
      </w:pPr>
      <w:r>
        <w:rPr>
          <w:rFonts w:ascii="Arial" w:cs="Arial" w:eastAsia="Arial" w:hAnsi="Arial"/>
          <w:sz w:val="21"/>
          <w:szCs w:val="21"/>
        </w:rPr>
        <w:t xml:space="preserve">Cultural identity weaponisation: The systematic deployment of Sanskrit/vernacular cultural vocabulary integrates fiscal policy into a broader Hindu-nationalist civilisational project at the lexical level</w:t>
      </w:r>
    </w:p>
    <w:p>
      <w:pPr>
        <w:pStyle w:val="ListParagraph"/>
        <w:numPr>
          <w:ilvl w:val="0"/>
          <w:numId w:val="2"/>
        </w:numPr>
        <w:spacing w:after="40" w:before="40"/>
      </w:pPr>
      <w:r>
        <w:rPr>
          <w:rFonts w:ascii="Arial" w:cs="Arial" w:eastAsia="Arial" w:hAnsi="Arial"/>
          <w:sz w:val="21"/>
          <w:szCs w:val="21"/>
        </w:rPr>
        <w:t xml:space="preserve">Structural rhetorical permanence: COVID-19, the greatest potential disruptor of the narrative, was absorbed into and strengthened it — demonstrating the robustness of the rhetorical architecture</w:t>
      </w:r>
    </w:p>
    <w:p>
      <w:pPr>
        <w:pStyle w:val="Heading2"/>
        <w:spacing w:after="120" w:before="280"/>
      </w:pPr>
      <w:r>
        <w:rPr>
          <w:rFonts w:ascii="Arial" w:cs="Arial" w:eastAsia="Arial" w:hAnsi="Arial"/>
          <w:b/>
          <w:bCs/>
          <w:color w:val="1F3A6B"/>
          <w:sz w:val="28"/>
          <w:szCs w:val="28"/>
        </w:rPr>
        <w:t xml:space="preserve">10.2 Risk Analysis</w:t>
      </w:r>
    </w:p>
    <w:p>
      <w:pPr>
        <w:spacing w:after="80" w:before="200"/>
      </w:pPr>
      <w:r>
        <w:rPr>
          <w:rFonts w:ascii="Arial" w:cs="Arial" w:eastAsia="Arial" w:hAnsi="Arial"/>
          <w:b/>
          <w:bCs/>
          <w:color w:val="C0392B"/>
          <w:sz w:val="24"/>
          <w:szCs w:val="24"/>
        </w:rPr>
        <w:t xml:space="preserve">Rhetorical Risk: Aspiration Inflation</w:t>
      </w:r>
    </w:p>
    <w:p>
      <w:pPr>
        <w:spacing w:after="80" w:before="80"/>
        <w:jc w:val="left"/>
      </w:pPr>
      <w:r>
        <w:rPr>
          <w:rFonts w:ascii="Arial" w:cs="Arial" w:eastAsia="Arial" w:hAnsi="Arial"/>
          <w:b w:val="false"/>
          <w:bCs w:val="false"/>
          <w:i w:val="false"/>
          <w:iCs w:val="false"/>
          <w:color w:val="000000"/>
          <w:sz w:val="22"/>
          <w:szCs w:val="22"/>
        </w:rPr>
        <w:t xml:space="preserve">The consistent escalation of national aspirations (from 7–8% growth to $5T to Viksit Bharat@2047) creates an increasingly fragile credibility contract with audiences. Each year's aspiration must exceed last year's. Confidence Level: High.</w:t>
      </w:r>
    </w:p>
    <w:p>
      <w:pPr>
        <w:spacing w:after="80" w:before="200"/>
      </w:pPr>
      <w:r>
        <w:rPr>
          <w:rFonts w:ascii="Arial" w:cs="Arial" w:eastAsia="Arial" w:hAnsi="Arial"/>
          <w:b/>
          <w:bCs/>
          <w:color w:val="C0392B"/>
          <w:sz w:val="24"/>
          <w:szCs w:val="24"/>
        </w:rPr>
        <w:t xml:space="preserve">Semantic Risk: Meaning Depletion</w:t>
      </w:r>
    </w:p>
    <w:p>
      <w:pPr>
        <w:spacing w:after="80" w:before="80"/>
        <w:jc w:val="left"/>
      </w:pPr>
      <w:r>
        <w:rPr>
          <w:rFonts w:ascii="Arial" w:cs="Arial" w:eastAsia="Arial" w:hAnsi="Arial"/>
          <w:b w:val="false"/>
          <w:bCs w:val="false"/>
          <w:i w:val="false"/>
          <w:iCs w:val="false"/>
          <w:color w:val="000000"/>
          <w:sz w:val="22"/>
          <w:szCs w:val="22"/>
        </w:rPr>
        <w:t xml:space="preserve">Concepts like 'AtmaNirbhar', 'Viksit Bharat', and 'reform' are deployed so frequently across so many policy domains that they risk semantic depletion — becoming floating signifiers without operational content. Confidence Level: Moderate-High.</w:t>
      </w:r>
    </w:p>
    <w:p>
      <w:pPr>
        <w:spacing w:after="80" w:before="200"/>
      </w:pPr>
      <w:r>
        <w:rPr>
          <w:rFonts w:ascii="Arial" w:cs="Arial" w:eastAsia="Arial" w:hAnsi="Arial"/>
          <w:b/>
          <w:bCs/>
          <w:color w:val="C0392B"/>
          <w:sz w:val="24"/>
          <w:szCs w:val="24"/>
        </w:rPr>
        <w:t xml:space="preserve">Accountability Risk: Unverifiable Claims</w:t>
      </w:r>
    </w:p>
    <w:p>
      <w:pPr>
        <w:spacing w:after="80" w:before="80"/>
        <w:jc w:val="left"/>
      </w:pPr>
      <w:r>
        <w:rPr>
          <w:rFonts w:ascii="Arial" w:cs="Arial" w:eastAsia="Arial" w:hAnsi="Arial"/>
          <w:b w:val="false"/>
          <w:bCs w:val="false"/>
          <w:i w:val="false"/>
          <w:iCs w:val="false"/>
          <w:color w:val="000000"/>
          <w:sz w:val="22"/>
          <w:szCs w:val="22"/>
        </w:rPr>
        <w:t xml:space="preserve">The corpus contains a substantial density (estimated ~25%) of forward projections presented with high certainty. As these projections age, they create accountability liabilities that future speeches must navigate through contextualisation and replacement. Confidence Level: High.</w:t>
      </w:r>
    </w:p>
    <w:p>
      <w:pPr>
        <w:spacing w:after="80" w:before="200"/>
      </w:pPr>
      <w:r>
        <w:rPr>
          <w:rFonts w:ascii="Arial" w:cs="Arial" w:eastAsia="Arial" w:hAnsi="Arial"/>
          <w:b/>
          <w:bCs/>
          <w:color w:val="C0392B"/>
          <w:sz w:val="24"/>
          <w:szCs w:val="24"/>
        </w:rPr>
        <w:t xml:space="preserve">Narrative Risk: Delayed Delivery</w:t>
      </w:r>
    </w:p>
    <w:p>
      <w:pPr>
        <w:spacing w:after="80" w:before="80"/>
        <w:jc w:val="left"/>
      </w:pPr>
      <w:r>
        <w:rPr>
          <w:rFonts w:ascii="Arial" w:cs="Arial" w:eastAsia="Arial" w:hAnsi="Arial"/>
          <w:b w:val="false"/>
          <w:bCs w:val="false"/>
          <w:i w:val="false"/>
          <w:iCs w:val="false"/>
          <w:color w:val="000000"/>
          <w:sz w:val="22"/>
          <w:szCs w:val="22"/>
        </w:rPr>
        <w:t xml:space="preserve">The civilisational destiny frame (Amrit Kaal, India@100, Viksit Bharat) defers ultimate accountability to 2047 — creating a 21-year window of narrative insulation. This is rhetorically effective but epistemically risky if nearer-term benchmarks (zero poverty, 70% women in employment) are not achieved. Confidence Level: High.</w:t>
      </w:r>
    </w:p>
    <w:p>
      <w:pPr>
        <w:pStyle w:val="Heading2"/>
        <w:spacing w:after="120" w:before="280"/>
      </w:pPr>
      <w:r>
        <w:rPr>
          <w:rFonts w:ascii="Arial" w:cs="Arial" w:eastAsia="Arial" w:hAnsi="Arial"/>
          <w:b/>
          <w:bCs/>
          <w:color w:val="1F3A6B"/>
          <w:sz w:val="28"/>
          <w:szCs w:val="28"/>
        </w:rPr>
        <w:t xml:space="preserve">10.3 Confidence Calibration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Finding</w:t>
            </w:r>
          </w:p>
        </w:tc>
        <w:tc>
          <w:tcPr>
            <w:tcW w:type="dxa" w:w="25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Confidence Level</w:t>
            </w:r>
          </w:p>
        </w:tc>
        <w:tc>
          <w:tcPr>
            <w:tcW w:type="dxa" w:w="28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Evidence Basis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Ideological drift from liberal to nationalist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600"/>
                <w:sz w:val="19"/>
                <w:szCs w:val="19"/>
              </w:rPr>
              <w:t xml:space="preserve">VERY 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Cross-corpus lexical evidence</w:t>
            </w:r>
          </w:p>
        </w:tc>
      </w:tr>
      <w:tr>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Sanskrit lexicon as ideological signalling</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6600"/>
                <w:sz w:val="19"/>
                <w:szCs w:val="19"/>
              </w:rPr>
              <w:t xml:space="preserve">VERY HIGH</w:t>
            </w:r>
          </w:p>
        </w:tc>
        <w:tc>
          <w:tcPr>
            <w:tcW w:type="dxa" w:w="2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Consistent, escalating pattern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Fiscal target contradiction pattern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600"/>
                <w:sz w:val="19"/>
                <w:szCs w:val="19"/>
              </w:rPr>
              <w:t xml:space="preserve">VERY 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Verifiable against public data</w:t>
            </w:r>
          </w:p>
        </w:tc>
      </w:tr>
      <w:tr>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Employment claim opacity</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B5A9A"/>
                <w:sz w:val="19"/>
                <w:szCs w:val="19"/>
              </w:rPr>
              <w:t xml:space="preserve">HIGH</w:t>
            </w:r>
          </w:p>
        </w:tc>
        <w:tc>
          <w:tcPr>
            <w:tcW w:type="dxa" w:w="2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Metric inconsistency in corpus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COVID narrative absorption strategy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5A9A"/>
                <w:sz w:val="19"/>
                <w:szCs w:val="19"/>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Structural analysis of 2021–22 speech</w:t>
            </w:r>
          </w:p>
        </w:tc>
      </w:tr>
      <w:tr>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Welfare scheme proliferation/accountability deficit</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B5A9A"/>
                <w:sz w:val="19"/>
                <w:szCs w:val="19"/>
              </w:rPr>
              <w:t xml:space="preserve">HIGH</w:t>
            </w:r>
          </w:p>
        </w:tc>
        <w:tc>
          <w:tcPr>
            <w:tcW w:type="dxa" w:w="2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Corpus-wide scheme tracking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Authorship distinction (tax vs. narrative sections)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85500"/>
                <w:sz w:val="19"/>
                <w:szCs w:val="19"/>
              </w:rPr>
              <w:t xml:space="preserve">MODERATE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Stylometric inference</w:t>
            </w:r>
          </w:p>
        </w:tc>
      </w:tr>
      <w:tr>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Demonetisation narrative suppression</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885500"/>
                <w:sz w:val="19"/>
                <w:szCs w:val="19"/>
              </w:rPr>
              <w:t xml:space="preserve">MODERATE</w:t>
            </w:r>
          </w:p>
        </w:tc>
        <w:tc>
          <w:tcPr>
            <w:tcW w:type="dxa" w:w="2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Term frequency analysis</w:t>
            </w:r>
          </w:p>
        </w:tc>
      </w:tr>
    </w:tbl>
    <w:p>
      <w:pPr>
        <w:spacing w:after="80" w:before="80"/>
        <w:jc w:val="left"/>
      </w:pPr>
      <w:r>
        <w:rPr>
          <w:rFonts w:ascii="Arial" w:cs="Arial" w:eastAsia="Arial" w:hAnsi="Arial"/>
          <w:b w:val="false"/>
          <w:bCs w:val="false"/>
          <w:i w:val="false"/>
          <w:iCs w:val="false"/>
          <w:color w:val="000000"/>
          <w:sz w:val="22"/>
          <w:szCs w:val="22"/>
        </w:rPr>
        <w:t xml:space="preserve"/>
      </w:r>
    </w:p>
    <w:p>
      <w:pPr>
        <w:pBdr>
          <w:bottom w:val="single" w:color="DDDDDD" w:sz="4" w:space="1"/>
        </w:pBdr>
        <w:spacing w:after="120" w:before="120"/>
      </w:pPr>
      <w:r>
        <w:rPr>
          <w:sz w:val="4"/>
          <w:szCs w:val="4"/>
        </w:rPr>
        <w:t xml:space="preserve"/>
      </w:r>
    </w:p>
    <w:p>
      <w:pPr>
        <w:pStyle w:val="Heading1"/>
        <w:pBdr>
          <w:bottom w:val="single" w:color="1F3A6B" w:sz="8" w:space="4"/>
        </w:pBdr>
        <w:spacing w:after="160" w:before="360"/>
      </w:pPr>
      <w:r>
        <w:rPr>
          <w:rFonts w:ascii="Arial" w:cs="Arial" w:eastAsia="Arial" w:hAnsi="Arial"/>
          <w:b/>
          <w:bCs/>
          <w:color w:val="1F3A6B"/>
          <w:sz w:val="36"/>
          <w:szCs w:val="36"/>
        </w:rPr>
        <w:t xml:space="preserve">XI. CONCLUSION</w:t>
      </w:r>
    </w:p>
    <w:p>
      <w:pPr>
        <w:spacing w:after="80" w:before="120"/>
        <w:jc w:val="left"/>
      </w:pPr>
      <w:r>
        <w:rPr>
          <w:rFonts w:ascii="Arial" w:cs="Arial" w:eastAsia="Arial" w:hAnsi="Arial"/>
          <w:b w:val="false"/>
          <w:bCs w:val="false"/>
          <w:i w:val="false"/>
          <w:iCs w:val="false"/>
          <w:color w:val="000000"/>
          <w:sz w:val="22"/>
          <w:szCs w:val="22"/>
        </w:rPr>
        <w:t xml:space="preserve">India's Union Budget speeches from 2014 to 2026 constitute one of the most sophisticated and sustained exercises in fiscal-political rhetoric in the modern world. The speeches are not merely annual financial plans — they are meticulously engineered national narratives that accomplish multiple simultaneous objectives: affirming government legitimacy, constructing national identity, managing accountability exposure, and mobilising collective aspiration toward an ever-receding but emotionally compelling national destiny.</w:t>
      </w:r>
    </w:p>
    <w:p>
      <w:pPr>
        <w:spacing w:after="80" w:before="80"/>
        <w:jc w:val="left"/>
      </w:pPr>
      <w:r>
        <w:rPr>
          <w:rFonts w:ascii="Arial" w:cs="Arial" w:eastAsia="Arial" w:hAnsi="Arial"/>
          <w:b w:val="false"/>
          <w:bCs w:val="false"/>
          <w:i w:val="false"/>
          <w:iCs w:val="false"/>
          <w:color w:val="000000"/>
          <w:sz w:val="22"/>
          <w:szCs w:val="22"/>
        </w:rPr>
        <w:t xml:space="preserve">The analytical signature that emerges from this corpus is one of increasing rhetorical ambition coupled with decreasing epistemic precision — the speeches become grander in aspiration, richer in cultural vocabulary, more emotionally sophisticated, and more insulated from accountability as they progress from 2014 to 2026. This trajectory reflects both the political confidence of an entrenched governing coalition and the gravitational logic of political communication under democratic competitive pressure.</w:t>
      </w:r>
    </w:p>
    <w:p>
      <w:pPr>
        <w:spacing w:after="80" w:before="80"/>
        <w:jc w:val="left"/>
      </w:pPr>
      <w:r>
        <w:rPr>
          <w:rFonts w:ascii="Arial" w:cs="Arial" w:eastAsia="Arial" w:hAnsi="Arial"/>
          <w:b w:val="false"/>
          <w:bCs w:val="false"/>
          <w:i w:val="false"/>
          <w:iCs w:val="false"/>
          <w:color w:val="000000"/>
          <w:sz w:val="22"/>
          <w:szCs w:val="22"/>
        </w:rPr>
        <w:t xml:space="preserve">What distinguishes this corpus from comparative global budget discourse is the depth of civilisational framing — the extent to which fiscal policy has been embedded in a narrative of national destiny that appeals simultaneously to economic rationality, cultural pride, and historical consciousness. Whether this rhetorical architecture accelerates or impedes India's actual development trajectory remains a question that only the long arc of empirical outcomes can answer.</w:t>
      </w:r>
    </w:p>
    <w:p>
      <w:pPr>
        <w:pBdr>
          <w:left w:val="single" w:color="B8860B" w:sz="12" w:space="8"/>
        </w:pBdr>
        <w:spacing w:after="160" w:before="160"/>
        <w:ind w:left="720" w:right="360"/>
      </w:pPr>
      <w:r>
        <w:rPr>
          <w:rFonts w:ascii="Arial" w:cs="Arial" w:eastAsia="Arial" w:hAnsi="Arial"/>
          <w:i/>
          <w:iCs/>
          <w:color w:val="444444"/>
          <w:sz w:val="21"/>
          <w:szCs w:val="21"/>
        </w:rPr>
        <w:t xml:space="preserve">"Our aim is to transform aspiration into achievement and potential into performance."</w:t>
      </w:r>
      <w:r>
        <w:rPr>
          <w:rFonts w:ascii="Arial" w:cs="Arial" w:eastAsia="Arial" w:hAnsi="Arial"/>
          <w:b/>
          <w:bCs/>
          <w:color w:val="1F3A6B"/>
          <w:sz w:val="19"/>
          <w:szCs w:val="19"/>
        </w:rPr>
        <w:t xml:space="preserve">  — Sitharaman, Budget 2026–27</w:t>
      </w:r>
    </w:p>
    <w:p>
      <w:pPr>
        <w:spacing w:after="80" w:before="80"/>
        <w:jc w:val="left"/>
      </w:pPr>
      <w:r>
        <w:rPr>
          <w:rFonts w:ascii="Arial" w:cs="Arial" w:eastAsia="Arial" w:hAnsi="Arial"/>
          <w:b w:val="false"/>
          <w:bCs w:val="false"/>
          <w:i/>
          <w:iCs/>
          <w:color w:val="444444"/>
          <w:sz w:val="22"/>
          <w:szCs w:val="22"/>
        </w:rPr>
        <w:t xml:space="preserve">This phrase — arguably the corpus's most elegant encapsulation — functions simultaneously as policy commitment, cultural inspiration, and accountability deferral. It is the master key to twelve years of Union Budget rhetoric.</w:t>
      </w:r>
    </w:p>
    <w:p>
      <w:pPr>
        <w:spacing w:after="80" w:before="80"/>
        <w:jc w:val="left"/>
      </w:pPr>
      <w:r>
        <w:rPr>
          <w:rFonts w:ascii="Arial" w:cs="Arial" w:eastAsia="Arial" w:hAnsi="Arial"/>
          <w:b w:val="false"/>
          <w:bCs w:val="false"/>
          <w:i w:val="false"/>
          <w:iCs w:val="false"/>
          <w:color w:val="000000"/>
          <w:sz w:val="22"/>
          <w:szCs w:val="22"/>
        </w:rPr>
        <w:t xml:space="preserve"/>
      </w:r>
    </w:p>
    <w:p>
      <w:pPr>
        <w:spacing w:after="0" w:before="360"/>
        <w:jc w:val="right"/>
      </w:pPr>
      <w:r>
        <w:rPr>
          <w:rFonts w:ascii="Arial" w:cs="Arial" w:eastAsia="Arial" w:hAnsi="Arial"/>
          <w:b/>
          <w:bCs/>
          <w:color w:val="1F3A6B"/>
          <w:sz w:val="19"/>
          <w:szCs w:val="19"/>
        </w:rPr>
        <w:t xml:space="preserve">World-Class Textual Analyst v2.0.0</w:t>
      </w:r>
    </w:p>
    <w:p>
      <w:pPr>
        <w:spacing w:after="0" w:before="0"/>
        <w:jc w:val="right"/>
      </w:pPr>
      <w:r>
        <w:rPr>
          <w:rFonts w:ascii="Arial" w:cs="Arial" w:eastAsia="Arial" w:hAnsi="Arial"/>
          <w:i/>
          <w:iCs/>
          <w:color w:val="888888"/>
          <w:sz w:val="18"/>
          <w:szCs w:val="18"/>
        </w:rPr>
        <w:t xml:space="preserve">Applied to: India Union Budget Speeches 2014–2026</w:t>
      </w:r>
    </w:p>
    <w:p>
      <w:pPr>
        <w:spacing w:after="0" w:before="0"/>
        <w:jc w:val="right"/>
      </w:pPr>
      <w:r>
        <w:rPr>
          <w:rFonts w:ascii="Arial" w:cs="Arial" w:eastAsia="Arial" w:hAnsi="Arial"/>
          <w:color w:val="888888"/>
          <w:sz w:val="18"/>
          <w:szCs w:val="18"/>
        </w:rPr>
        <w:t xml:space="preserve">Data Sources: indiabudget.gov.in (Official Government of India)</w:t>
      </w:r>
    </w:p>
    <w:p>
      <w:pPr>
        <w:spacing w:after="0" w:before="0"/>
        <w:jc w:val="right"/>
      </w:pPr>
      <w:r>
        <w:rPr>
          <w:rFonts w:ascii="Arial" w:cs="Arial" w:eastAsia="Arial" w:hAnsi="Arial"/>
          <w:color w:val="888888"/>
          <w:sz w:val="18"/>
          <w:szCs w:val="18"/>
        </w:rPr>
        <w:t xml:space="preserve">Report Generated: May 2026 | Bhubaneswar, Odisha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2026-05-08T01:29:18.268Z</dcterms:created>
  <dcterms:modified xsi:type="dcterms:W3CDTF">2026-05-08T01:29:18.284Z</dcterms:modified>
</cp:coreProperties>
</file>

<file path=docProps/custom.xml><?xml version="1.0" encoding="utf-8"?>
<Properties xmlns="http://schemas.openxmlformats.org/officeDocument/2006/custom-properties" xmlns:vt="http://schemas.openxmlformats.org/officeDocument/2006/docPropsVTypes"/>
</file>