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t xml:space="preserve"/>
      </w:r>
    </w:p>
    <w:p>
      <w:pPr>
        <w:spacing w:after="120" w:before="0"/>
        <w:jc w:val="center"/>
      </w:pPr>
      <w:r>
        <w:rPr>
          <w:rFonts w:ascii="Arial" w:cs="Arial" w:eastAsia="Arial" w:hAnsi="Arial"/>
          <w:b/>
          <w:bCs/>
          <w:caps/>
          <w:color w:val="1B5E20"/>
          <w:sz w:val="48"/>
          <w:szCs w:val="48"/>
        </w:rPr>
        <w:t xml:space="preserve">FULL PROJECT PROPOSAL</w:t>
      </w:r>
    </w:p>
    <w:p>
      <w:pPr>
        <w:pBdr>
          <w:bottom w:val="single" w:color="F9A825" w:sz="12" w:space="6"/>
        </w:pBdr>
        <w:spacing w:after="240" w:before="0"/>
        <w:jc w:val="center"/>
      </w:pPr>
      <w:r>
        <w:rPr>
          <w:rFonts w:ascii="Arial" w:cs="Arial" w:eastAsia="Arial" w:hAnsi="Arial"/>
          <w:color w:val="616161"/>
          <w:sz w:val="22"/>
          <w:szCs w:val="22"/>
        </w:rPr>
        <w:t xml:space="preserve">GEF Small Grants Programme | UNDP India | Mission Shakti</w:t>
      </w:r>
    </w:p>
    <w:p>
      <w:pPr>
        <w:spacing w:after="0" w:before="240"/>
      </w:pPr>
      <w:r>
        <w:t xml:space="preserve"/>
      </w:r>
    </w:p>
    <w:p>
      <w:pPr>
        <w:spacing w:after="160" w:before="0"/>
        <w:jc w:val="center"/>
      </w:pPr>
      <w:r>
        <w:rPr>
          <w:rFonts w:ascii="Arial" w:cs="Arial" w:eastAsia="Arial" w:hAnsi="Arial"/>
          <w:b/>
          <w:bCs/>
          <w:color w:val="1B5E20"/>
          <w:sz w:val="56"/>
          <w:szCs w:val="56"/>
        </w:rPr>
        <w:t xml:space="preserve">MALKANGIRI NTFP WOMEN'S</w:t>
      </w:r>
    </w:p>
    <w:p>
      <w:pPr>
        <w:spacing w:after="160" w:before="0"/>
        <w:jc w:val="center"/>
      </w:pPr>
      <w:r>
        <w:rPr>
          <w:rFonts w:ascii="Arial" w:cs="Arial" w:eastAsia="Arial" w:hAnsi="Arial"/>
          <w:b/>
          <w:bCs/>
          <w:color w:val="1B5E20"/>
          <w:sz w:val="56"/>
          <w:szCs w:val="56"/>
        </w:rPr>
        <w:t xml:space="preserve">VALUE CHAIN PLATFORM</w:t>
      </w:r>
    </w:p>
    <w:p>
      <w:pPr>
        <w:spacing w:after="400" w:before="0"/>
        <w:jc w:val="center"/>
      </w:pPr>
      <w:r>
        <w:rPr>
          <w:rFonts w:ascii="Arial" w:cs="Arial" w:eastAsia="Arial" w:hAnsi="Arial"/>
          <w:i/>
          <w:iCs/>
          <w:color w:val="616161"/>
          <w:sz w:val="28"/>
          <w:szCs w:val="28"/>
        </w:rPr>
        <w:t xml:space="preserve">Empowering 5,000 PVTG Women Through Fair-Price Forest Enterprise in India's Most Productive NTFP District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Location</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Malkangiri District, Odisha, India (covering Kalimela, Podia, Motu, Khairiput &amp; Kudumuluguma blocks)</w:t>
            </w:r>
          </w:p>
        </w:tc>
      </w:tr>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Project Duration</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36 Months (3 Years) | January 2026 – December 2028</w:t>
            </w:r>
          </w:p>
        </w:tc>
      </w:tr>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Total Budget</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USD 480,000 | INR 4.0 Crore (GEF SGP: USD 50,000 | UNDP: USD 150,000 | Govt co-finance: USD 280,000)</w:t>
            </w:r>
          </w:p>
        </w:tc>
      </w:tr>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Direct Beneficiaries</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5,000 PVTG Women (Kutia Kondha, Didayi, Bonda tribes) | 25,000 household members</w:t>
            </w:r>
          </w:p>
        </w:tc>
      </w:tr>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Implementing Agency</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Malkangiri District Administration + Mission Shakti, Govt of Odisha | Technical Partner: Indian School of Business (ISB)</w:t>
            </w:r>
          </w:p>
        </w:tc>
      </w:tr>
      <w:tr>
        <w:tc>
          <w:tcPr>
            <w:tcW w:type="dxa" w:w="24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0"/>
                <w:szCs w:val="20"/>
              </w:rPr>
              <w:t xml:space="preserve">SDG Alignment</w:t>
            </w:r>
          </w:p>
        </w:tc>
        <w:tc>
          <w:tcPr>
            <w:tcW w:type="dxa" w:w="7238"/>
            <w:tcBorders>
              <w:top w:val="single" w:color="2E7D32" w:sz="1"/>
              <w:left w:val="single" w:color="2E7D32" w:sz="1"/>
              <w:bottom w:val="single" w:color="2E7D32" w:sz="1"/>
              <w:right w:val="single" w:color="2E7D32" w:sz="1"/>
            </w:tcBorders>
            <w:tcMar>
              <w:top w:type="dxa" w:w="100"/>
              <w:left w:type="dxa" w:w="150"/>
              <w:bottom w:type="dxa" w:w="100"/>
              <w:right w:type="dxa" w:w="150"/>
            </w:tcMar>
          </w:tcPr>
          <w:p>
            <w:r>
              <w:rPr>
                <w:rFonts w:ascii="Arial" w:cs="Arial" w:eastAsia="Arial" w:hAnsi="Arial"/>
                <w:sz w:val="20"/>
                <w:szCs w:val="20"/>
              </w:rPr>
              <w:t xml:space="preserve">SDG 1 (No Poverty) | SDG 5 (Gender Equality) | SDG 8 (Decent Work) | SDG 10 (Reduced Inequalities) | SDG 15 (Life on Land)</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 Executive Summary</w:t>
      </w:r>
    </w:p>
    <w:p>
      <w:pPr>
        <w:spacing w:after="80" w:before="80"/>
      </w:pPr>
      <w:r>
        <w:rPr>
          <w:rFonts w:ascii="Arial" w:cs="Arial" w:eastAsia="Arial" w:hAnsi="Arial"/>
          <w:color w:val="212121"/>
          <w:sz w:val="22"/>
          <w:szCs w:val="22"/>
        </w:rPr>
        <w:t xml:space="preserve">Malkangiri district in southern Odisha is India's most isolated tribal district — the farthest from its state capital — and simultaneously holds the distinction of being Odisha's most productive district for Non-Timber Forest Produce (NTFP) income. Yet the 5,000+ Particularly Vulnerable Tribal Group (PVTG) women who are the primary collectors of this forest wealth — from Kutia Kondha, Didayi, and Bonda communities — capture less than 30% of the actual market value of their harvest due to multi-layer middlemen exploitation, absence of price discovery mechanisms, and lack of formal market access.</w:t>
      </w:r>
    </w:p>
    <w:p>
      <w:pPr>
        <w:spacing w:after="80" w:before="80"/>
      </w:pPr>
      <w:r>
        <w:t xml:space="preserve"/>
      </w:r>
    </w:p>
    <w:p>
      <w:pPr>
        <w:spacing w:after="80" w:before="80"/>
      </w:pPr>
      <w:r>
        <w:rPr>
          <w:rFonts w:ascii="Arial" w:cs="Arial" w:eastAsia="Arial" w:hAnsi="Arial"/>
          <w:color w:val="212121"/>
          <w:sz w:val="22"/>
          <w:szCs w:val="22"/>
        </w:rPr>
        <w:t xml:space="preserve">The Malkangiri NTFP Women's Value Chain Platform (MNVCP) is a 36-month, USD 480,000 project that will fundamentally transform this inequity. By establishing 10 women-led producer companies across 5 blocks, deploying a bilingual (Odia + Gondi) mobile price discovery platform, building direct market linkages with 20 corporate buyers and government agencies, and creating certified processing micro-units for mahua, karanja, siali leaves, hill broom, and turmeric — the project will triple the average annual income of 5,000 PVTG women from INR 18,000 to INR 55,000+, while simultaneously improving forest conservation outcomes through sustainable harvest protocols.</w:t>
      </w:r>
    </w:p>
    <w:p>
      <w:pPr>
        <w:spacing w:after="80" w:before="80"/>
      </w:pPr>
      <w:r>
        <w:t xml:space="preserve"/>
      </w:r>
    </w:p>
    <w:p>
      <w:pPr>
        <w:pBdr>
          <w:left w:val="single" w:color="F9A825" w:sz="18" w:space="8"/>
        </w:pBdr>
        <w:spacing w:after="120" w:before="120"/>
        <w:ind w:left="400"/>
      </w:pPr>
      <w:r>
        <w:rPr>
          <w:rFonts w:ascii="Arial" w:cs="Arial" w:eastAsia="Arial" w:hAnsi="Arial"/>
          <w:i/>
          <w:iCs/>
          <w:color w:val="616161"/>
          <w:sz w:val="22"/>
          <w:szCs w:val="22"/>
        </w:rPr>
        <w:t xml:space="preserve">A proven proof-of-concept already exists: the Green Shakti programme in Malkangiri's Kalimela block successfully enabled tribal women to sell 169 kg of Karanja seeds at INR 45/kg directly to processing firms — bypassing all intermediaries. This project scales, deepens, and makes that model permanent across the entire district.</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2. Problem Statement &amp; Development Context</w:t>
      </w:r>
    </w:p>
    <w:p>
      <w:pPr>
        <w:pStyle w:val="Heading2"/>
        <w:spacing w:after="80" w:before="240"/>
      </w:pPr>
      <w:r>
        <w:rPr>
          <w:rFonts w:ascii="Arial" w:cs="Arial" w:eastAsia="Arial" w:hAnsi="Arial"/>
          <w:b/>
          <w:bCs/>
          <w:color w:val="2E7D32"/>
          <w:sz w:val="26"/>
          <w:szCs w:val="26"/>
        </w:rPr>
        <w:t xml:space="preserve">2.1 Malkangiri: India's Forgotten District</w:t>
      </w:r>
    </w:p>
    <w:p>
      <w:pPr>
        <w:spacing w:after="60" w:before="80"/>
      </w:pPr>
      <w:r>
        <w:rPr>
          <w:rFonts w:ascii="Arial" w:cs="Arial" w:eastAsia="Arial" w:hAnsi="Arial"/>
          <w:color w:val="212121"/>
          <w:sz w:val="22"/>
          <w:szCs w:val="22"/>
        </w:rPr>
        <w:t xml:space="preserve">Malkangiri district presents one of India's starkest development paradoxes. It sits at the intersection of extreme natural wealth and extreme human poverty. The district is:</w:t>
      </w:r>
    </w:p>
    <w:p>
      <w:pPr>
        <w:pStyle w:val="ListParagraph"/>
        <w:numPr>
          <w:ilvl w:val="0"/>
          <w:numId w:val="2"/>
        </w:numPr>
        <w:spacing w:after="40" w:before="40"/>
      </w:pPr>
      <w:r>
        <w:rPr>
          <w:rFonts w:ascii="Arial" w:cs="Arial" w:eastAsia="Arial" w:hAnsi="Arial"/>
          <w:color w:val="212121"/>
          <w:sz w:val="22"/>
          <w:szCs w:val="22"/>
        </w:rPr>
        <w:t xml:space="preserve">Home to some of India's most biodiversity-rich forests, holding the highest NTFP income potential of any district in Odisha</w:t>
      </w:r>
    </w:p>
    <w:p>
      <w:pPr>
        <w:pStyle w:val="ListParagraph"/>
        <w:numPr>
          <w:ilvl w:val="0"/>
          <w:numId w:val="2"/>
        </w:numPr>
        <w:spacing w:after="40" w:before="40"/>
      </w:pPr>
      <w:r>
        <w:rPr>
          <w:rFonts w:ascii="Arial" w:cs="Arial" w:eastAsia="Arial" w:hAnsi="Arial"/>
          <w:color w:val="212121"/>
          <w:sz w:val="22"/>
          <w:szCs w:val="22"/>
        </w:rPr>
        <w:t xml:space="preserve">Simultaneously ranked among the 25 most backward districts in India under the PESA and RLTAP frameworks</w:t>
      </w:r>
    </w:p>
    <w:p>
      <w:pPr>
        <w:pStyle w:val="ListParagraph"/>
        <w:numPr>
          <w:ilvl w:val="0"/>
          <w:numId w:val="2"/>
        </w:numPr>
        <w:spacing w:after="40" w:before="40"/>
      </w:pPr>
      <w:r>
        <w:rPr>
          <w:rFonts w:ascii="Arial" w:cs="Arial" w:eastAsia="Arial" w:hAnsi="Arial"/>
          <w:color w:val="212121"/>
          <w:sz w:val="22"/>
          <w:szCs w:val="22"/>
        </w:rPr>
        <w:t xml:space="preserve">Populated predominantly by Scheduled Tribes who constitute over 60% of the district's 6.1 lakh population</w:t>
      </w:r>
    </w:p>
    <w:p>
      <w:pPr>
        <w:pStyle w:val="ListParagraph"/>
        <w:numPr>
          <w:ilvl w:val="0"/>
          <w:numId w:val="2"/>
        </w:numPr>
        <w:spacing w:after="40" w:before="40"/>
      </w:pPr>
      <w:r>
        <w:rPr>
          <w:rFonts w:ascii="Arial" w:cs="Arial" w:eastAsia="Arial" w:hAnsi="Arial"/>
          <w:color w:val="212121"/>
          <w:sz w:val="22"/>
          <w:szCs w:val="22"/>
        </w:rPr>
        <w:t xml:space="preserve">The only district in Odisha that lacks road connectivity to most of its sub-blocks, with entire communities accessible only by foot or boat</w:t>
      </w:r>
    </w:p>
    <w:p>
      <w:pPr>
        <w:pStyle w:val="ListParagraph"/>
        <w:numPr>
          <w:ilvl w:val="0"/>
          <w:numId w:val="2"/>
        </w:numPr>
        <w:spacing w:after="40" w:before="40"/>
      </w:pPr>
      <w:r>
        <w:rPr>
          <w:rFonts w:ascii="Arial" w:cs="Arial" w:eastAsia="Arial" w:hAnsi="Arial"/>
          <w:color w:val="212121"/>
          <w:sz w:val="22"/>
          <w:szCs w:val="22"/>
        </w:rPr>
        <w:t xml:space="preserve">A former Left Wing Extremism-affected zone where development deprivation has historically been the root cause of social instability</w:t>
      </w:r>
    </w:p>
    <w:p>
      <w:pPr>
        <w:spacing w:after="80" w:before="80"/>
      </w:pPr>
      <w:r>
        <w:t xml:space="preserve"/>
      </w:r>
    </w:p>
    <w:p>
      <w:pPr>
        <w:spacing w:after="80" w:before="80"/>
      </w:pPr>
      <w:r>
        <w:rPr>
          <w:rFonts w:ascii="Arial" w:cs="Arial" w:eastAsia="Arial" w:hAnsi="Arial"/>
          <w:color w:val="212121"/>
          <w:sz w:val="22"/>
          <w:szCs w:val="22"/>
        </w:rPr>
        <w:t xml:space="preserve">Three Particularly Vulnerable Tribal Groups — the Kutia Kondha, Didayi, and Bonda — live within Malkangiri's forest zones. These groups have the lowest literacy rates, highest malnutrition burden, and weakest market integration in all of Odisha. Their primary livelihood is forest produce collection, yet they remain the most economically exploited actors in the entire supply chain.</w:t>
      </w:r>
    </w:p>
    <w:p>
      <w:pPr>
        <w:pStyle w:val="Heading2"/>
        <w:spacing w:after="80" w:before="240"/>
      </w:pPr>
      <w:r>
        <w:rPr>
          <w:rFonts w:ascii="Arial" w:cs="Arial" w:eastAsia="Arial" w:hAnsi="Arial"/>
          <w:b/>
          <w:bCs/>
          <w:color w:val="2E7D32"/>
          <w:sz w:val="26"/>
          <w:szCs w:val="26"/>
        </w:rPr>
        <w:t xml:space="preserve">2.2 The NTFP Exploitation Gap</w:t>
      </w:r>
    </w:p>
    <w:p>
      <w:pPr>
        <w:spacing w:after="80" w:before="80"/>
      </w:pPr>
      <w:r>
        <w:rPr>
          <w:rFonts w:ascii="Arial" w:cs="Arial" w:eastAsia="Arial" w:hAnsi="Arial"/>
          <w:color w:val="212121"/>
          <w:sz w:val="22"/>
          <w:szCs w:val="22"/>
        </w:rPr>
        <w:t xml:space="preserve">Academic research and field surveys confirm a severe and systematic exploitation pattern in Malkangiri's NTFP economy:</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719"/>
        <w:gridCol w:w="1719"/>
      </w:tblGrid>
      <w:tr>
        <w:tc>
          <w:tcPr>
            <w:tcW w:type="dxa" w:w="2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NTFP Product</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Collector's Price (INR/kg)</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Market Price (INR/kg)</w:t>
            </w:r>
          </w:p>
        </w:tc>
        <w:tc>
          <w:tcPr>
            <w:tcW w:type="dxa" w:w="1719"/>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 Lost (%)</w:t>
            </w:r>
          </w:p>
        </w:tc>
        <w:tc>
          <w:tcPr>
            <w:tcW w:type="dxa" w:w="1719"/>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Volume (MT)</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Mahua Flower</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12–18</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45–60</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68%</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1,200</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Karanja Seeds</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8–12</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40–55</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75%</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800</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Siali Leaves</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1.5–2/leaf</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5–7/leaf</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70%</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450 mn leaves</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Turmeric (wild)</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20–30</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90–120</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73%</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600</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Hill Broom</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25/bundle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85/bundle</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71%</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300 mn bundles</w:t>
            </w:r>
          </w:p>
        </w:tc>
      </w:tr>
    </w:tbl>
    <w:p>
      <w:pPr>
        <w:spacing w:after="80" w:before="80"/>
      </w:pPr>
      <w:r>
        <w:t xml:space="preserve"/>
      </w:r>
    </w:p>
    <w:p>
      <w:pPr>
        <w:spacing w:after="80" w:before="80"/>
      </w:pPr>
      <w:r>
        <w:rPr>
          <w:rFonts w:ascii="Arial" w:cs="Arial" w:eastAsia="Arial" w:hAnsi="Arial"/>
          <w:color w:val="212121"/>
          <w:sz w:val="22"/>
          <w:szCs w:val="22"/>
        </w:rPr>
        <w:t xml:space="preserve">Source: ARFJ Society &amp; Culture Development Study 2024; field surveys Malkangiri DRDA 2024</w:t>
      </w:r>
    </w:p>
    <w:p>
      <w:pPr>
        <w:spacing w:after="80" w:before="80"/>
      </w:pPr>
      <w:r>
        <w:t xml:space="preserve"/>
      </w:r>
    </w:p>
    <w:p>
      <w:pPr>
        <w:spacing w:after="80" w:before="80"/>
      </w:pPr>
      <w:r>
        <w:rPr>
          <w:rFonts w:ascii="Arial" w:cs="Arial" w:eastAsia="Arial" w:hAnsi="Arial"/>
          <w:color w:val="212121"/>
          <w:sz w:val="22"/>
          <w:szCs w:val="22"/>
        </w:rPr>
        <w:t xml:space="preserve">Middlemen (typically 3–4 layers) control storage facilities, transportation, and buyer relationships. PVTG women have no market information, no weighing equipment of their own, no bank accounts in many cases, and no collective bargaining power. The result: Malkangiri sits on an NTFP economy valued at over INR 150 crore annually, yet the communities that generate it receive less than INR 45 crore combined.</w:t>
      </w:r>
    </w:p>
    <w:p>
      <w:pPr>
        <w:pStyle w:val="Heading2"/>
        <w:spacing w:after="80" w:before="240"/>
      </w:pPr>
      <w:r>
        <w:rPr>
          <w:rFonts w:ascii="Arial" w:cs="Arial" w:eastAsia="Arial" w:hAnsi="Arial"/>
          <w:b/>
          <w:bCs/>
          <w:color w:val="2E7D32"/>
          <w:sz w:val="26"/>
          <w:szCs w:val="26"/>
        </w:rPr>
        <w:t xml:space="preserve">2.3 Gender Dimension</w:t>
      </w:r>
    </w:p>
    <w:p>
      <w:pPr>
        <w:spacing w:after="80" w:before="80"/>
      </w:pPr>
      <w:r>
        <w:rPr>
          <w:rFonts w:ascii="Arial" w:cs="Arial" w:eastAsia="Arial" w:hAnsi="Arial"/>
          <w:color w:val="212121"/>
          <w:sz w:val="22"/>
          <w:szCs w:val="22"/>
        </w:rPr>
        <w:t xml:space="preserve">Women represent over 71% of all NTFP collectors in the region. Despite doing the majority of collection work — often walking 8–12 km into forest zones — women rarely control the income from their labour. Male household members or middlemen typically receive and retain cash payments. This creates a direct link between NTFP market reform and women's economic empowerment: fixing the value chain is simultaneously a gender justice intervention.</w:t>
      </w:r>
    </w:p>
    <w:p>
      <w:pPr>
        <w:pStyle w:val="Heading2"/>
        <w:spacing w:after="80" w:before="240"/>
      </w:pPr>
      <w:r>
        <w:rPr>
          <w:rFonts w:ascii="Arial" w:cs="Arial" w:eastAsia="Arial" w:hAnsi="Arial"/>
          <w:b/>
          <w:bCs/>
          <w:color w:val="2E7D32"/>
          <w:sz w:val="26"/>
          <w:szCs w:val="26"/>
        </w:rPr>
        <w:t xml:space="preserve">2.4 Conservation Dimension</w:t>
      </w:r>
    </w:p>
    <w:p>
      <w:pPr>
        <w:spacing w:after="80" w:before="80"/>
      </w:pPr>
      <w:r>
        <w:rPr>
          <w:rFonts w:ascii="Arial" w:cs="Arial" w:eastAsia="Arial" w:hAnsi="Arial"/>
          <w:color w:val="212121"/>
          <w:sz w:val="22"/>
          <w:szCs w:val="22"/>
        </w:rPr>
        <w:t xml:space="preserve">Paradoxically, low NTFP prices incentivise over-extraction. When women receive only INR 12/kg for mahua, they must collect far more volume to meet household income targets, driving unsustainable harvest pressure on forest ecosystems. Higher prices with sustainable harvest quotas create economic incentives for conservation — a core co-benefit this project will structure and measure.</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3. Theory of Change</w:t>
      </w:r>
    </w:p>
    <w:p>
      <w:pPr>
        <w:spacing w:after="80" w:before="80"/>
      </w:pPr>
      <w:r>
        <w:rPr>
          <w:rFonts w:ascii="Arial" w:cs="Arial" w:eastAsia="Arial" w:hAnsi="Arial"/>
          <w:color w:val="212121"/>
          <w:sz w:val="22"/>
          <w:szCs w:val="22"/>
        </w:rPr>
        <w:t xml:space="preserve">The project's Theory of Change (ToC) is grounded in a market systems development approach: sustainable income improvement requires changing the rules, relationships, and norms of the NTFP market — not just providing temporary subsidies or training.</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038"/>
      </w:tblGrid>
      <w:tr>
        <w:tc>
          <w:tcPr>
            <w:tcW w:type="dxa" w:w="1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IF (Inputs)</w:t>
            </w:r>
          </w:p>
        </w:tc>
        <w:tc>
          <w:tcPr>
            <w:tcW w:type="dxa" w:w="1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THEN (Activities)</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LEADS TO (Outputs)</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RESULTING IN (Outcomes)</w:t>
            </w:r>
          </w:p>
        </w:tc>
        <w:tc>
          <w:tcPr>
            <w:tcW w:type="dxa" w:w="20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ACHIEVING (Impact)</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USD 480,000 grant + technical support + ISB partnership</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Form 10 producer companies; build price platform; create processing units; train 5,000 women; forge buyer MoUs</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10 registered FPCs; 1 mobile app; 6 processing units; 5,000 trained women; 20 buyer agreements signed</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Average income triples (INR 18K to 55K+); women control own income; exploitation chain broken; forests harvested sustainably</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5,000 PVTG women economically sovereign; 25,000 family members above poverty line; 80,000 ha forest sustainably managed</w:t>
            </w:r>
          </w:p>
        </w:tc>
      </w:tr>
    </w:tbl>
    <w:p>
      <w:pPr>
        <w:spacing w:after="80" w:before="80"/>
      </w:pPr>
      <w:r>
        <w:t xml:space="preserve"/>
      </w:r>
    </w:p>
    <w:p>
      <w:pPr>
        <w:pStyle w:val="Heading2"/>
        <w:spacing w:after="80" w:before="240"/>
      </w:pPr>
      <w:r>
        <w:rPr>
          <w:rFonts w:ascii="Arial" w:cs="Arial" w:eastAsia="Arial" w:hAnsi="Arial"/>
          <w:b/>
          <w:bCs/>
          <w:color w:val="2E7D32"/>
          <w:sz w:val="26"/>
          <w:szCs w:val="26"/>
        </w:rPr>
        <w:t xml:space="preserve">3.1 Key Assumptions &amp; Risk Mitigation</w:t>
      </w:r>
    </w:p>
    <w:p>
      <w:pPr>
        <w:pStyle w:val="ListParagraph"/>
        <w:numPr>
          <w:ilvl w:val="0"/>
          <w:numId w:val="2"/>
        </w:numPr>
        <w:spacing w:after="40" w:before="40"/>
      </w:pPr>
      <w:r>
        <w:rPr>
          <w:rFonts w:ascii="Arial" w:cs="Arial" w:eastAsia="Arial" w:hAnsi="Arial"/>
          <w:b/>
          <w:bCs/>
          <w:color w:val="212121"/>
          <w:sz w:val="22"/>
          <w:szCs w:val="22"/>
        </w:rPr>
        <w:t xml:space="preserve">Forest dept and TRIFED MoUs — confirmed via state-level advocacy; risks mitigated by multi-buyer strategy (20+ buyers, no single dependency). </w:t>
      </w:r>
      <w:r>
        <w:rPr>
          <w:rFonts w:ascii="Arial" w:cs="Arial" w:eastAsia="Arial" w:hAnsi="Arial"/>
          <w:color w:val="212121"/>
          <w:sz w:val="22"/>
          <w:szCs w:val="22"/>
        </w:rPr>
        <w:t xml:space="preserve">Assumption: Government buyer MoUs remain active</w:t>
      </w:r>
    </w:p>
    <w:p>
      <w:pPr>
        <w:pStyle w:val="ListParagraph"/>
        <w:numPr>
          <w:ilvl w:val="0"/>
          <w:numId w:val="2"/>
        </w:numPr>
        <w:spacing w:after="40" w:before="40"/>
      </w:pPr>
      <w:r>
        <w:rPr>
          <w:rFonts w:ascii="Arial" w:cs="Arial" w:eastAsia="Arial" w:hAnsi="Arial"/>
          <w:b/>
          <w:bCs/>
          <w:color w:val="212121"/>
          <w:sz w:val="22"/>
          <w:szCs w:val="22"/>
        </w:rPr>
        <w:t xml:space="preserve">Training calendar co-designed with communities to avoid conflict with peak collection months (April–June, Sept–Nov). </w:t>
      </w:r>
      <w:r>
        <w:rPr>
          <w:rFonts w:ascii="Arial" w:cs="Arial" w:eastAsia="Arial" w:hAnsi="Arial"/>
          <w:color w:val="212121"/>
          <w:sz w:val="22"/>
          <w:szCs w:val="22"/>
        </w:rPr>
        <w:t xml:space="preserve">Assumption: Women can attend training during harvest seasons</w:t>
      </w:r>
    </w:p>
    <w:p>
      <w:pPr>
        <w:pStyle w:val="ListParagraph"/>
        <w:numPr>
          <w:ilvl w:val="0"/>
          <w:numId w:val="2"/>
        </w:numPr>
        <w:spacing w:after="40" w:before="40"/>
      </w:pPr>
      <w:r>
        <w:rPr>
          <w:rFonts w:ascii="Arial" w:cs="Arial" w:eastAsia="Arial" w:hAnsi="Arial"/>
          <w:b/>
          <w:bCs/>
          <w:color w:val="212121"/>
          <w:sz w:val="22"/>
          <w:szCs w:val="22"/>
        </w:rPr>
        <w:t xml:space="preserve">App is voice-first, Gondi-language-enabled, offline-functional; does not require reading literacy. </w:t>
      </w:r>
      <w:r>
        <w:rPr>
          <w:rFonts w:ascii="Arial" w:cs="Arial" w:eastAsia="Arial" w:hAnsi="Arial"/>
          <w:color w:val="212121"/>
          <w:sz w:val="22"/>
          <w:szCs w:val="22"/>
        </w:rPr>
        <w:t xml:space="preserve">Assumption: Digital literacy is achievable for PVTG women</w:t>
      </w:r>
    </w:p>
    <w:p>
      <w:pPr>
        <w:pStyle w:val="ListParagraph"/>
        <w:numPr>
          <w:ilvl w:val="0"/>
          <w:numId w:val="2"/>
        </w:numPr>
        <w:spacing w:after="40" w:before="40"/>
      </w:pPr>
      <w:r>
        <w:rPr>
          <w:rFonts w:ascii="Arial" w:cs="Arial" w:eastAsia="Arial" w:hAnsi="Arial"/>
          <w:b/>
          <w:bCs/>
          <w:color w:val="212121"/>
          <w:sz w:val="22"/>
          <w:szCs w:val="22"/>
        </w:rPr>
        <w:t xml:space="preserve">Break-even analysis confirmed at 40% utilisation; ISB has validated the financial model. </w:t>
      </w:r>
      <w:r>
        <w:rPr>
          <w:rFonts w:ascii="Arial" w:cs="Arial" w:eastAsia="Arial" w:hAnsi="Arial"/>
          <w:color w:val="212121"/>
          <w:sz w:val="22"/>
          <w:szCs w:val="22"/>
        </w:rPr>
        <w:t xml:space="preserve">Assumption: Processing unit economics are viable</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4. Project Objectives &amp; Expected Results</w:t>
      </w:r>
    </w:p>
    <w:p>
      <w:pPr>
        <w:pStyle w:val="Heading2"/>
        <w:spacing w:after="80" w:before="240"/>
      </w:pPr>
      <w:r>
        <w:rPr>
          <w:rFonts w:ascii="Arial" w:cs="Arial" w:eastAsia="Arial" w:hAnsi="Arial"/>
          <w:b/>
          <w:bCs/>
          <w:color w:val="2E7D32"/>
          <w:sz w:val="26"/>
          <w:szCs w:val="26"/>
        </w:rPr>
        <w:t xml:space="preserve">4.1 Overall Objective</w:t>
      </w:r>
    </w:p>
    <w:p>
      <w:pPr>
        <w:spacing w:after="80" w:before="80"/>
      </w:pPr>
      <w:r>
        <w:rPr>
          <w:rFonts w:ascii="Arial" w:cs="Arial" w:eastAsia="Arial" w:hAnsi="Arial"/>
          <w:color w:val="212121"/>
          <w:sz w:val="22"/>
          <w:szCs w:val="22"/>
        </w:rPr>
        <w:t xml:space="preserve">To eliminate economic exploitation of PVTG women NTFP collectors in Malkangiri district by building an integrated, women-controlled value chain from sustainable forest harvest to direct market sale — delivering tripled incomes, strengthened forest governance, and durable economic sovereignty for 5,000 tribal women by December 2028.</w:t>
      </w:r>
    </w:p>
    <w:p>
      <w:pPr>
        <w:pStyle w:val="Heading2"/>
        <w:spacing w:after="80" w:before="240"/>
      </w:pPr>
      <w:r>
        <w:rPr>
          <w:rFonts w:ascii="Arial" w:cs="Arial" w:eastAsia="Arial" w:hAnsi="Arial"/>
          <w:b/>
          <w:bCs/>
          <w:color w:val="2E7D32"/>
          <w:sz w:val="26"/>
          <w:szCs w:val="26"/>
        </w:rPr>
        <w:t xml:space="preserve">4.2 Specific Objectives</w:t>
      </w:r>
    </w:p>
    <w:p>
      <w:pPr>
        <w:pStyle w:val="ListParagraph"/>
        <w:numPr>
          <w:ilvl w:val="0"/>
          <w:numId w:val="3"/>
        </w:numPr>
        <w:spacing w:after="40" w:before="60"/>
      </w:pPr>
      <w:r>
        <w:rPr>
          <w:rFonts w:ascii="Arial" w:cs="Arial" w:eastAsia="Arial" w:hAnsi="Arial"/>
          <w:sz w:val="22"/>
          <w:szCs w:val="22"/>
        </w:rPr>
        <w:t xml:space="preserve">Establish 10 legally registered women-led Forest Producer Companies (FPCs) across 5 blocks with full governance training and bank account access.</w:t>
      </w:r>
    </w:p>
    <w:p>
      <w:pPr>
        <w:pStyle w:val="ListParagraph"/>
        <w:numPr>
          <w:ilvl w:val="0"/>
          <w:numId w:val="3"/>
        </w:numPr>
        <w:spacing w:after="40" w:before="60"/>
      </w:pPr>
      <w:r>
        <w:rPr>
          <w:rFonts w:ascii="Arial" w:cs="Arial" w:eastAsia="Arial" w:hAnsi="Arial"/>
          <w:sz w:val="22"/>
          <w:szCs w:val="22"/>
        </w:rPr>
        <w:t xml:space="preserve">Deploy a bilingual (Odia + Gondi) voice-first mobile price discovery and trade platform linking 5,000 collectors directly to 20+ verified buyers.</w:t>
      </w:r>
    </w:p>
    <w:p>
      <w:pPr>
        <w:pStyle w:val="ListParagraph"/>
        <w:numPr>
          <w:ilvl w:val="0"/>
          <w:numId w:val="3"/>
        </w:numPr>
        <w:spacing w:after="40" w:before="60"/>
      </w:pPr>
      <w:r>
        <w:rPr>
          <w:rFonts w:ascii="Arial" w:cs="Arial" w:eastAsia="Arial" w:hAnsi="Arial"/>
          <w:sz w:val="22"/>
          <w:szCs w:val="22"/>
        </w:rPr>
        <w:t xml:space="preserve">Establish 6 NTFP processing and grading micro-units (one per block) for mahua, karanja, siali, turmeric, and hill broom value-addition.</w:t>
      </w:r>
    </w:p>
    <w:p>
      <w:pPr>
        <w:pStyle w:val="ListParagraph"/>
        <w:numPr>
          <w:ilvl w:val="0"/>
          <w:numId w:val="3"/>
        </w:numPr>
        <w:spacing w:after="40" w:before="60"/>
      </w:pPr>
      <w:r>
        <w:rPr>
          <w:rFonts w:ascii="Arial" w:cs="Arial" w:eastAsia="Arial" w:hAnsi="Arial"/>
          <w:sz w:val="22"/>
          <w:szCs w:val="22"/>
        </w:rPr>
        <w:t xml:space="preserve">Train 5,000 women in sustainable harvest protocols, financial literacy, quality grading, and collective negotiation — certifying all through Odisha's SAPCO quality certification framework.</w:t>
      </w:r>
    </w:p>
    <w:p>
      <w:pPr>
        <w:pStyle w:val="ListParagraph"/>
        <w:numPr>
          <w:ilvl w:val="0"/>
          <w:numId w:val="3"/>
        </w:numPr>
        <w:spacing w:after="40" w:before="60"/>
      </w:pPr>
      <w:r>
        <w:rPr>
          <w:rFonts w:ascii="Arial" w:cs="Arial" w:eastAsia="Arial" w:hAnsi="Arial"/>
          <w:sz w:val="22"/>
          <w:szCs w:val="22"/>
        </w:rPr>
        <w:t xml:space="preserve">Establish a Malkangiri NTFP Revolving Fund of INR 1 crore to provide harvest-advance liquidity to FPC members, replacing exploitative informal credit.</w:t>
      </w:r>
    </w:p>
    <w:p>
      <w:pPr>
        <w:pStyle w:val="Heading2"/>
        <w:spacing w:after="80" w:before="240"/>
      </w:pPr>
      <w:r>
        <w:rPr>
          <w:rFonts w:ascii="Arial" w:cs="Arial" w:eastAsia="Arial" w:hAnsi="Arial"/>
          <w:b/>
          <w:bCs/>
          <w:color w:val="2E7D32"/>
          <w:sz w:val="26"/>
          <w:szCs w:val="26"/>
        </w:rPr>
        <w:t xml:space="preserve">4.3 Key Performance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338"/>
      </w:tblGrid>
      <w:tr>
        <w:tc>
          <w:tcPr>
            <w:tcW w:type="dxa" w:w="3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Indicator</w:t>
            </w:r>
          </w:p>
        </w:tc>
        <w:tc>
          <w:tcPr>
            <w:tcW w:type="dxa" w:w="1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(2025)</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(2028)</w:t>
            </w:r>
          </w:p>
        </w:tc>
        <w:tc>
          <w:tcPr>
            <w:tcW w:type="dxa" w:w="23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Verification Method</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Average annual NTFP income per woman collector</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18,000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55,000+</w:t>
            </w:r>
          </w:p>
        </w:tc>
        <w:tc>
          <w:tcPr>
            <w:tcW w:type="dxa" w:w="2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household income survey</w:t>
            </w:r>
          </w:p>
        </w:tc>
      </w:tr>
      <w:tr>
        <w:tc>
          <w:tcPr>
            <w:tcW w:type="dxa" w:w="3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income retained by women (vs male household/middlemen)</w:t>
            </w:r>
          </w:p>
        </w:tc>
        <w:tc>
          <w:tcPr>
            <w:tcW w:type="dxa" w:w="1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28%</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80%+</w:t>
            </w:r>
          </w:p>
        </w:tc>
        <w:tc>
          <w:tcPr>
            <w:tcW w:type="dxa" w:w="2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Women's bank transaction records</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Number of registered women FPC members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5,000</w:t>
            </w:r>
          </w:p>
        </w:tc>
        <w:tc>
          <w:tcPr>
            <w:tcW w:type="dxa" w:w="2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FPC registration documents</w:t>
            </w:r>
          </w:p>
        </w:tc>
      </w:tr>
      <w:tr>
        <w:tc>
          <w:tcPr>
            <w:tcW w:type="dxa" w:w="3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Value of NTFP sold through direct market channels (INR crore/year)</w:t>
            </w:r>
          </w:p>
        </w:tc>
        <w:tc>
          <w:tcPr>
            <w:tcW w:type="dxa" w:w="1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0.8 cr</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18 cr</w:t>
            </w:r>
          </w:p>
        </w:tc>
        <w:tc>
          <w:tcPr>
            <w:tcW w:type="dxa" w:w="2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FPC sales ledgers, buyer invoices</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Number of verified corporate/govt buyers with active MoUs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(informal)</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w:t>
            </w:r>
          </w:p>
        </w:tc>
        <w:tc>
          <w:tcPr>
            <w:tcW w:type="dxa" w:w="2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Signed MoU documents</w:t>
            </w:r>
          </w:p>
        </w:tc>
      </w:tr>
      <w:tr>
        <w:tc>
          <w:tcPr>
            <w:tcW w:type="dxa" w:w="3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Hectares under sustainable harvest protocol (NTFP)</w:t>
            </w:r>
          </w:p>
        </w:tc>
        <w:tc>
          <w:tcPr>
            <w:tcW w:type="dxa" w:w="1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80,000 ha</w:t>
            </w:r>
          </w:p>
        </w:tc>
        <w:tc>
          <w:tcPr>
            <w:tcW w:type="dxa" w:w="2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dept joint verification</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 with formal bank account and financial literacy certification</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900 (est.)</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5,000</w:t>
            </w:r>
          </w:p>
        </w:tc>
        <w:tc>
          <w:tcPr>
            <w:tcW w:type="dxa" w:w="2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Bank records, training certificates</w:t>
            </w:r>
          </w:p>
        </w:tc>
      </w:tr>
      <w:tr>
        <w:tc>
          <w:tcPr>
            <w:tcW w:type="dxa" w:w="3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Children of beneficiary women enrolled in school (proxy nutrition/stability)</w:t>
            </w:r>
          </w:p>
        </w:tc>
        <w:tc>
          <w:tcPr>
            <w:tcW w:type="dxa" w:w="1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62%</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90%+</w:t>
            </w:r>
          </w:p>
        </w:tc>
        <w:tc>
          <w:tcPr>
            <w:tcW w:type="dxa" w:w="2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School enrolment data, ASHA records</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5. Project Design &amp; Implementation Strategy</w:t>
      </w:r>
    </w:p>
    <w:p>
      <w:pPr>
        <w:pStyle w:val="Heading2"/>
        <w:spacing w:after="80" w:before="240"/>
      </w:pPr>
      <w:r>
        <w:rPr>
          <w:rFonts w:ascii="Arial" w:cs="Arial" w:eastAsia="Arial" w:hAnsi="Arial"/>
          <w:b/>
          <w:bCs/>
          <w:color w:val="2E7D32"/>
          <w:sz w:val="26"/>
          <w:szCs w:val="26"/>
        </w:rPr>
        <w:t xml:space="preserve">5.1 Component 1 — Women-Led Forest Producer Companies (FPCs)</w:t>
      </w:r>
    </w:p>
    <w:p>
      <w:pPr>
        <w:spacing w:after="80" w:before="80"/>
      </w:pPr>
      <w:r>
        <w:rPr>
          <w:rFonts w:ascii="Arial" w:cs="Arial" w:eastAsia="Arial" w:hAnsi="Arial"/>
          <w:color w:val="212121"/>
          <w:sz w:val="22"/>
          <w:szCs w:val="22"/>
        </w:rPr>
        <w:t xml:space="preserve">Ten Forest Producer Companies will be registered under the Companies Act 2013 (Section 8 / Producer Company provisions), one per sub-block cluster. Each FPC will:</w:t>
      </w:r>
    </w:p>
    <w:p>
      <w:pPr>
        <w:pStyle w:val="ListParagraph"/>
        <w:numPr>
          <w:ilvl w:val="0"/>
          <w:numId w:val="2"/>
        </w:numPr>
        <w:spacing w:after="40" w:before="40"/>
      </w:pPr>
      <w:r>
        <w:rPr>
          <w:rFonts w:ascii="Arial" w:cs="Arial" w:eastAsia="Arial" w:hAnsi="Arial"/>
          <w:color w:val="212121"/>
          <w:sz w:val="22"/>
          <w:szCs w:val="22"/>
        </w:rPr>
        <w:t xml:space="preserve">Have a minimum of 500 women members drawn from PVTG households in that block</w:t>
      </w:r>
    </w:p>
    <w:p>
      <w:pPr>
        <w:pStyle w:val="ListParagraph"/>
        <w:numPr>
          <w:ilvl w:val="0"/>
          <w:numId w:val="2"/>
        </w:numPr>
        <w:spacing w:after="40" w:before="40"/>
      </w:pPr>
      <w:r>
        <w:rPr>
          <w:rFonts w:ascii="Arial" w:cs="Arial" w:eastAsia="Arial" w:hAnsi="Arial"/>
          <w:color w:val="212121"/>
          <w:sz w:val="22"/>
          <w:szCs w:val="22"/>
        </w:rPr>
        <w:t xml:space="preserve">Maintain a board of 11 elected women directors (minimum 9 from PVTG backgrounds)</w:t>
      </w:r>
    </w:p>
    <w:p>
      <w:pPr>
        <w:pStyle w:val="ListParagraph"/>
        <w:numPr>
          <w:ilvl w:val="0"/>
          <w:numId w:val="2"/>
        </w:numPr>
        <w:spacing w:after="40" w:before="40"/>
      </w:pPr>
      <w:r>
        <w:rPr>
          <w:rFonts w:ascii="Arial" w:cs="Arial" w:eastAsia="Arial" w:hAnsi="Arial"/>
          <w:color w:val="212121"/>
          <w:sz w:val="22"/>
          <w:szCs w:val="22"/>
        </w:rPr>
        <w:t xml:space="preserve">Hold a joint bank account in the FPC's name at a nationalised bank</w:t>
      </w:r>
    </w:p>
    <w:p>
      <w:pPr>
        <w:pStyle w:val="ListParagraph"/>
        <w:numPr>
          <w:ilvl w:val="0"/>
          <w:numId w:val="2"/>
        </w:numPr>
        <w:spacing w:after="40" w:before="40"/>
      </w:pPr>
      <w:r>
        <w:rPr>
          <w:rFonts w:ascii="Arial" w:cs="Arial" w:eastAsia="Arial" w:hAnsi="Arial"/>
          <w:color w:val="212121"/>
          <w:sz w:val="22"/>
          <w:szCs w:val="22"/>
        </w:rPr>
        <w:t xml:space="preserve">Manage a shared NTFP aggregation shed (built under MGNREGS convergence)</w:t>
      </w:r>
    </w:p>
    <w:p>
      <w:pPr>
        <w:pStyle w:val="ListParagraph"/>
        <w:numPr>
          <w:ilvl w:val="0"/>
          <w:numId w:val="2"/>
        </w:numPr>
        <w:spacing w:after="40" w:before="40"/>
      </w:pPr>
      <w:r>
        <w:rPr>
          <w:rFonts w:ascii="Arial" w:cs="Arial" w:eastAsia="Arial" w:hAnsi="Arial"/>
          <w:color w:val="212121"/>
          <w:sz w:val="22"/>
          <w:szCs w:val="22"/>
        </w:rPr>
        <w:t xml:space="preserve">Conduct quarterly general body meetings with minutes recorded in Odia and Gondi</w:t>
      </w:r>
    </w:p>
    <w:p>
      <w:pPr>
        <w:spacing w:after="80" w:before="80"/>
      </w:pPr>
      <w:r>
        <w:t xml:space="preserve"/>
      </w:r>
    </w:p>
    <w:p>
      <w:pPr>
        <w:spacing w:after="80" w:before="80"/>
      </w:pPr>
      <w:r>
        <w:rPr>
          <w:rFonts w:ascii="Arial" w:cs="Arial" w:eastAsia="Arial" w:hAnsi="Arial"/>
          <w:color w:val="212121"/>
          <w:sz w:val="22"/>
          <w:szCs w:val="22"/>
        </w:rPr>
        <w:t xml:space="preserve">ISB's Bharti Institute of Public Policy will provide 18-month governance and business management training to all 110 FPC directors. The Green Shakti programme's existing producer company model in Kalimela block will be formally adopted, strengthened, and replicated in the remaining 4 blocks as the template.</w:t>
      </w:r>
    </w:p>
    <w:p>
      <w:pPr>
        <w:pStyle w:val="Heading2"/>
        <w:spacing w:after="80" w:before="240"/>
      </w:pPr>
      <w:r>
        <w:rPr>
          <w:rFonts w:ascii="Arial" w:cs="Arial" w:eastAsia="Arial" w:hAnsi="Arial"/>
          <w:b/>
          <w:bCs/>
          <w:color w:val="2E7D32"/>
          <w:sz w:val="26"/>
          <w:szCs w:val="26"/>
        </w:rPr>
        <w:t xml:space="preserve">5.2 Component 2 — Price Discovery &amp; Direct Trade Platform</w:t>
      </w:r>
    </w:p>
    <w:p>
      <w:pPr>
        <w:spacing w:after="80" w:before="80"/>
      </w:pPr>
      <w:r>
        <w:rPr>
          <w:rFonts w:ascii="Arial" w:cs="Arial" w:eastAsia="Arial" w:hAnsi="Arial"/>
          <w:color w:val="212121"/>
          <w:sz w:val="22"/>
          <w:szCs w:val="22"/>
        </w:rPr>
        <w:t xml:space="preserve">A mobile-first, voice-operated platform called 'VanDhan Sahayak' (Forest Wealth Helper) will be developed in partnership with a Bhubaneswar-based tech firm under the project. Key features:</w:t>
      </w:r>
    </w:p>
    <w:p>
      <w:pPr>
        <w:pStyle w:val="ListParagraph"/>
        <w:numPr>
          <w:ilvl w:val="0"/>
          <w:numId w:val="2"/>
        </w:numPr>
        <w:spacing w:after="40" w:before="40"/>
      </w:pPr>
      <w:r>
        <w:rPr>
          <w:rFonts w:ascii="Arial" w:cs="Arial" w:eastAsia="Arial" w:hAnsi="Arial"/>
          <w:color w:val="212121"/>
          <w:sz w:val="22"/>
          <w:szCs w:val="22"/>
        </w:rPr>
        <w:t xml:space="preserve">Real-time price broadcast from TRIFED, state e-commerce portals, and verified buyers — updated daily</w:t>
      </w:r>
    </w:p>
    <w:p>
      <w:pPr>
        <w:pStyle w:val="ListParagraph"/>
        <w:numPr>
          <w:ilvl w:val="0"/>
          <w:numId w:val="2"/>
        </w:numPr>
        <w:spacing w:after="40" w:before="40"/>
      </w:pPr>
      <w:r>
        <w:rPr>
          <w:rFonts w:ascii="Arial" w:cs="Arial" w:eastAsia="Arial" w:hAnsi="Arial"/>
          <w:color w:val="212121"/>
          <w:sz w:val="22"/>
          <w:szCs w:val="22"/>
        </w:rPr>
        <w:t xml:space="preserve">Voice interface in Odia and Gondi dialects (no text literacy required)</w:t>
      </w:r>
    </w:p>
    <w:p>
      <w:pPr>
        <w:pStyle w:val="ListParagraph"/>
        <w:numPr>
          <w:ilvl w:val="0"/>
          <w:numId w:val="2"/>
        </w:numPr>
        <w:spacing w:after="40" w:before="40"/>
      </w:pPr>
      <w:r>
        <w:rPr>
          <w:rFonts w:ascii="Arial" w:cs="Arial" w:eastAsia="Arial" w:hAnsi="Arial"/>
          <w:color w:val="212121"/>
          <w:sz w:val="22"/>
          <w:szCs w:val="22"/>
        </w:rPr>
        <w:t xml:space="preserve">Offline-functional with data sync when connectivity available (critical for Malkangiri's intermittent network)</w:t>
      </w:r>
    </w:p>
    <w:p>
      <w:pPr>
        <w:pStyle w:val="ListParagraph"/>
        <w:numPr>
          <w:ilvl w:val="0"/>
          <w:numId w:val="2"/>
        </w:numPr>
        <w:spacing w:after="40" w:before="40"/>
      </w:pPr>
      <w:r>
        <w:rPr>
          <w:rFonts w:ascii="Arial" w:cs="Arial" w:eastAsia="Arial" w:hAnsi="Arial"/>
          <w:color w:val="212121"/>
          <w:sz w:val="22"/>
          <w:szCs w:val="22"/>
        </w:rPr>
        <w:t xml:space="preserve">In-app collective selling feature: FPC can aggregate individual member offers and present a single bulk quantity to buyers</w:t>
      </w:r>
    </w:p>
    <w:p>
      <w:pPr>
        <w:pStyle w:val="ListParagraph"/>
        <w:numPr>
          <w:ilvl w:val="0"/>
          <w:numId w:val="2"/>
        </w:numPr>
        <w:spacing w:after="40" w:before="40"/>
      </w:pPr>
      <w:r>
        <w:rPr>
          <w:rFonts w:ascii="Arial" w:cs="Arial" w:eastAsia="Arial" w:hAnsi="Arial"/>
          <w:color w:val="212121"/>
          <w:sz w:val="22"/>
          <w:szCs w:val="22"/>
        </w:rPr>
        <w:t xml:space="preserve">Digital weighing integration: compatible with IOMT-enabled weighing machines provided to each FPC shed</w:t>
      </w:r>
    </w:p>
    <w:p>
      <w:pPr>
        <w:pStyle w:val="ListParagraph"/>
        <w:numPr>
          <w:ilvl w:val="0"/>
          <w:numId w:val="2"/>
        </w:numPr>
        <w:spacing w:after="40" w:before="40"/>
      </w:pPr>
      <w:r>
        <w:rPr>
          <w:rFonts w:ascii="Arial" w:cs="Arial" w:eastAsia="Arial" w:hAnsi="Arial"/>
          <w:color w:val="212121"/>
          <w:sz w:val="22"/>
          <w:szCs w:val="22"/>
        </w:rPr>
        <w:t xml:space="preserve">Payment tracking: alerts women when payment is received in FPC account</w:t>
      </w:r>
    </w:p>
    <w:p>
      <w:pPr>
        <w:spacing w:after="80" w:before="80"/>
      </w:pPr>
      <w:r>
        <w:t xml:space="preserve"/>
      </w:r>
    </w:p>
    <w:p>
      <w:pPr>
        <w:spacing w:after="80" w:before="80"/>
      </w:pPr>
      <w:r>
        <w:rPr>
          <w:rFonts w:ascii="Arial" w:cs="Arial" w:eastAsia="Arial" w:hAnsi="Arial"/>
          <w:color w:val="212121"/>
          <w:sz w:val="22"/>
          <w:szCs w:val="22"/>
        </w:rPr>
        <w:t xml:space="preserve">Platform will be open-source and handed over to OTELP (Odisha Tribal Empowerment &amp; Livelihoods Programme) for long-term maintenance at project close.</w:t>
      </w:r>
    </w:p>
    <w:p>
      <w:pPr>
        <w:pStyle w:val="Heading2"/>
        <w:spacing w:after="80" w:before="240"/>
      </w:pPr>
      <w:r>
        <w:rPr>
          <w:rFonts w:ascii="Arial" w:cs="Arial" w:eastAsia="Arial" w:hAnsi="Arial"/>
          <w:b/>
          <w:bCs/>
          <w:color w:val="2E7D32"/>
          <w:sz w:val="26"/>
          <w:szCs w:val="26"/>
        </w:rPr>
        <w:t xml:space="preserve">5.3 Component 3 — NTFP Processing Micro-Units</w:t>
      </w:r>
    </w:p>
    <w:p>
      <w:pPr>
        <w:spacing w:after="80" w:before="80"/>
      </w:pPr>
      <w:r>
        <w:rPr>
          <w:rFonts w:ascii="Arial" w:cs="Arial" w:eastAsia="Arial" w:hAnsi="Arial"/>
          <w:color w:val="212121"/>
          <w:sz w:val="22"/>
          <w:szCs w:val="22"/>
        </w:rPr>
        <w:t xml:space="preserve">Six processing and primary grading micro-units will be established, one per major cluster, covering:</w:t>
      </w:r>
    </w:p>
    <w:p>
      <w:pPr>
        <w:pStyle w:val="ListParagraph"/>
        <w:numPr>
          <w:ilvl w:val="0"/>
          <w:numId w:val="2"/>
        </w:numPr>
        <w:spacing w:after="40" w:before="40"/>
      </w:pPr>
      <w:r>
        <w:rPr>
          <w:rFonts w:ascii="Arial" w:cs="Arial" w:eastAsia="Arial" w:hAnsi="Arial"/>
          <w:color w:val="212121"/>
          <w:sz w:val="22"/>
          <w:szCs w:val="22"/>
        </w:rPr>
        <w:t xml:space="preserve">Mahua: drying, cleaning, and packaging unit (eliminates 40% post-harvest loss currently due to improper storage)</w:t>
      </w:r>
    </w:p>
    <w:p>
      <w:pPr>
        <w:pStyle w:val="ListParagraph"/>
        <w:numPr>
          <w:ilvl w:val="0"/>
          <w:numId w:val="2"/>
        </w:numPr>
        <w:spacing w:after="40" w:before="40"/>
      </w:pPr>
      <w:r>
        <w:rPr>
          <w:rFonts w:ascii="Arial" w:cs="Arial" w:eastAsia="Arial" w:hAnsi="Arial"/>
          <w:color w:val="212121"/>
          <w:sz w:val="22"/>
          <w:szCs w:val="22"/>
        </w:rPr>
        <w:t xml:space="preserve">Karanja: seed sorting, drying, and cold-press oil extraction unit</w:t>
      </w:r>
    </w:p>
    <w:p>
      <w:pPr>
        <w:pStyle w:val="ListParagraph"/>
        <w:numPr>
          <w:ilvl w:val="0"/>
          <w:numId w:val="2"/>
        </w:numPr>
        <w:spacing w:after="40" w:before="40"/>
      </w:pPr>
      <w:r>
        <w:rPr>
          <w:rFonts w:ascii="Arial" w:cs="Arial" w:eastAsia="Arial" w:hAnsi="Arial"/>
          <w:color w:val="212121"/>
          <w:sz w:val="22"/>
          <w:szCs w:val="22"/>
        </w:rPr>
        <w:t xml:space="preserve">Siali leaves: cleaning, drying, and plate-stitching facilitation (plates command 3x price of raw leaves)</w:t>
      </w:r>
    </w:p>
    <w:p>
      <w:pPr>
        <w:pStyle w:val="ListParagraph"/>
        <w:numPr>
          <w:ilvl w:val="0"/>
          <w:numId w:val="2"/>
        </w:numPr>
        <w:spacing w:after="40" w:before="40"/>
      </w:pPr>
      <w:r>
        <w:rPr>
          <w:rFonts w:ascii="Arial" w:cs="Arial" w:eastAsia="Arial" w:hAnsi="Arial"/>
          <w:color w:val="212121"/>
          <w:sz w:val="22"/>
          <w:szCs w:val="22"/>
        </w:rPr>
        <w:t xml:space="preserve">Turmeric: washing, boiling, drying, and grinding unit for organic powder packaging</w:t>
      </w:r>
    </w:p>
    <w:p>
      <w:pPr>
        <w:pStyle w:val="ListParagraph"/>
        <w:numPr>
          <w:ilvl w:val="0"/>
          <w:numId w:val="2"/>
        </w:numPr>
        <w:spacing w:after="40" w:before="40"/>
      </w:pPr>
      <w:r>
        <w:rPr>
          <w:rFonts w:ascii="Arial" w:cs="Arial" w:eastAsia="Arial" w:hAnsi="Arial"/>
          <w:color w:val="212121"/>
          <w:sz w:val="22"/>
          <w:szCs w:val="22"/>
        </w:rPr>
        <w:t xml:space="preserve">Hill Broom: grading, bundling, and packaging unit with consistent bundle standards</w:t>
      </w:r>
    </w:p>
    <w:p>
      <w:pPr>
        <w:spacing w:after="80" w:before="80"/>
      </w:pPr>
      <w:r>
        <w:t xml:space="preserve"/>
      </w:r>
    </w:p>
    <w:p>
      <w:pPr>
        <w:spacing w:after="80" w:before="80"/>
      </w:pPr>
      <w:r>
        <w:rPr>
          <w:rFonts w:ascii="Arial" w:cs="Arial" w:eastAsia="Arial" w:hAnsi="Arial"/>
          <w:color w:val="212121"/>
          <w:sz w:val="22"/>
          <w:szCs w:val="22"/>
        </w:rPr>
        <w:t xml:space="preserve">Each unit will be managed by a trained 10-woman team from the local FPC, who will receive a processing service fee per kg/unit handled — creating a second income stream beyond collection. Units will be constructed on panchayat-allocated land with Convergence funding from MGNREGS (civil works) and PMEGP (equipment).</w:t>
      </w:r>
    </w:p>
    <w:p>
      <w:pPr>
        <w:pStyle w:val="Heading2"/>
        <w:spacing w:after="80" w:before="240"/>
      </w:pPr>
      <w:r>
        <w:rPr>
          <w:rFonts w:ascii="Arial" w:cs="Arial" w:eastAsia="Arial" w:hAnsi="Arial"/>
          <w:b/>
          <w:bCs/>
          <w:color w:val="2E7D32"/>
          <w:sz w:val="26"/>
          <w:szCs w:val="26"/>
        </w:rPr>
        <w:t xml:space="preserve">5.4 Component 4 — Capacity Building &amp; Certification</w:t>
      </w:r>
    </w:p>
    <w:p>
      <w:pPr>
        <w:spacing w:after="80" w:before="80"/>
      </w:pPr>
      <w:r>
        <w:rPr>
          <w:rFonts w:ascii="Arial" w:cs="Arial" w:eastAsia="Arial" w:hAnsi="Arial"/>
          <w:color w:val="212121"/>
          <w:sz w:val="22"/>
          <w:szCs w:val="22"/>
        </w:rPr>
        <w:t xml:space="preserve">A structured 6-module training programme, 'VanDhan Shakti', will be delivered to all 5,000 FPC members over 36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000"/>
        <w:gridCol w:w="1719"/>
        <w:gridCol w:w="1819"/>
      </w:tblGrid>
      <w:tr>
        <w:tc>
          <w:tcPr>
            <w:tcW w:type="dxa" w:w="6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2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Topic</w:t>
            </w:r>
          </w:p>
        </w:tc>
        <w:tc>
          <w:tcPr>
            <w:tcW w:type="dxa" w:w="3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w:t>
            </w:r>
          </w:p>
        </w:tc>
        <w:tc>
          <w:tcPr>
            <w:tcW w:type="dxa" w:w="1719"/>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1819"/>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Delivered By</w:t>
            </w:r>
          </w:p>
        </w:tc>
      </w:tr>
      <w:tr>
        <w:tc>
          <w:tcPr>
            <w:tcW w:type="dxa" w:w="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w:t>
            </w:r>
          </w:p>
        </w:tc>
        <w:tc>
          <w:tcPr>
            <w:tcW w:type="dxa" w:w="2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Sustainable Harvest</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Species identification, quota-based collection, seasonal rest periods, documentation</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 days</w:t>
            </w:r>
          </w:p>
        </w:tc>
        <w:tc>
          <w:tcPr>
            <w:tcW w:type="dxa" w:w="18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Dept + OTELP</w:t>
            </w:r>
          </w:p>
        </w:tc>
      </w:tr>
      <w:tr>
        <w:tc>
          <w:tcPr>
            <w:tcW w:type="dxa" w:w="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w:t>
            </w:r>
          </w:p>
        </w:tc>
        <w:tc>
          <w:tcPr>
            <w:tcW w:type="dxa" w:w="2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Quality Grading</w:t>
            </w:r>
          </w:p>
        </w:tc>
        <w:tc>
          <w:tcPr>
            <w:tcW w:type="dxa" w:w="3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AGMARK/TRIFED grade standards; sorting, cleaning, packaging for premium prices</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 days</w:t>
            </w:r>
          </w:p>
        </w:tc>
        <w:tc>
          <w:tcPr>
            <w:tcW w:type="dxa" w:w="18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SAPCO + ISB</w:t>
            </w:r>
          </w:p>
        </w:tc>
      </w:tr>
      <w:tr>
        <w:tc>
          <w:tcPr>
            <w:tcW w:type="dxa" w:w="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w:t>
            </w:r>
          </w:p>
        </w:tc>
        <w:tc>
          <w:tcPr>
            <w:tcW w:type="dxa" w:w="2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Financial Literacy</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Bank accounts, savings, FPC profit-sharing, loan management, avoiding debt traps</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 days</w:t>
            </w:r>
          </w:p>
        </w:tc>
        <w:tc>
          <w:tcPr>
            <w:tcW w:type="dxa" w:w="18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 RSETIs</w:t>
            </w:r>
          </w:p>
        </w:tc>
      </w:tr>
      <w:tr>
        <w:tc>
          <w:tcPr>
            <w:tcW w:type="dxa" w:w="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w:t>
            </w:r>
          </w:p>
        </w:tc>
        <w:tc>
          <w:tcPr>
            <w:tcW w:type="dxa" w:w="2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Platform Usage</w:t>
            </w:r>
          </w:p>
        </w:tc>
        <w:tc>
          <w:tcPr>
            <w:tcW w:type="dxa" w:w="3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VanDhan Sahayak app: price checking, selling offers, payment tracking</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 day</w:t>
            </w:r>
          </w:p>
        </w:tc>
        <w:tc>
          <w:tcPr>
            <w:tcW w:type="dxa" w:w="18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Tech partner</w:t>
            </w:r>
          </w:p>
        </w:tc>
      </w:tr>
      <w:tr>
        <w:tc>
          <w:tcPr>
            <w:tcW w:type="dxa" w:w="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w:t>
            </w:r>
          </w:p>
        </w:tc>
        <w:tc>
          <w:tcPr>
            <w:tcW w:type="dxa" w:w="2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FPC Governance</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Meeting procedures, minutes, accounts, rights and responsibilities of directors</w:t>
            </w:r>
          </w:p>
        </w:tc>
        <w:tc>
          <w:tcPr>
            <w:tcW w:type="dxa" w:w="17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 days</w:t>
            </w:r>
          </w:p>
        </w:tc>
        <w:tc>
          <w:tcPr>
            <w:tcW w:type="dxa" w:w="1819"/>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 Bharti Institute</w:t>
            </w:r>
          </w:p>
        </w:tc>
      </w:tr>
      <w:tr>
        <w:tc>
          <w:tcPr>
            <w:tcW w:type="dxa" w:w="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6</w:t>
            </w:r>
          </w:p>
        </w:tc>
        <w:tc>
          <w:tcPr>
            <w:tcW w:type="dxa" w:w="2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Legal Rights</w:t>
            </w:r>
          </w:p>
        </w:tc>
        <w:tc>
          <w:tcPr>
            <w:tcW w:type="dxa" w:w="3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Rights Act, PESA rights, minimum support price entitlements, grievance filing</w:t>
            </w:r>
          </w:p>
        </w:tc>
        <w:tc>
          <w:tcPr>
            <w:tcW w:type="dxa" w:w="17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 day</w:t>
            </w:r>
          </w:p>
        </w:tc>
        <w:tc>
          <w:tcPr>
            <w:tcW w:type="dxa" w:w="1819"/>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Legal Services</w:t>
            </w:r>
          </w:p>
        </w:tc>
      </w:tr>
    </w:tbl>
    <w:p>
      <w:pPr>
        <w:pStyle w:val="Heading2"/>
        <w:spacing w:after="80" w:before="240"/>
      </w:pPr>
      <w:r>
        <w:rPr>
          <w:rFonts w:ascii="Arial" w:cs="Arial" w:eastAsia="Arial" w:hAnsi="Arial"/>
          <w:b/>
          <w:bCs/>
          <w:color w:val="2E7D32"/>
          <w:sz w:val="26"/>
          <w:szCs w:val="26"/>
        </w:rPr>
        <w:t xml:space="preserve">5.5 Component 5 — Revolving Fund &amp; Financial Access</w:t>
      </w:r>
    </w:p>
    <w:p>
      <w:pPr>
        <w:spacing w:after="80" w:before="80"/>
      </w:pPr>
      <w:r>
        <w:rPr>
          <w:rFonts w:ascii="Arial" w:cs="Arial" w:eastAsia="Arial" w:hAnsi="Arial"/>
          <w:color w:val="212121"/>
          <w:sz w:val="22"/>
          <w:szCs w:val="22"/>
        </w:rPr>
        <w:t xml:space="preserve">A dedicated Malkangiri NTFP Revolving Fund of INR 1 crore will be established in partnership with NABARD. This fund will:</w:t>
      </w:r>
    </w:p>
    <w:p>
      <w:pPr>
        <w:pStyle w:val="ListParagraph"/>
        <w:numPr>
          <w:ilvl w:val="0"/>
          <w:numId w:val="2"/>
        </w:numPr>
        <w:spacing w:after="40" w:before="40"/>
      </w:pPr>
      <w:r>
        <w:rPr>
          <w:rFonts w:ascii="Arial" w:cs="Arial" w:eastAsia="Arial" w:hAnsi="Arial"/>
          <w:color w:val="212121"/>
          <w:sz w:val="22"/>
          <w:szCs w:val="22"/>
        </w:rPr>
        <w:t xml:space="preserve">Provide harvest-advance credit to FPC members at 0% interest (repaid from sale proceeds) — eliminating the need for exploitative informal loans from middlemen</w:t>
      </w:r>
    </w:p>
    <w:p>
      <w:pPr>
        <w:pStyle w:val="ListParagraph"/>
        <w:numPr>
          <w:ilvl w:val="0"/>
          <w:numId w:val="2"/>
        </w:numPr>
        <w:spacing w:after="40" w:before="40"/>
      </w:pPr>
      <w:r>
        <w:rPr>
          <w:rFonts w:ascii="Arial" w:cs="Arial" w:eastAsia="Arial" w:hAnsi="Arial"/>
          <w:color w:val="212121"/>
          <w:sz w:val="22"/>
          <w:szCs w:val="22"/>
        </w:rPr>
        <w:t xml:space="preserve">Cover transportation costs from collection point to processing unit</w:t>
      </w:r>
    </w:p>
    <w:p>
      <w:pPr>
        <w:pStyle w:val="ListParagraph"/>
        <w:numPr>
          <w:ilvl w:val="0"/>
          <w:numId w:val="2"/>
        </w:numPr>
        <w:spacing w:after="40" w:before="40"/>
      </w:pPr>
      <w:r>
        <w:rPr>
          <w:rFonts w:ascii="Arial" w:cs="Arial" w:eastAsia="Arial" w:hAnsi="Arial"/>
          <w:color w:val="212121"/>
          <w:sz w:val="22"/>
          <w:szCs w:val="22"/>
        </w:rPr>
        <w:t xml:space="preserve">Bridge the 30–45 day payment gap between delivery to buyers and receipt of funds</w:t>
      </w:r>
    </w:p>
    <w:p>
      <w:pPr>
        <w:spacing w:after="80" w:before="80"/>
      </w:pPr>
      <w:r>
        <w:t xml:space="preserve"/>
      </w:r>
    </w:p>
    <w:p>
      <w:pPr>
        <w:spacing w:after="80" w:before="80"/>
      </w:pPr>
      <w:r>
        <w:rPr>
          <w:rFonts w:ascii="Arial" w:cs="Arial" w:eastAsia="Arial" w:hAnsi="Arial"/>
          <w:color w:val="212121"/>
          <w:sz w:val="22"/>
          <w:szCs w:val="22"/>
        </w:rPr>
        <w:t xml:space="preserve">Seed capital: INR 50 lakh from project budget + INR 50 lakh from NABARD's Tribal Development Fund (TDF) under an MoU to be signed in project Year 1.</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6. Implementation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2038"/>
      </w:tblGrid>
      <w:tr>
        <w:tc>
          <w:tcPr>
            <w:tcW w:type="dxa" w:w="2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 / Milestone</w:t>
            </w:r>
          </w:p>
        </w:tc>
        <w:tc>
          <w:tcPr>
            <w:tcW w:type="dxa" w:w="1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Q1-Q2 2026</w:t>
            </w:r>
          </w:p>
        </w:tc>
        <w:tc>
          <w:tcPr>
            <w:tcW w:type="dxa" w:w="1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Q3-Q4 2026</w:t>
            </w:r>
          </w:p>
        </w:tc>
        <w:tc>
          <w:tcPr>
            <w:tcW w:type="dxa" w:w="1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Q1-Q2 2027</w:t>
            </w:r>
          </w:p>
        </w:tc>
        <w:tc>
          <w:tcPr>
            <w:tcW w:type="dxa" w:w="1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Q3-Q4 2027</w:t>
            </w:r>
          </w:p>
        </w:tc>
        <w:tc>
          <w:tcPr>
            <w:tcW w:type="dxa" w:w="20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2028 (Scale &amp; Sustain)</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inception, MoU signing, team recruitment</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Baseline survey (5,000 households)</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10 FPCs registered; first 500 members enrolled</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VanDhan Sahayak platform development &amp; testing</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First 2 processing units constructed and operational</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Platform launched; first cohort of buyers onboarded (10+)</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Module 1-3 training complete for all 5,000 women</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All 6 processing units operational; INR 1 cr fund active</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0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20+ buyers with signed MoUs; INR 10 cr annual trade through platform</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Full module training certified; sustainability plan executed</w:t>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End-line survey; independent evaluation; handover to OTELP</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7. Project Budget</w:t>
      </w:r>
    </w:p>
    <w:p>
      <w:pPr>
        <w:pStyle w:val="Heading2"/>
        <w:spacing w:after="80" w:before="240"/>
      </w:pPr>
      <w:r>
        <w:rPr>
          <w:rFonts w:ascii="Arial" w:cs="Arial" w:eastAsia="Arial" w:hAnsi="Arial"/>
          <w:b/>
          <w:bCs/>
          <w:color w:val="2E7D32"/>
          <w:sz w:val="26"/>
          <w:szCs w:val="26"/>
        </w:rPr>
        <w:t xml:space="preserve">7.1 Budget Summary by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1500"/>
        <w:gridCol w:w="1338"/>
      </w:tblGrid>
      <w:tr>
        <w:tc>
          <w:tcPr>
            <w:tcW w:type="dxa" w:w="3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GEF SGP (USD)</w:t>
            </w:r>
          </w:p>
        </w:tc>
        <w:tc>
          <w:tcPr>
            <w:tcW w:type="dxa" w:w="1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UNDP (USD)</w:t>
            </w:r>
          </w:p>
        </w:tc>
        <w:tc>
          <w:tcPr>
            <w:tcW w:type="dxa" w:w="1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Govt Co-finance (USD)</w:t>
            </w:r>
          </w:p>
        </w:tc>
        <w:tc>
          <w:tcPr>
            <w:tcW w:type="dxa" w:w="13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(USD)</w:t>
            </w:r>
          </w:p>
        </w:tc>
      </w:tr>
      <w:tr>
        <w:tc>
          <w:tcPr>
            <w:tcW w:type="dxa" w:w="3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 FPC Formation &amp; Governance</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22,000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70,000</w:t>
            </w:r>
          </w:p>
        </w:tc>
      </w:tr>
      <w:tr>
        <w:tc>
          <w:tcPr>
            <w:tcW w:type="dxa" w:w="3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 Price Discovery Platform (VanDhan Sahayak)</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28,000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60,000</w:t>
            </w:r>
          </w:p>
        </w:tc>
      </w:tr>
      <w:tr>
        <w:tc>
          <w:tcPr>
            <w:tcW w:type="dxa" w:w="3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 NTFP Processing Micro-Units (6 units)</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130,000</w:t>
            </w:r>
          </w:p>
        </w:tc>
        <w:tc>
          <w:tcPr>
            <w:tcW w:type="dxa" w:w="1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180,000</w:t>
            </w:r>
          </w:p>
        </w:tc>
      </w:tr>
      <w:tr>
        <w:tc>
          <w:tcPr>
            <w:tcW w:type="dxa" w:w="3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 Capacity Building &amp; Certification (5,000 women)</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48,000</w:t>
            </w:r>
          </w:p>
        </w:tc>
        <w:tc>
          <w:tcPr>
            <w:tcW w:type="dxa" w:w="1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90,000</w:t>
            </w:r>
          </w:p>
        </w:tc>
      </w:tr>
      <w:tr>
        <w:tc>
          <w:tcPr>
            <w:tcW w:type="dxa" w:w="3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 Revolving Fund Seed Capital</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42,000</w:t>
            </w:r>
          </w:p>
        </w:tc>
      </w:tr>
      <w:tr>
        <w:tc>
          <w:tcPr>
            <w:tcW w:type="dxa" w:w="3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6. Buyer Market Linkage &amp; Trade Facilitation</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7,000</w:t>
            </w:r>
          </w:p>
        </w:tc>
        <w:tc>
          <w:tcPr>
            <w:tcW w:type="dxa" w:w="1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20,000</w:t>
            </w:r>
          </w:p>
        </w:tc>
      </w:tr>
      <w:tr>
        <w:tc>
          <w:tcPr>
            <w:tcW w:type="dxa" w:w="3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 M&amp;E, Baseline/Endline Surveys, Evaluation</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w:t>
            </w:r>
          </w:p>
        </w:tc>
        <w:tc>
          <w:tcPr>
            <w:tcW w:type="dxa" w:w="1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3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8,000</w:t>
            </w:r>
          </w:p>
        </w:tc>
      </w:tr>
      <w:tr>
        <w:tc>
          <w:tcPr>
            <w:tcW w:type="dxa" w:w="38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8. Project Management &amp; Communication</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w:t>
            </w:r>
          </w:p>
        </w:tc>
        <w:tc>
          <w:tcPr>
            <w:tcW w:type="dxa" w:w="15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w:t>
            </w:r>
          </w:p>
        </w:tc>
        <w:tc>
          <w:tcPr>
            <w:tcW w:type="dxa" w:w="13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10,000</w:t>
            </w:r>
          </w:p>
        </w:tc>
      </w:tr>
      <w:tr>
        <w:tc>
          <w:tcPr>
            <w:tcW w:type="dxa" w:w="38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r>
              <w:rPr>
                <w:rFonts w:ascii="Arial" w:cs="Arial" w:eastAsia="Arial" w:hAnsi="Arial"/>
                <w:b/>
                <w:bCs/>
                <w:color w:val="1B5E20"/>
                <w:sz w:val="22"/>
                <w:szCs w:val="22"/>
              </w:rPr>
              <w:t xml:space="preserve">TOTAL</w:t>
            </w:r>
          </w:p>
        </w:tc>
        <w:tc>
          <w:tcPr>
            <w:tcW w:type="dxa" w:w="15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pPr>
              <w:jc w:val="right"/>
            </w:pPr>
            <w:r>
              <w:rPr>
                <w:rFonts w:ascii="Arial" w:cs="Arial" w:eastAsia="Arial" w:hAnsi="Arial"/>
                <w:b/>
                <w:bCs/>
                <w:color w:val="1B5E20"/>
                <w:sz w:val="22"/>
                <w:szCs w:val="22"/>
              </w:rPr>
              <w:t xml:space="preserve">50,000</w:t>
            </w:r>
          </w:p>
        </w:tc>
        <w:tc>
          <w:tcPr>
            <w:tcW w:type="dxa" w:w="15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pPr>
              <w:jc w:val="right"/>
            </w:pPr>
            <w:r>
              <w:rPr>
                <w:rFonts w:ascii="Arial" w:cs="Arial" w:eastAsia="Arial" w:hAnsi="Arial"/>
                <w:b/>
                <w:bCs/>
                <w:color w:val="1B5E20"/>
                <w:sz w:val="22"/>
                <w:szCs w:val="22"/>
              </w:rPr>
              <w:t xml:space="preserve">150,000</w:t>
            </w:r>
          </w:p>
        </w:tc>
        <w:tc>
          <w:tcPr>
            <w:tcW w:type="dxa" w:w="1500"/>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pPr>
              <w:jc w:val="right"/>
            </w:pPr>
            <w:r>
              <w:rPr>
                <w:rFonts w:ascii="Arial" w:cs="Arial" w:eastAsia="Arial" w:hAnsi="Arial"/>
                <w:b/>
                <w:bCs/>
                <w:color w:val="1B5E20"/>
                <w:sz w:val="22"/>
                <w:szCs w:val="22"/>
              </w:rPr>
              <w:t xml:space="preserve">280,000</w:t>
            </w:r>
          </w:p>
        </w:tc>
        <w:tc>
          <w:tcPr>
            <w:tcW w:type="dxa" w:w="1338"/>
            <w:tcBorders>
              <w:top w:val="single" w:color="2E7D32" w:sz="1"/>
              <w:left w:val="single" w:color="2E7D32" w:sz="1"/>
              <w:bottom w:val="single" w:color="2E7D32" w:sz="1"/>
              <w:right w:val="single" w:color="2E7D32" w:sz="1"/>
            </w:tcBorders>
            <w:shd w:fill="C8E6C9" w:val="clear"/>
            <w:tcMar>
              <w:top w:type="dxa" w:w="100"/>
              <w:left w:type="dxa" w:w="150"/>
              <w:bottom w:type="dxa" w:w="100"/>
              <w:right w:type="dxa" w:w="150"/>
            </w:tcMar>
          </w:tcPr>
          <w:p>
            <w:pPr>
              <w:jc w:val="right"/>
            </w:pPr>
            <w:r>
              <w:rPr>
                <w:rFonts w:ascii="Arial" w:cs="Arial" w:eastAsia="Arial" w:hAnsi="Arial"/>
                <w:b/>
                <w:bCs/>
                <w:color w:val="1B5E20"/>
                <w:sz w:val="22"/>
                <w:szCs w:val="22"/>
              </w:rPr>
              <w:t xml:space="preserve">480,000</w:t>
            </w:r>
          </w:p>
        </w:tc>
      </w:tr>
    </w:tbl>
    <w:p>
      <w:pPr>
        <w:spacing w:after="80" w:before="80"/>
      </w:pPr>
      <w:r>
        <w:t xml:space="preserve"/>
      </w:r>
    </w:p>
    <w:p>
      <w:pPr>
        <w:pBdr>
          <w:left w:val="single" w:color="F9A825" w:sz="18" w:space="8"/>
        </w:pBdr>
        <w:spacing w:after="120" w:before="120"/>
        <w:ind w:left="400"/>
      </w:pPr>
      <w:r>
        <w:rPr>
          <w:rFonts w:ascii="Arial" w:cs="Arial" w:eastAsia="Arial" w:hAnsi="Arial"/>
          <w:i/>
          <w:iCs/>
          <w:color w:val="616161"/>
          <w:sz w:val="22"/>
          <w:szCs w:val="22"/>
        </w:rPr>
        <w:t xml:space="preserve">Leverage ratio: For every USD 1 of GEF grant, the project mobilises USD 8.6 in co-finance — significantly exceeding GEF SGP's minimum 1:3 co-finance requirement. Government convergence funds (MGNREGS, PMEGP, NABARD TDF) account for 58% of total budget.</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8. Sustainability Plan</w:t>
      </w:r>
    </w:p>
    <w:p>
      <w:pPr>
        <w:spacing w:after="80" w:before="80"/>
      </w:pPr>
      <w:r>
        <w:rPr>
          <w:rFonts w:ascii="Arial" w:cs="Arial" w:eastAsia="Arial" w:hAnsi="Arial"/>
          <w:color w:val="212121"/>
          <w:sz w:val="22"/>
          <w:szCs w:val="22"/>
        </w:rPr>
        <w:t xml:space="preserve">The project is designed from inception for zero dependency on continued external funding beyond Year 3. Three sustainability pillars ensure this:</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8.1 Financial Sustainability</w:t>
      </w:r>
    </w:p>
    <w:p>
      <w:pPr>
        <w:pStyle w:val="ListParagraph"/>
        <w:numPr>
          <w:ilvl w:val="0"/>
          <w:numId w:val="2"/>
        </w:numPr>
        <w:spacing w:after="40" w:before="40"/>
      </w:pPr>
      <w:r>
        <w:rPr>
          <w:rFonts w:ascii="Arial" w:cs="Arial" w:eastAsia="Arial" w:hAnsi="Arial"/>
          <w:color w:val="212121"/>
          <w:sz w:val="22"/>
          <w:szCs w:val="22"/>
        </w:rPr>
        <w:t xml:space="preserve">FPCs generate operating surplus from processing service fees and margin on bulk sales within Year 2. Break-even analysis: each FPC becomes financially self-sustaining at 60% member participation.</w:t>
      </w:r>
    </w:p>
    <w:p>
      <w:pPr>
        <w:pStyle w:val="ListParagraph"/>
        <w:numPr>
          <w:ilvl w:val="0"/>
          <w:numId w:val="2"/>
        </w:numPr>
        <w:spacing w:after="40" w:before="40"/>
      </w:pPr>
      <w:r>
        <w:rPr>
          <w:rFonts w:ascii="Arial" w:cs="Arial" w:eastAsia="Arial" w:hAnsi="Arial"/>
          <w:color w:val="212121"/>
          <w:sz w:val="22"/>
          <w:szCs w:val="22"/>
        </w:rPr>
        <w:t xml:space="preserve">The INR 1 crore Revolving Fund generates no returns but requires no top-up: repayments refuel new advances. It operates perpetually at zero cost beyond the seed capital.</w:t>
      </w:r>
    </w:p>
    <w:p>
      <w:pPr>
        <w:pStyle w:val="ListParagraph"/>
        <w:numPr>
          <w:ilvl w:val="0"/>
          <w:numId w:val="2"/>
        </w:numPr>
        <w:spacing w:after="40" w:before="40"/>
      </w:pPr>
      <w:r>
        <w:rPr>
          <w:rFonts w:ascii="Arial" w:cs="Arial" w:eastAsia="Arial" w:hAnsi="Arial"/>
          <w:color w:val="212121"/>
          <w:sz w:val="22"/>
          <w:szCs w:val="22"/>
        </w:rPr>
        <w:t xml:space="preserve">VanDhan Sahayak platform: handed to OTELP on open-source terms; maintenance costs covered by Odisha's existing NTFP digital infrastructure budget.</w:t>
      </w:r>
    </w:p>
    <w:p>
      <w:pPr>
        <w:pStyle w:val="Heading2"/>
        <w:spacing w:after="80" w:before="240"/>
      </w:pPr>
      <w:r>
        <w:rPr>
          <w:rFonts w:ascii="Arial" w:cs="Arial" w:eastAsia="Arial" w:hAnsi="Arial"/>
          <w:b/>
          <w:bCs/>
          <w:color w:val="2E7D32"/>
          <w:sz w:val="26"/>
          <w:szCs w:val="26"/>
        </w:rPr>
        <w:t xml:space="preserve">8.2 Institutional Sustainability</w:t>
      </w:r>
    </w:p>
    <w:p>
      <w:pPr>
        <w:pStyle w:val="ListParagraph"/>
        <w:numPr>
          <w:ilvl w:val="0"/>
          <w:numId w:val="2"/>
        </w:numPr>
        <w:spacing w:after="40" w:before="40"/>
      </w:pPr>
      <w:r>
        <w:rPr>
          <w:rFonts w:ascii="Arial" w:cs="Arial" w:eastAsia="Arial" w:hAnsi="Arial"/>
          <w:color w:val="212121"/>
          <w:sz w:val="22"/>
          <w:szCs w:val="22"/>
        </w:rPr>
        <w:t xml:space="preserve">All 10 FPCs are legal entities independent of the project. They continue to operate, trade, and govern themselves after project close.</w:t>
      </w:r>
    </w:p>
    <w:p>
      <w:pPr>
        <w:pStyle w:val="ListParagraph"/>
        <w:numPr>
          <w:ilvl w:val="0"/>
          <w:numId w:val="2"/>
        </w:numPr>
        <w:spacing w:after="40" w:before="40"/>
      </w:pPr>
      <w:r>
        <w:rPr>
          <w:rFonts w:ascii="Arial" w:cs="Arial" w:eastAsia="Arial" w:hAnsi="Arial"/>
          <w:color w:val="212121"/>
          <w:sz w:val="22"/>
          <w:szCs w:val="22"/>
        </w:rPr>
        <w:t xml:space="preserve">OTELP formally adopts the VanDhan Sahayak platform and buyer network management under a signed transition MoU in project Year 3.</w:t>
      </w:r>
    </w:p>
    <w:p>
      <w:pPr>
        <w:pStyle w:val="ListParagraph"/>
        <w:numPr>
          <w:ilvl w:val="0"/>
          <w:numId w:val="2"/>
        </w:numPr>
        <w:spacing w:after="40" w:before="40"/>
      </w:pPr>
      <w:r>
        <w:rPr>
          <w:rFonts w:ascii="Arial" w:cs="Arial" w:eastAsia="Arial" w:hAnsi="Arial"/>
          <w:color w:val="212121"/>
          <w:sz w:val="22"/>
          <w:szCs w:val="22"/>
        </w:rPr>
        <w:t xml:space="preserve">ISB Bharti Institute incorporates the FPC governance curriculum into its regular tribal development programme — training continues beyond project period at no cost.</w:t>
      </w:r>
    </w:p>
    <w:p>
      <w:pPr>
        <w:pStyle w:val="Heading2"/>
        <w:spacing w:after="80" w:before="240"/>
      </w:pPr>
      <w:r>
        <w:rPr>
          <w:rFonts w:ascii="Arial" w:cs="Arial" w:eastAsia="Arial" w:hAnsi="Arial"/>
          <w:b/>
          <w:bCs/>
          <w:color w:val="2E7D32"/>
          <w:sz w:val="26"/>
          <w:szCs w:val="26"/>
        </w:rPr>
        <w:t xml:space="preserve">8.3 Environmental Sustainability</w:t>
      </w:r>
    </w:p>
    <w:p>
      <w:pPr>
        <w:pStyle w:val="ListParagraph"/>
        <w:numPr>
          <w:ilvl w:val="0"/>
          <w:numId w:val="2"/>
        </w:numPr>
        <w:spacing w:after="40" w:before="40"/>
      </w:pPr>
      <w:r>
        <w:rPr>
          <w:rFonts w:ascii="Arial" w:cs="Arial" w:eastAsia="Arial" w:hAnsi="Arial"/>
          <w:color w:val="212121"/>
          <w:sz w:val="22"/>
          <w:szCs w:val="22"/>
        </w:rPr>
        <w:t xml:space="preserve">Sustainable harvest protocols codified in FPC bylaws: members who violate quotas face suspension from profit-sharing — creating peer enforcement of conservation norms.</w:t>
      </w:r>
    </w:p>
    <w:p>
      <w:pPr>
        <w:pStyle w:val="ListParagraph"/>
        <w:numPr>
          <w:ilvl w:val="0"/>
          <w:numId w:val="2"/>
        </w:numPr>
        <w:spacing w:after="40" w:before="40"/>
      </w:pPr>
      <w:r>
        <w:rPr>
          <w:rFonts w:ascii="Arial" w:cs="Arial" w:eastAsia="Arial" w:hAnsi="Arial"/>
          <w:color w:val="212121"/>
          <w:sz w:val="22"/>
          <w:szCs w:val="22"/>
        </w:rPr>
        <w:t xml:space="preserve">80,000 ha of forest area covered by joint monitoring (FPC + Forest Dept) using a simple GPS-tagged quarterly patrol protocol.</w:t>
      </w:r>
    </w:p>
    <w:p>
      <w:pPr>
        <w:pStyle w:val="ListParagraph"/>
        <w:numPr>
          <w:ilvl w:val="0"/>
          <w:numId w:val="2"/>
        </w:numPr>
        <w:spacing w:after="40" w:before="40"/>
      </w:pPr>
      <w:r>
        <w:rPr>
          <w:rFonts w:ascii="Arial" w:cs="Arial" w:eastAsia="Arial" w:hAnsi="Arial"/>
          <w:color w:val="212121"/>
          <w:sz w:val="22"/>
          <w:szCs w:val="22"/>
        </w:rPr>
        <w:t xml:space="preserve">Price premium for certified sustainable-harvest produce (10-15% above standard) creates market-based incentive for conservation compliance.</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9. Risk Analysis &amp;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3638"/>
        <w:gridCol w:w="2000"/>
      </w:tblGrid>
      <w:tr>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1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6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Middlemen resistance / intimidation of women collectors</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High</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High</w:t>
            </w:r>
          </w:p>
        </w:tc>
        <w:tc>
          <w:tcPr>
            <w:tcW w:type="dxa" w:w="3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Collector and local police sensitisation in Y1; legal aid desk in each FPC; name-suppressed grievance hotline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DM Office + Legal Services</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Network/connectivity failure in remote blocks</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High</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c>
          <w:tcPr>
            <w:tcW w:type="dxa" w:w="3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Offline-first app design with 72-hour sync tolerance; BSNL VSAT installed at each FPC shed under BharatNet Phase 3 convergence</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Tech Partner + DoT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Government MoU cancellation or policy change</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High</w:t>
            </w:r>
          </w:p>
        </w:tc>
        <w:tc>
          <w:tcPr>
            <w:tcW w:type="dxa" w:w="3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20+ buyer strategy ensures no single-buyer dependency; private sector buyers (herbal/pharma firms) provide market floor regardless of TRIFED policy</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Manager</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Low FPC member participation / dropout</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c>
          <w:tcPr>
            <w:tcW w:type="dxa" w:w="3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Income advance from Revolving Fund in Year 1 acts as immediate incentive; peer-group model (SHG style) creates social accountability</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Block Coordinators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dept restricts NTFP collection under new rules</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c>
          <w:tcPr>
            <w:tcW w:type="dxa" w:w="1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High</w:t>
            </w:r>
          </w:p>
        </w:tc>
        <w:tc>
          <w:tcPr>
            <w:tcW w:type="dxa" w:w="3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land titles secured before project launch; legal framework under Schedule V protections embedded in FPC MoU; PCCF-level endorsement sought</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Collector</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Climate shock / poor harvest year reducing NTFP volume</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c>
          <w:tcPr>
            <w:tcW w:type="dxa" w:w="1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c>
          <w:tcPr>
            <w:tcW w:type="dxa" w:w="3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5-product diversification strategy prevents single-crop dependency; Revolving Fund covers income gap years; crop insurance sensitisation in training Module 3</w:t>
            </w:r>
          </w:p>
        </w:tc>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FPC Boards</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10. Monitoring, Evaluation &amp; Learning (MEL) Framework</w:t>
      </w:r>
    </w:p>
    <w:p>
      <w:pPr>
        <w:pStyle w:val="Heading2"/>
        <w:spacing w:after="80" w:before="240"/>
      </w:pPr>
      <w:r>
        <w:rPr>
          <w:rFonts w:ascii="Arial" w:cs="Arial" w:eastAsia="Arial" w:hAnsi="Arial"/>
          <w:b/>
          <w:bCs/>
          <w:color w:val="2E7D32"/>
          <w:sz w:val="26"/>
          <w:szCs w:val="26"/>
        </w:rPr>
        <w:t xml:space="preserve">10.1 Monitoring Approach</w:t>
      </w:r>
    </w:p>
    <w:p>
      <w:pPr>
        <w:spacing w:after="80" w:before="80"/>
      </w:pPr>
      <w:r>
        <w:rPr>
          <w:rFonts w:ascii="Arial" w:cs="Arial" w:eastAsia="Arial" w:hAnsi="Arial"/>
          <w:color w:val="212121"/>
          <w:sz w:val="22"/>
          <w:szCs w:val="22"/>
        </w:rPr>
        <w:t xml:space="preserve">The project adopts a participatory MEL approach where FPC members are trained as Community Data Collectors (CDCs) in Year 1. Quantitative data is collected digitally through the VanDhan Sahayak platform (sales volumes, prices, member activity) and supplemented by quarterly field visits from the project team. Qualitative data is gathered through quarterly FGDs with 5 randomly selected FPC boards.</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10.2 Reporting Schedule</w:t>
      </w:r>
    </w:p>
    <w:p>
      <w:pPr>
        <w:pStyle w:val="ListParagraph"/>
        <w:numPr>
          <w:ilvl w:val="0"/>
          <w:numId w:val="2"/>
        </w:numPr>
        <w:spacing w:after="40" w:before="40"/>
      </w:pPr>
      <w:r>
        <w:rPr>
          <w:rFonts w:ascii="Arial" w:cs="Arial" w:eastAsia="Arial" w:hAnsi="Arial"/>
          <w:color w:val="212121"/>
          <w:sz w:val="22"/>
          <w:szCs w:val="22"/>
        </w:rPr>
        <w:t xml:space="preserve">Monthly: FPC-level financial reports (automated from platform data)</w:t>
      </w:r>
    </w:p>
    <w:p>
      <w:pPr>
        <w:pStyle w:val="ListParagraph"/>
        <w:numPr>
          <w:ilvl w:val="0"/>
          <w:numId w:val="2"/>
        </w:numPr>
        <w:spacing w:after="40" w:before="40"/>
      </w:pPr>
      <w:r>
        <w:rPr>
          <w:rFonts w:ascii="Arial" w:cs="Arial" w:eastAsia="Arial" w:hAnsi="Arial"/>
          <w:color w:val="212121"/>
          <w:sz w:val="22"/>
          <w:szCs w:val="22"/>
        </w:rPr>
        <w:t xml:space="preserve">Quarterly: Project progress report to UNDP and GEF SGP National Coordinator (TERI)</w:t>
      </w:r>
    </w:p>
    <w:p>
      <w:pPr>
        <w:pStyle w:val="ListParagraph"/>
        <w:numPr>
          <w:ilvl w:val="0"/>
          <w:numId w:val="2"/>
        </w:numPr>
        <w:spacing w:after="40" w:before="40"/>
      </w:pPr>
      <w:r>
        <w:rPr>
          <w:rFonts w:ascii="Arial" w:cs="Arial" w:eastAsia="Arial" w:hAnsi="Arial"/>
          <w:color w:val="212121"/>
          <w:sz w:val="22"/>
          <w:szCs w:val="22"/>
        </w:rPr>
        <w:t xml:space="preserve">Annual: Full Annual Project Report (APR) with financial audit to all funders</w:t>
      </w:r>
    </w:p>
    <w:p>
      <w:pPr>
        <w:pStyle w:val="ListParagraph"/>
        <w:numPr>
          <w:ilvl w:val="0"/>
          <w:numId w:val="2"/>
        </w:numPr>
        <w:spacing w:after="40" w:before="40"/>
      </w:pPr>
      <w:r>
        <w:rPr>
          <w:rFonts w:ascii="Arial" w:cs="Arial" w:eastAsia="Arial" w:hAnsi="Arial"/>
          <w:color w:val="212121"/>
          <w:sz w:val="22"/>
          <w:szCs w:val="22"/>
        </w:rPr>
        <w:t xml:space="preserve">Mid-term: Independent mid-term review at Month 18 — external evaluator selected by UNDP</w:t>
      </w:r>
    </w:p>
    <w:p>
      <w:pPr>
        <w:pStyle w:val="ListParagraph"/>
        <w:numPr>
          <w:ilvl w:val="0"/>
          <w:numId w:val="2"/>
        </w:numPr>
        <w:spacing w:after="40" w:before="40"/>
      </w:pPr>
      <w:r>
        <w:rPr>
          <w:rFonts w:ascii="Arial" w:cs="Arial" w:eastAsia="Arial" w:hAnsi="Arial"/>
          <w:color w:val="212121"/>
          <w:sz w:val="22"/>
          <w:szCs w:val="22"/>
        </w:rPr>
        <w:t xml:space="preserve">End-line: Independent terminal evaluation at Month 34 — with beneficiary satisfaction survey</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10.3 Learning &amp; Adaptive Management</w:t>
      </w:r>
    </w:p>
    <w:p>
      <w:pPr>
        <w:spacing w:after="80" w:before="80"/>
      </w:pPr>
      <w:r>
        <w:rPr>
          <w:rFonts w:ascii="Arial" w:cs="Arial" w:eastAsia="Arial" w:hAnsi="Arial"/>
          <w:color w:val="212121"/>
          <w:sz w:val="22"/>
          <w:szCs w:val="22"/>
        </w:rPr>
        <w:t xml:space="preserve">A project Steering Committee meets every 6 months with representation from: District Collector (Chair), UNDP, GEF SGP NHI (TERI), ISB, 2 elected FPC representatives, Forest Dept, and NABARD. The committee reviews KPIs and has authority to reallocate up to 15% of budget between components in response to field evidence — without requiring funder approval. This adaptive management clause must be accepted by all funders at grant agreement stage.</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11. Stakeholder Map &amp; Partnership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638"/>
      </w:tblGrid>
      <w:tr>
        <w:tc>
          <w:tcPr>
            <w:tcW w:type="dxa" w:w="2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Stakeholder</w:t>
            </w:r>
          </w:p>
        </w:tc>
        <w:tc>
          <w:tcPr>
            <w:tcW w:type="dxa" w:w="2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Commitment Required</w:t>
            </w:r>
          </w:p>
        </w:tc>
        <w:tc>
          <w:tcPr>
            <w:tcW w:type="dxa" w:w="26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District Administration (DM Office)</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Lead implementing agency; land allocation; legal facilitation</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DM letter of support; MGNREGS convergence order</w:t>
            </w:r>
          </w:p>
        </w:tc>
        <w:tc>
          <w:tcPr>
            <w:tcW w:type="dxa" w:w="2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Letter of Intent received</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Mission Shakti, Govt of Odisha</w:t>
            </w:r>
          </w:p>
        </w:tc>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Existing Green Shakti FPC model; women mobilisation</w:t>
            </w:r>
          </w:p>
        </w:tc>
        <w:tc>
          <w:tcPr>
            <w:tcW w:type="dxa" w:w="2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State-level MoU; budget line in Mission Shakti Y3 plan</w:t>
            </w:r>
          </w:p>
        </w:tc>
        <w:tc>
          <w:tcPr>
            <w:tcW w:type="dxa" w:w="2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Active partner — model already running in Kalimela</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UNDP India</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Funding co-partner; technical oversight; global knowledge links</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USD 150,000 grant agreement; UNDP country programme alignment</w:t>
            </w:r>
          </w:p>
        </w:tc>
        <w:tc>
          <w:tcPr>
            <w:tcW w:type="dxa" w:w="2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Concept note under review</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GEF Small Grants Programme (via TERI/UNDP)</w:t>
            </w:r>
          </w:p>
        </w:tc>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grant funder (USD 50,000); quality assurance</w:t>
            </w:r>
          </w:p>
        </w:tc>
        <w:tc>
          <w:tcPr>
            <w:tcW w:type="dxa" w:w="2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Full proposal submission to SGP India NHI</w:t>
            </w:r>
          </w:p>
        </w:tc>
        <w:tc>
          <w:tcPr>
            <w:tcW w:type="dxa" w:w="2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This document is the full proposal</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 Bharti Institute of Public Policy</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Technical partner: FPC training, market research, business planning</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MoU for 3-year partnership; faculty deployment</w:t>
            </w:r>
          </w:p>
        </w:tc>
        <w:tc>
          <w:tcPr>
            <w:tcW w:type="dxa" w:w="2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MoU in preparation</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OTELP (Odisha Tribal Empowerment &amp; Livelihoods Programme)</w:t>
            </w:r>
          </w:p>
        </w:tc>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Platform handover recipient; community mobilisation support</w:t>
            </w:r>
          </w:p>
        </w:tc>
        <w:tc>
          <w:tcPr>
            <w:tcW w:type="dxa" w:w="2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Technology transition MoU; staff co-deployment</w:t>
            </w:r>
          </w:p>
        </w:tc>
        <w:tc>
          <w:tcPr>
            <w:tcW w:type="dxa" w:w="2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Verbal confirmation; formal MoU in Y3</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Revolving Fund co-investor; financial literacy training (RSETIs)</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TDF allocation of INR 50 lakh; RSETI training slots</w:t>
            </w:r>
          </w:p>
        </w:tc>
        <w:tc>
          <w:tcPr>
            <w:tcW w:type="dxa" w:w="2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 regional office engagement initiated</w:t>
            </w:r>
          </w:p>
        </w:tc>
      </w:tr>
      <w:tr>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TRIFED + 20 Private Buyers</w:t>
            </w:r>
          </w:p>
        </w:tc>
        <w:tc>
          <w:tcPr>
            <w:tcW w:type="dxa" w:w="22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Verified market off-take; direct purchase MoUs</w:t>
            </w:r>
          </w:p>
        </w:tc>
        <w:tc>
          <w:tcPr>
            <w:tcW w:type="dxa" w:w="26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Signed MoUs with price commitments; advance payment protocols</w:t>
            </w:r>
          </w:p>
        </w:tc>
        <w:tc>
          <w:tcPr>
            <w:tcW w:type="dxa" w:w="2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TRIFED national MoU existing; private buyers to be secured in Y1</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12. Expected Impact &amp; Development Contribution</w:t>
      </w:r>
    </w:p>
    <w:p>
      <w:pPr>
        <w:pStyle w:val="Heading2"/>
        <w:spacing w:after="80" w:before="240"/>
      </w:pPr>
      <w:r>
        <w:rPr>
          <w:rFonts w:ascii="Arial" w:cs="Arial" w:eastAsia="Arial" w:hAnsi="Arial"/>
          <w:b/>
          <w:bCs/>
          <w:color w:val="2E7D32"/>
          <w:sz w:val="26"/>
          <w:szCs w:val="26"/>
        </w:rPr>
        <w:t xml:space="preserve">12.1 Direct Impact by 2028</w:t>
      </w:r>
    </w:p>
    <w:p>
      <w:pPr>
        <w:spacing w:after="80" w:before="80"/>
      </w:pPr>
      <w:r>
        <w:rPr>
          <w:rFonts w:ascii="Arial" w:cs="Arial" w:eastAsia="Arial" w:hAnsi="Arial"/>
          <w:color w:val="212121"/>
          <w:sz w:val="22"/>
          <w:szCs w:val="22"/>
        </w:rPr>
        <w:t xml:space="preserve">The following concrete, measurable impacts will be achieved by December 2028:</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c>
          <w:tcPr>
            <w:tcW w:type="dxa" w:w="5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Headline</w:t>
            </w:r>
          </w:p>
        </w:tc>
        <w:tc>
          <w:tcPr>
            <w:tcW w:type="dxa" w:w="46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Quantity / Value</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PVTG women with tripled annual income (INR 18K to 55K+)</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5,000 women</w:t>
            </w:r>
          </w:p>
        </w:tc>
      </w:tr>
      <w:tr>
        <w:tc>
          <w:tcPr>
            <w:tcW w:type="dxa" w:w="5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Household members lifted above poverty line (INR 2,500/month threshold)</w:t>
            </w:r>
          </w:p>
        </w:tc>
        <w:tc>
          <w:tcPr>
            <w:tcW w:type="dxa" w:w="4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25,000+ people</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Value of NTFP traded through fair-price channels (Year 3 annualised)</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INR 18 crore / year</w:t>
            </w:r>
          </w:p>
        </w:tc>
      </w:tr>
      <w:tr>
        <w:tc>
          <w:tcPr>
            <w:tcW w:type="dxa" w:w="5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Hectares of forest under participatory sustainable management</w:t>
            </w:r>
          </w:p>
        </w:tc>
        <w:tc>
          <w:tcPr>
            <w:tcW w:type="dxa" w:w="4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80,000 ha</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Legally registered women-led producer companies</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10 FPCs</w:t>
            </w:r>
          </w:p>
        </w:tc>
      </w:tr>
      <w:tr>
        <w:tc>
          <w:tcPr>
            <w:tcW w:type="dxa" w:w="5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 with formal bank account (first time)</w:t>
            </w:r>
          </w:p>
        </w:tc>
        <w:tc>
          <w:tcPr>
            <w:tcW w:type="dxa" w:w="4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4,100 new accounts</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Children of beneficiaries enrolled in school (proxy nutritional security)</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Increase from 62% to 90%</w:t>
            </w:r>
          </w:p>
        </w:tc>
      </w:tr>
      <w:tr>
        <w:tc>
          <w:tcPr>
            <w:tcW w:type="dxa" w:w="5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Tonnes of NTFP post-harvest loss eliminated through processing units</w:t>
            </w:r>
          </w:p>
        </w:tc>
        <w:tc>
          <w:tcPr>
            <w:tcW w:type="dxa" w:w="4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320 MT/year saved</w:t>
            </w:r>
          </w:p>
        </w:tc>
      </w:tr>
    </w:tbl>
    <w:p>
      <w:pPr>
        <w:spacing w:after="80" w:before="80"/>
      </w:pPr>
      <w:r>
        <w:t xml:space="preserve"/>
      </w:r>
    </w:p>
    <w:p>
      <w:pPr>
        <w:pStyle w:val="Heading2"/>
        <w:spacing w:after="80" w:before="240"/>
      </w:pPr>
      <w:r>
        <w:rPr>
          <w:rFonts w:ascii="Arial" w:cs="Arial" w:eastAsia="Arial" w:hAnsi="Arial"/>
          <w:b/>
          <w:bCs/>
          <w:color w:val="2E7D32"/>
          <w:sz w:val="26"/>
          <w:szCs w:val="26"/>
        </w:rPr>
        <w:t xml:space="preserve">12.2 SDG Contribution</w:t>
      </w:r>
    </w:p>
    <w:p>
      <w:pPr>
        <w:pStyle w:val="ListParagraph"/>
        <w:numPr>
          <w:ilvl w:val="0"/>
          <w:numId w:val="2"/>
        </w:numPr>
        <w:spacing w:after="40" w:before="40"/>
      </w:pPr>
      <w:r>
        <w:rPr>
          <w:rFonts w:ascii="Arial" w:cs="Arial" w:eastAsia="Arial" w:hAnsi="Arial"/>
          <w:color w:val="212121"/>
          <w:sz w:val="22"/>
          <w:szCs w:val="22"/>
        </w:rPr>
        <w:t xml:space="preserve">SDG 1 (No Poverty): 25,000 people above poverty line; Revolving Fund eliminates debt bondage</w:t>
      </w:r>
    </w:p>
    <w:p>
      <w:pPr>
        <w:pStyle w:val="ListParagraph"/>
        <w:numPr>
          <w:ilvl w:val="0"/>
          <w:numId w:val="2"/>
        </w:numPr>
        <w:spacing w:after="40" w:before="40"/>
      </w:pPr>
      <w:r>
        <w:rPr>
          <w:rFonts w:ascii="Arial" w:cs="Arial" w:eastAsia="Arial" w:hAnsi="Arial"/>
          <w:color w:val="212121"/>
          <w:sz w:val="22"/>
          <w:szCs w:val="22"/>
        </w:rPr>
        <w:t xml:space="preserve">SDG 5 (Gender Equality): Women control own income; 110 women directors in formal governance roles; FPC bylaws prevent male appropriation of earnings</w:t>
      </w:r>
    </w:p>
    <w:p>
      <w:pPr>
        <w:pStyle w:val="ListParagraph"/>
        <w:numPr>
          <w:ilvl w:val="0"/>
          <w:numId w:val="2"/>
        </w:numPr>
        <w:spacing w:after="40" w:before="40"/>
      </w:pPr>
      <w:r>
        <w:rPr>
          <w:rFonts w:ascii="Arial" w:cs="Arial" w:eastAsia="Arial" w:hAnsi="Arial"/>
          <w:color w:val="212121"/>
          <w:sz w:val="22"/>
          <w:szCs w:val="22"/>
        </w:rPr>
        <w:t xml:space="preserve">SDG 8 (Decent Work &amp; Economic Growth): 5,000 women transition from informal extraction to formal enterprise; 60 processing unit jobs created</w:t>
      </w:r>
    </w:p>
    <w:p>
      <w:pPr>
        <w:pStyle w:val="ListParagraph"/>
        <w:numPr>
          <w:ilvl w:val="0"/>
          <w:numId w:val="2"/>
        </w:numPr>
        <w:spacing w:after="40" w:before="40"/>
      </w:pPr>
      <w:r>
        <w:rPr>
          <w:rFonts w:ascii="Arial" w:cs="Arial" w:eastAsia="Arial" w:hAnsi="Arial"/>
          <w:color w:val="212121"/>
          <w:sz w:val="22"/>
          <w:szCs w:val="22"/>
        </w:rPr>
        <w:t xml:space="preserve">SDG 10 (Reduced Inequalities): Exploitation margin eliminated; PVTG communities receive fair market value for first time</w:t>
      </w:r>
    </w:p>
    <w:p>
      <w:pPr>
        <w:pStyle w:val="ListParagraph"/>
        <w:numPr>
          <w:ilvl w:val="0"/>
          <w:numId w:val="2"/>
        </w:numPr>
        <w:spacing w:after="40" w:before="40"/>
      </w:pPr>
      <w:r>
        <w:rPr>
          <w:rFonts w:ascii="Arial" w:cs="Arial" w:eastAsia="Arial" w:hAnsi="Arial"/>
          <w:color w:val="212121"/>
          <w:sz w:val="22"/>
          <w:szCs w:val="22"/>
        </w:rPr>
        <w:t xml:space="preserve">SDG 12 (Responsible Consumption): Sustainable harvest certification; reduction of over-extraction driven by poverty pricing</w:t>
      </w:r>
    </w:p>
    <w:p>
      <w:pPr>
        <w:pStyle w:val="ListParagraph"/>
        <w:numPr>
          <w:ilvl w:val="0"/>
          <w:numId w:val="2"/>
        </w:numPr>
        <w:spacing w:after="40" w:before="40"/>
      </w:pPr>
      <w:r>
        <w:rPr>
          <w:rFonts w:ascii="Arial" w:cs="Arial" w:eastAsia="Arial" w:hAnsi="Arial"/>
          <w:color w:val="212121"/>
          <w:sz w:val="22"/>
          <w:szCs w:val="22"/>
        </w:rPr>
        <w:t xml:space="preserve">SDG 15 (Life on Land): 80,000 ha under participatory community forest management; biodiversity monitoring by FPC members</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12.3 Scalability &amp; Replication Potential</w:t>
      </w:r>
    </w:p>
    <w:p>
      <w:pPr>
        <w:spacing w:after="80" w:before="80"/>
      </w:pPr>
      <w:r>
        <w:rPr>
          <w:rFonts w:ascii="Arial" w:cs="Arial" w:eastAsia="Arial" w:hAnsi="Arial"/>
          <w:color w:val="212121"/>
          <w:sz w:val="22"/>
          <w:szCs w:val="22"/>
        </w:rPr>
        <w:t xml:space="preserve">The MNVCP model is explicitly designed to be replicated across all 19 NTFP-intensive tribal districts of Odisha (Koraput, Rayagada, Kandhamal, Sundargarh, Nabarangpur, and others). The open-source VanDhan Sahayak platform can be deployed in any district with 2 weeks of localisation. OTELP has confirmed intent to replicate in 3 additional districts using state budget in 2029–30. The ISB training curriculum will be published as a public resource.</w:t>
      </w:r>
    </w:p>
    <w:p>
      <w:pPr>
        <w:pBdr>
          <w:left w:val="single" w:color="F9A825" w:sz="18" w:space="8"/>
        </w:pBdr>
        <w:spacing w:after="120" w:before="120"/>
        <w:ind w:left="400"/>
      </w:pPr>
      <w:r>
        <w:rPr>
          <w:rFonts w:ascii="Arial" w:cs="Arial" w:eastAsia="Arial" w:hAnsi="Arial"/>
          <w:i/>
          <w:iCs/>
          <w:color w:val="616161"/>
          <w:sz w:val="22"/>
          <w:szCs w:val="22"/>
        </w:rPr>
        <w:t xml:space="preserve">If replicated across Odisha's 19 tribal NTFP districts, the model has potential to impact 85,000+ PVTG women and generate an estimated INR 300 crore annually in fair-value forest trade — at no additional international funding requirement.</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13. Implementing Organisation Profile</w:t>
      </w:r>
    </w:p>
    <w:p>
      <w:pPr>
        <w:pStyle w:val="Heading2"/>
        <w:spacing w:after="80" w:before="240"/>
      </w:pPr>
      <w:r>
        <w:rPr>
          <w:rFonts w:ascii="Arial" w:cs="Arial" w:eastAsia="Arial" w:hAnsi="Arial"/>
          <w:b/>
          <w:bCs/>
          <w:color w:val="2E7D32"/>
          <w:sz w:val="26"/>
          <w:szCs w:val="26"/>
        </w:rPr>
        <w:t xml:space="preserve">13.1 Malkangiri District Administration</w:t>
      </w:r>
    </w:p>
    <w:p>
      <w:pPr>
        <w:spacing w:after="80" w:before="80"/>
      </w:pPr>
      <w:r>
        <w:rPr>
          <w:rFonts w:ascii="Arial" w:cs="Arial" w:eastAsia="Arial" w:hAnsi="Arial"/>
          <w:color w:val="212121"/>
          <w:sz w:val="22"/>
          <w:szCs w:val="22"/>
        </w:rPr>
        <w:t xml:space="preserve">The Malkangiri District Administration, headed by the District Collector (IAS), is the lead implementing entity. The district has active programmes under MGNREGS, PMGSY, PMAY, and NHM with demonstrated fund absorption capacity. The DRDA (District Rural Development Authority) will serve as the day-to-day project management unit with a dedicated Project Implementation Unit (PIU) of 8 staff established in Month 1.</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13.2 Project Implementation Unit Composition</w:t>
      </w:r>
    </w:p>
    <w:p>
      <w:pPr>
        <w:pStyle w:val="ListParagraph"/>
        <w:numPr>
          <w:ilvl w:val="0"/>
          <w:numId w:val="2"/>
        </w:numPr>
        <w:spacing w:after="40" w:before="40"/>
      </w:pPr>
      <w:r>
        <w:rPr>
          <w:rFonts w:ascii="Arial" w:cs="Arial" w:eastAsia="Arial" w:hAnsi="Arial"/>
          <w:color w:val="212121"/>
          <w:sz w:val="22"/>
          <w:szCs w:val="22"/>
        </w:rPr>
        <w:t xml:space="preserve">Project Director: District Collector or designated ADM</w:t>
      </w:r>
    </w:p>
    <w:p>
      <w:pPr>
        <w:pStyle w:val="ListParagraph"/>
        <w:numPr>
          <w:ilvl w:val="0"/>
          <w:numId w:val="2"/>
        </w:numPr>
        <w:spacing w:after="40" w:before="40"/>
      </w:pPr>
      <w:r>
        <w:rPr>
          <w:rFonts w:ascii="Arial" w:cs="Arial" w:eastAsia="Arial" w:hAnsi="Arial"/>
          <w:color w:val="212121"/>
          <w:sz w:val="22"/>
          <w:szCs w:val="22"/>
        </w:rPr>
        <w:t xml:space="preserve">Project Manager (NTFP &amp; Livelihoods): MSc Forestry / Rural Management, 5+ years field experience</w:t>
      </w:r>
    </w:p>
    <w:p>
      <w:pPr>
        <w:pStyle w:val="ListParagraph"/>
        <w:numPr>
          <w:ilvl w:val="0"/>
          <w:numId w:val="2"/>
        </w:numPr>
        <w:spacing w:after="40" w:before="40"/>
      </w:pPr>
      <w:r>
        <w:rPr>
          <w:rFonts w:ascii="Arial" w:cs="Arial" w:eastAsia="Arial" w:hAnsi="Arial"/>
          <w:color w:val="212121"/>
          <w:sz w:val="22"/>
          <w:szCs w:val="22"/>
        </w:rPr>
        <w:t xml:space="preserve">Block Coordinators (5): One per block — tribal language proficiency mandatory</w:t>
      </w:r>
    </w:p>
    <w:p>
      <w:pPr>
        <w:pStyle w:val="ListParagraph"/>
        <w:numPr>
          <w:ilvl w:val="0"/>
          <w:numId w:val="2"/>
        </w:numPr>
        <w:spacing w:after="40" w:before="40"/>
      </w:pPr>
      <w:r>
        <w:rPr>
          <w:rFonts w:ascii="Arial" w:cs="Arial" w:eastAsia="Arial" w:hAnsi="Arial"/>
          <w:color w:val="212121"/>
          <w:sz w:val="22"/>
          <w:szCs w:val="22"/>
        </w:rPr>
        <w:t xml:space="preserve">Technology Manager: Mobile platform deployment and VSAT network management</w:t>
      </w:r>
    </w:p>
    <w:p>
      <w:pPr>
        <w:pStyle w:val="ListParagraph"/>
        <w:numPr>
          <w:ilvl w:val="0"/>
          <w:numId w:val="2"/>
        </w:numPr>
        <w:spacing w:after="40" w:before="40"/>
      </w:pPr>
      <w:r>
        <w:rPr>
          <w:rFonts w:ascii="Arial" w:cs="Arial" w:eastAsia="Arial" w:hAnsi="Arial"/>
          <w:color w:val="212121"/>
          <w:sz w:val="22"/>
          <w:szCs w:val="22"/>
        </w:rPr>
        <w:t xml:space="preserve">Finance &amp; Compliance Officer: FCRA / PFMS literate; audit reporting</w:t>
      </w:r>
    </w:p>
    <w:p>
      <w:pPr>
        <w:pStyle w:val="ListParagraph"/>
        <w:numPr>
          <w:ilvl w:val="0"/>
          <w:numId w:val="2"/>
        </w:numPr>
        <w:spacing w:after="40" w:before="40"/>
      </w:pPr>
      <w:r>
        <w:rPr>
          <w:rFonts w:ascii="Arial" w:cs="Arial" w:eastAsia="Arial" w:hAnsi="Arial"/>
          <w:color w:val="212121"/>
          <w:sz w:val="22"/>
          <w:szCs w:val="22"/>
        </w:rPr>
        <w:t xml:space="preserve">M&amp;E Officer: Data collection, KPI tracking, report preparation</w:t>
      </w:r>
    </w:p>
    <w:p>
      <w:pPr>
        <w:pStyle w:val="ListParagraph"/>
        <w:numPr>
          <w:ilvl w:val="0"/>
          <w:numId w:val="2"/>
        </w:numPr>
        <w:spacing w:after="40" w:before="40"/>
      </w:pPr>
      <w:r>
        <w:rPr>
          <w:rFonts w:ascii="Arial" w:cs="Arial" w:eastAsia="Arial" w:hAnsi="Arial"/>
          <w:color w:val="212121"/>
          <w:sz w:val="22"/>
          <w:szCs w:val="22"/>
        </w:rPr>
        <w:t xml:space="preserve">Community Mobilisers (10): Women — selected from FPC founding members</w:t>
      </w:r>
    </w:p>
    <w:p>
      <w:pPr>
        <w:spacing w:after="80" w:before="80"/>
      </w:pPr>
      <w:r>
        <w:t xml:space="preserve"/>
      </w:r>
    </w:p>
    <w:p>
      <w:pPr>
        <w:pStyle w:val="Heading2"/>
        <w:spacing w:after="80" w:before="240"/>
      </w:pPr>
      <w:r>
        <w:rPr>
          <w:rFonts w:ascii="Arial" w:cs="Arial" w:eastAsia="Arial" w:hAnsi="Arial"/>
          <w:b/>
          <w:bCs/>
          <w:color w:val="2E7D32"/>
          <w:sz w:val="26"/>
          <w:szCs w:val="26"/>
        </w:rPr>
        <w:t xml:space="preserve">13.3 ISB Bharti Institute of Public Policy — Technical Partner</w:t>
      </w:r>
    </w:p>
    <w:p>
      <w:pPr>
        <w:spacing w:after="80" w:before="80"/>
      </w:pPr>
      <w:r>
        <w:rPr>
          <w:rFonts w:ascii="Arial" w:cs="Arial" w:eastAsia="Arial" w:hAnsi="Arial"/>
          <w:color w:val="212121"/>
          <w:sz w:val="22"/>
          <w:szCs w:val="22"/>
        </w:rPr>
        <w:t xml:space="preserve">The Indian School of Business's Bharti Institute of Public Policy has existing engagement in tribal development in Odisha, including the Green Shakti producer company model in Malkangiri. ISB will provide: FPC governance curriculum design; market linkage strategy; annual business health assessments of FPCs; and publication of peer-reviewed learning documentation for global replication.</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14. Compliance, Safeguards &amp; Environmental Standards</w:t>
      </w:r>
    </w:p>
    <w:p>
      <w:pPr>
        <w:pStyle w:val="Heading2"/>
        <w:spacing w:after="80" w:before="240"/>
      </w:pPr>
      <w:r>
        <w:rPr>
          <w:rFonts w:ascii="Arial" w:cs="Arial" w:eastAsia="Arial" w:hAnsi="Arial"/>
          <w:b/>
          <w:bCs/>
          <w:color w:val="2E7D32"/>
          <w:sz w:val="26"/>
          <w:szCs w:val="26"/>
        </w:rPr>
        <w:t xml:space="preserve">14.1 Social Safeguards</w:t>
      </w:r>
    </w:p>
    <w:p>
      <w:pPr>
        <w:pStyle w:val="ListParagraph"/>
        <w:numPr>
          <w:ilvl w:val="0"/>
          <w:numId w:val="2"/>
        </w:numPr>
        <w:spacing w:after="40" w:before="40"/>
      </w:pPr>
      <w:r>
        <w:rPr>
          <w:rFonts w:ascii="Arial" w:cs="Arial" w:eastAsia="Arial" w:hAnsi="Arial"/>
          <w:color w:val="212121"/>
          <w:sz w:val="22"/>
          <w:szCs w:val="22"/>
        </w:rPr>
        <w:t xml:space="preserve">Free, Prior, and Informed Consent (FPIC): Gram Sabhas in all target villages will be convened and FPIC documented before any project activity commences in that village. Village-level FPC formation requires 75%+ women's vote in the Gram Sabha. This is non-negotiable.</w:t>
      </w:r>
    </w:p>
    <w:p>
      <w:pPr>
        <w:pStyle w:val="ListParagraph"/>
        <w:numPr>
          <w:ilvl w:val="0"/>
          <w:numId w:val="2"/>
        </w:numPr>
        <w:spacing w:after="40" w:before="40"/>
      </w:pPr>
      <w:r>
        <w:rPr>
          <w:rFonts w:ascii="Arial" w:cs="Arial" w:eastAsia="Arial" w:hAnsi="Arial"/>
          <w:color w:val="212121"/>
          <w:sz w:val="22"/>
          <w:szCs w:val="22"/>
        </w:rPr>
        <w:t xml:space="preserve">Gender: A Gender Action Plan (GAP) will be developed in Month 1. All training materials in Gondi language. Meetings scheduled at times that do not conflict with women's domestic responsibilities. Women's income must be deposited in women's individual bank accounts — not household/male accounts.</w:t>
      </w:r>
    </w:p>
    <w:p>
      <w:pPr>
        <w:pStyle w:val="ListParagraph"/>
        <w:numPr>
          <w:ilvl w:val="0"/>
          <w:numId w:val="2"/>
        </w:numPr>
        <w:spacing w:after="40" w:before="40"/>
      </w:pPr>
      <w:r>
        <w:rPr>
          <w:rFonts w:ascii="Arial" w:cs="Arial" w:eastAsia="Arial" w:hAnsi="Arial"/>
          <w:color w:val="212121"/>
          <w:sz w:val="22"/>
          <w:szCs w:val="22"/>
        </w:rPr>
        <w:t xml:space="preserve">Vulnerable Groups: Bonda community engagement will follow a specially designed Bonda Community Engagement Protocol developed in consultation with the Bonda Development Agency and respecting historical autonomy preferences.</w:t>
      </w:r>
    </w:p>
    <w:p>
      <w:pPr>
        <w:pStyle w:val="Heading2"/>
        <w:spacing w:after="80" w:before="240"/>
      </w:pPr>
      <w:r>
        <w:rPr>
          <w:rFonts w:ascii="Arial" w:cs="Arial" w:eastAsia="Arial" w:hAnsi="Arial"/>
          <w:b/>
          <w:bCs/>
          <w:color w:val="2E7D32"/>
          <w:sz w:val="26"/>
          <w:szCs w:val="26"/>
        </w:rPr>
        <w:t xml:space="preserve">14.2 Environmental Safeguards</w:t>
      </w:r>
    </w:p>
    <w:p>
      <w:pPr>
        <w:pStyle w:val="ListParagraph"/>
        <w:numPr>
          <w:ilvl w:val="0"/>
          <w:numId w:val="2"/>
        </w:numPr>
        <w:spacing w:after="40" w:before="40"/>
      </w:pPr>
      <w:r>
        <w:rPr>
          <w:rFonts w:ascii="Arial" w:cs="Arial" w:eastAsia="Arial" w:hAnsi="Arial"/>
          <w:color w:val="212121"/>
          <w:sz w:val="22"/>
          <w:szCs w:val="22"/>
        </w:rPr>
        <w:t xml:space="preserve">No project activity involves forest clearing, chemical use, or industrial processing — all activities are post-harvest and within existing built environments.</w:t>
      </w:r>
    </w:p>
    <w:p>
      <w:pPr>
        <w:pStyle w:val="ListParagraph"/>
        <w:numPr>
          <w:ilvl w:val="0"/>
          <w:numId w:val="2"/>
        </w:numPr>
        <w:spacing w:after="40" w:before="40"/>
      </w:pPr>
      <w:r>
        <w:rPr>
          <w:rFonts w:ascii="Arial" w:cs="Arial" w:eastAsia="Arial" w:hAnsi="Arial"/>
          <w:color w:val="212121"/>
          <w:sz w:val="22"/>
          <w:szCs w:val="22"/>
        </w:rPr>
        <w:t xml:space="preserve">Sustainable harvest protocol will be co-developed with the Odisha Principal Chief Conservator of Forests (PCCF) and submitted to the State Biodiversity Board for review.</w:t>
      </w:r>
    </w:p>
    <w:p>
      <w:pPr>
        <w:pStyle w:val="ListParagraph"/>
        <w:numPr>
          <w:ilvl w:val="0"/>
          <w:numId w:val="2"/>
        </w:numPr>
        <w:spacing w:after="40" w:before="40"/>
      </w:pPr>
      <w:r>
        <w:rPr>
          <w:rFonts w:ascii="Arial" w:cs="Arial" w:eastAsia="Arial" w:hAnsi="Arial"/>
          <w:color w:val="212121"/>
          <w:sz w:val="22"/>
          <w:szCs w:val="22"/>
        </w:rPr>
        <w:t xml:space="preserve">No genetically modified organisms, pesticides, or synthetic inputs in any processing unit.</w:t>
      </w:r>
    </w:p>
    <w:p>
      <w:pPr>
        <w:pStyle w:val="Heading2"/>
        <w:spacing w:after="80" w:before="240"/>
      </w:pPr>
      <w:r>
        <w:rPr>
          <w:rFonts w:ascii="Arial" w:cs="Arial" w:eastAsia="Arial" w:hAnsi="Arial"/>
          <w:b/>
          <w:bCs/>
          <w:color w:val="2E7D32"/>
          <w:sz w:val="26"/>
          <w:szCs w:val="26"/>
        </w:rPr>
        <w:t xml:space="preserve">14.3 Financial Compliance</w:t>
      </w:r>
    </w:p>
    <w:p>
      <w:pPr>
        <w:pStyle w:val="ListParagraph"/>
        <w:numPr>
          <w:ilvl w:val="0"/>
          <w:numId w:val="2"/>
        </w:numPr>
        <w:spacing w:after="40" w:before="40"/>
      </w:pPr>
      <w:r>
        <w:rPr>
          <w:rFonts w:ascii="Arial" w:cs="Arial" w:eastAsia="Arial" w:hAnsi="Arial"/>
          <w:color w:val="212121"/>
          <w:sz w:val="22"/>
          <w:szCs w:val="22"/>
        </w:rPr>
        <w:t xml:space="preserve">All project funds managed under Government of Odisha's PFMS (Public Financial Management System) for full digital audit trail</w:t>
      </w:r>
    </w:p>
    <w:p>
      <w:pPr>
        <w:pStyle w:val="ListParagraph"/>
        <w:numPr>
          <w:ilvl w:val="0"/>
          <w:numId w:val="2"/>
        </w:numPr>
        <w:spacing w:after="40" w:before="40"/>
      </w:pPr>
      <w:r>
        <w:rPr>
          <w:rFonts w:ascii="Arial" w:cs="Arial" w:eastAsia="Arial" w:hAnsi="Arial"/>
          <w:color w:val="212121"/>
          <w:sz w:val="22"/>
          <w:szCs w:val="22"/>
        </w:rPr>
        <w:t xml:space="preserve">Annual independent financial audit by CA firm empanelled with CAG</w:t>
      </w:r>
    </w:p>
    <w:p>
      <w:pPr>
        <w:pStyle w:val="ListParagraph"/>
        <w:numPr>
          <w:ilvl w:val="0"/>
          <w:numId w:val="2"/>
        </w:numPr>
        <w:spacing w:after="40" w:before="40"/>
      </w:pPr>
      <w:r>
        <w:rPr>
          <w:rFonts w:ascii="Arial" w:cs="Arial" w:eastAsia="Arial" w:hAnsi="Arial"/>
          <w:color w:val="212121"/>
          <w:sz w:val="22"/>
          <w:szCs w:val="22"/>
        </w:rPr>
        <w:t xml:space="preserve">FCRA registration obtained by District Administration for international fund receipt (GEF SGP + UNDP)</w:t>
      </w:r>
    </w:p>
    <w:p>
      <w:pPr>
        <w:pStyle w:val="ListParagraph"/>
        <w:numPr>
          <w:ilvl w:val="0"/>
          <w:numId w:val="2"/>
        </w:numPr>
        <w:spacing w:after="40" w:before="40"/>
      </w:pPr>
      <w:r>
        <w:rPr>
          <w:rFonts w:ascii="Arial" w:cs="Arial" w:eastAsia="Arial" w:hAnsi="Arial"/>
          <w:color w:val="212121"/>
          <w:sz w:val="22"/>
          <w:szCs w:val="22"/>
        </w:rPr>
        <w:t xml:space="preserve">GEF SGP financial reporting standards applied: quarterly financial reports with budget vs actual variance analysis</w:t>
      </w:r>
    </w:p>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15. Conclusion &amp; Funding Request</w:t>
      </w:r>
    </w:p>
    <w:p>
      <w:pPr>
        <w:spacing w:after="80" w:before="80"/>
      </w:pPr>
      <w:r>
        <w:rPr>
          <w:rFonts w:ascii="Arial" w:cs="Arial" w:eastAsia="Arial" w:hAnsi="Arial"/>
          <w:color w:val="212121"/>
          <w:sz w:val="22"/>
          <w:szCs w:val="22"/>
        </w:rPr>
        <w:t xml:space="preserve">The Malkangiri NTFP Women's Value Chain Platform is not a pilot. It is the scaling of a proven model, in a district that has the highest NTFP potential in Odisha, targeting the most marginalised women in India's tribal development landscape. The conditions that make this project uniquely ready for immediate funding approval are:</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Proven concept: Green Shakti's Karanja seed sales in Kalimela provide direct, recent, local proof-of-concept with documented income outcomes</w:t>
      </w:r>
    </w:p>
    <w:p>
      <w:pPr>
        <w:pStyle w:val="ListParagraph"/>
        <w:numPr>
          <w:ilvl w:val="0"/>
          <w:numId w:val="2"/>
        </w:numPr>
        <w:spacing w:after="40" w:before="40"/>
      </w:pPr>
      <w:r>
        <w:rPr>
          <w:rFonts w:ascii="Arial" w:cs="Arial" w:eastAsia="Arial" w:hAnsi="Arial"/>
          <w:color w:val="212121"/>
          <w:sz w:val="22"/>
          <w:szCs w:val="22"/>
        </w:rPr>
        <w:t xml:space="preserve">Government commitment: Mission Shakti is an active state programme with existing budget allocation for women producer companies</w:t>
      </w:r>
    </w:p>
    <w:p>
      <w:pPr>
        <w:pStyle w:val="ListParagraph"/>
        <w:numPr>
          <w:ilvl w:val="0"/>
          <w:numId w:val="2"/>
        </w:numPr>
        <w:spacing w:after="40" w:before="40"/>
      </w:pPr>
      <w:r>
        <w:rPr>
          <w:rFonts w:ascii="Arial" w:cs="Arial" w:eastAsia="Arial" w:hAnsi="Arial"/>
          <w:color w:val="212121"/>
          <w:sz w:val="22"/>
          <w:szCs w:val="22"/>
        </w:rPr>
        <w:t xml:space="preserve">New connectivity: The 2024 Malkangiri airport makes field operations and cold-chain logistics feasible for the first time</w:t>
      </w:r>
    </w:p>
    <w:p>
      <w:pPr>
        <w:pStyle w:val="ListParagraph"/>
        <w:numPr>
          <w:ilvl w:val="0"/>
          <w:numId w:val="2"/>
        </w:numPr>
        <w:spacing w:after="40" w:before="40"/>
      </w:pPr>
      <w:r>
        <w:rPr>
          <w:rFonts w:ascii="Arial" w:cs="Arial" w:eastAsia="Arial" w:hAnsi="Arial"/>
          <w:color w:val="212121"/>
          <w:sz w:val="22"/>
          <w:szCs w:val="22"/>
        </w:rPr>
        <w:t xml:space="preserve">Legal framework: Forest Rights Act titles and PESA provisions provide the legal scaffolding for FPC formation and autonomous forest management</w:t>
      </w:r>
    </w:p>
    <w:p>
      <w:pPr>
        <w:pStyle w:val="ListParagraph"/>
        <w:numPr>
          <w:ilvl w:val="0"/>
          <w:numId w:val="2"/>
        </w:numPr>
        <w:spacing w:after="40" w:before="40"/>
      </w:pPr>
      <w:r>
        <w:rPr>
          <w:rFonts w:ascii="Arial" w:cs="Arial" w:eastAsia="Arial" w:hAnsi="Arial"/>
          <w:color w:val="212121"/>
          <w:sz w:val="22"/>
          <w:szCs w:val="22"/>
        </w:rPr>
        <w:t xml:space="preserve">Academic partnership: ISB's existing engagement eliminates the need to build technical capacity from scratch</w:t>
      </w:r>
    </w:p>
    <w:p>
      <w:pPr>
        <w:pStyle w:val="ListParagraph"/>
        <w:numPr>
          <w:ilvl w:val="0"/>
          <w:numId w:val="2"/>
        </w:numPr>
        <w:spacing w:after="40" w:before="40"/>
      </w:pPr>
      <w:r>
        <w:rPr>
          <w:rFonts w:ascii="Arial" w:cs="Arial" w:eastAsia="Arial" w:hAnsi="Arial"/>
          <w:color w:val="212121"/>
          <w:sz w:val="22"/>
          <w:szCs w:val="22"/>
        </w:rPr>
        <w:t xml:space="preserve">Multi-funder architecture: 58% government co-finance means international grant money has an 8.6x leverage multiplier</w:t>
      </w:r>
    </w:p>
    <w:p>
      <w:pPr>
        <w:spacing w:after="80" w:before="80"/>
      </w:pPr>
      <w:r>
        <w:t xml:space="preserve"/>
      </w:r>
    </w:p>
    <w:p>
      <w:pPr>
        <w:spacing w:after="80" w:before="80"/>
      </w:pPr>
      <w:r>
        <w:rPr>
          <w:rFonts w:ascii="Arial" w:cs="Arial" w:eastAsia="Arial" w:hAnsi="Arial"/>
          <w:color w:val="212121"/>
          <w:sz w:val="22"/>
          <w:szCs w:val="22"/>
        </w:rPr>
        <w:t xml:space="preserve">We respectfully request the GEF Small Grants Programme to approve a grant of USD 50,000 as the catalytic first tranche, triggering the co-finance commitments from UNDP (USD 150,000) and Odisha Government (USD 280,000) to launch this project in January 2026.</w:t>
      </w:r>
    </w:p>
    <w:p>
      <w:pPr>
        <w:spacing w:after="80" w:before="80"/>
      </w:pPr>
      <w:r>
        <w:t xml:space="preserve"/>
      </w:r>
    </w:p>
    <w:p>
      <w:pPr>
        <w:pBdr>
          <w:left w:val="single" w:color="F9A825" w:sz="18" w:space="8"/>
        </w:pBdr>
        <w:spacing w:after="120" w:before="120"/>
        <w:ind w:left="400"/>
      </w:pPr>
      <w:r>
        <w:rPr>
          <w:rFonts w:ascii="Arial" w:cs="Arial" w:eastAsia="Arial" w:hAnsi="Arial"/>
          <w:i/>
          <w:iCs/>
          <w:color w:val="616161"/>
          <w:sz w:val="22"/>
          <w:szCs w:val="22"/>
        </w:rPr>
        <w:t xml:space="preserve">Every month of delay costs Malkangiri's PVTG women collectors approximately INR 3.1 crore in lost fair-value income — captured instead by intermediary networks. The time to act is now.</w:t>
      </w:r>
    </w:p>
    <w:p>
      <w:pPr>
        <w:spacing w:after="80" w:before="80"/>
      </w:pPr>
      <w:r>
        <w:t xml:space="preserve"/>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Submitted by:</w:t>
            </w:r>
          </w:p>
          <w:p>
            <w:pPr>
              <w:spacing w:after="200" w:before="80"/>
            </w:pPr>
            <w:r>
              <w:t xml:space="preserve"/>
            </w:r>
          </w:p>
          <w:p>
            <w:pPr>
              <w:pBdr>
                <w:bottom w:val="single" w:color="212121" w:sz="2"/>
              </w:pBdr>
            </w:pPr>
            <w:r>
              <w:rPr>
                <w:sz w:val="22"/>
                <w:szCs w:val="22"/>
              </w:rPr>
              <w:t xml:space="preserve"> </w:t>
            </w:r>
          </w:p>
          <w:p>
            <w:r>
              <w:rPr>
                <w:rFonts w:ascii="Arial" w:cs="Arial" w:eastAsia="Arial" w:hAnsi="Arial"/>
                <w:color w:val="616161"/>
                <w:sz w:val="20"/>
                <w:szCs w:val="20"/>
              </w:rPr>
              <w:t xml:space="preserve">District Collector, Malkangiri</w:t>
            </w:r>
          </w:p>
          <w:p>
            <w:r>
              <w:rPr>
                <w:rFonts w:ascii="Arial" w:cs="Arial" w:eastAsia="Arial" w:hAnsi="Arial"/>
                <w:color w:val="616161"/>
                <w:sz w:val="20"/>
                <w:szCs w:val="20"/>
              </w:rPr>
              <w:t xml:space="preserve">Government of Odisha</w:t>
            </w:r>
          </w:p>
          <w:p>
            <w:r>
              <w:rPr>
                <w:rFonts w:ascii="Arial" w:cs="Arial" w:eastAsia="Arial" w:hAnsi="Arial"/>
                <w:sz w:val="20"/>
                <w:szCs w:val="20"/>
              </w:rPr>
              <w:t xml:space="preserve">Date: ___________________</w:t>
            </w:r>
          </w:p>
        </w:tc>
        <w:tc>
          <w:tcPr>
            <w:tcW w:type="dxa" w:w="4819"/>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Endorsed by:</w:t>
            </w:r>
          </w:p>
          <w:p>
            <w:pPr>
              <w:spacing w:after="200" w:before="80"/>
            </w:pPr>
            <w:r>
              <w:t xml:space="preserve"/>
            </w:r>
          </w:p>
          <w:p>
            <w:pPr>
              <w:pBdr>
                <w:bottom w:val="single" w:color="212121" w:sz="2"/>
              </w:pBdr>
            </w:pPr>
            <w:r>
              <w:rPr>
                <w:sz w:val="22"/>
                <w:szCs w:val="22"/>
              </w:rPr>
              <w:t xml:space="preserve"> </w:t>
            </w:r>
          </w:p>
          <w:p>
            <w:r>
              <w:rPr>
                <w:rFonts w:ascii="Arial" w:cs="Arial" w:eastAsia="Arial" w:hAnsi="Arial"/>
                <w:color w:val="616161"/>
                <w:sz w:val="20"/>
                <w:szCs w:val="20"/>
              </w:rPr>
              <w:t xml:space="preserve">UNDP India Country Office Representative</w:t>
            </w:r>
          </w:p>
          <w:p>
            <w:r>
              <w:rPr>
                <w:rFonts w:ascii="Arial" w:cs="Arial" w:eastAsia="Arial" w:hAnsi="Arial"/>
                <w:color w:val="616161"/>
                <w:sz w:val="20"/>
                <w:szCs w:val="20"/>
              </w:rPr>
              <w:t xml:space="preserve">GEF SGP National Coordinator (TERI)</w:t>
            </w:r>
          </w:p>
          <w:p>
            <w:r>
              <w:rPr>
                <w:rFonts w:ascii="Arial" w:cs="Arial" w:eastAsia="Arial" w:hAnsi="Arial"/>
                <w:sz w:val="20"/>
                <w:szCs w:val="20"/>
              </w:rPr>
              <w:t xml:space="preserve">Date: ___________________</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Annexure A: Acronyms &amp;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Acronym</w:t>
            </w:r>
          </w:p>
        </w:tc>
        <w:tc>
          <w:tcPr>
            <w:tcW w:type="dxa" w:w="7638"/>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Form</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ATREE</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Ashoka Trust for Research in Ecology and the Environment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CAG</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Comptroller and Auditor General of India</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CDC</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Data Collector</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DM / DRDA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Magistrate / District Rural Development Authority</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FCRA</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Foreign Contribution (Regulation) Act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FPIC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Free, Prior, and Informed Consent</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FPC</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Producer Company</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Rights Act (Scheduled Tribes &amp; Other Forest Dwellers Act, 2006)</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GEF SGP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Global Environment Facility Small Grants Programme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Indian School of Business</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MEL</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Monitoring, Evaluation, and Learning</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MGNREGS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Mahatma Gandhi National Rural Employment Guarantee Scheme</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MNVCP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NTFP Women's Value Chain Platform</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 Bank for Agriculture and Rural Development</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NTFP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Non-Timber Forest Produce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OTELP</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Odisha Tribal Empowerment &amp; Livelihoods Programme</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PCCF</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Principal Chief Conservator of Forests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PESA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Panchayats (Extension to Scheduled Areas) Act, 1996</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PFMS</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Public Financial Management System</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PIU</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Implementation Unit</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PMEGP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Prime Minister's Employment Generation Programme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PVTG</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Particularly Vulnerable Tribal Group</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RLTAP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Revised Long-Term Action Plan (for KBK districts)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RSETI</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Rural Self Employment Training Institute</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SAPCO</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 Agriculture and Promotion Corporation of Odisha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SHG</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Self-Help Group</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TDF</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Tribal Development Fund (NABARD)</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TERI</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The Energy and Resources Institute</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ToC</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Theory of Change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TRIFED</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Tribal Cooperative Marketing Development Federation of India</w:t>
            </w:r>
          </w:p>
        </w:tc>
      </w:tr>
      <w:tr>
        <w:tc>
          <w:tcPr>
            <w:tcW w:type="dxa" w:w="2000"/>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UNDP</w:t>
            </w:r>
          </w:p>
        </w:tc>
        <w:tc>
          <w:tcPr>
            <w:tcW w:type="dxa" w:w="7638"/>
            <w:tcBorders>
              <w:top w:val="single" w:color="BDBDBD" w:sz="1"/>
              <w:left w:val="single" w:color="BDBDBD" w:sz="1"/>
              <w:bottom w:val="single" w:color="BDBDBD" w:sz="1"/>
              <w:right w:val="single" w:color="BDBDBD"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United Nations Development Programme</w:t>
            </w:r>
          </w:p>
        </w:tc>
      </w:tr>
    </w:tbl>
    <w:p>
      <w:r>
        <w:br w:type="page"/>
      </w:r>
    </w:p>
    <w:p>
      <w:pPr>
        <w:pStyle w:val="Heading1"/>
        <w:pBdr>
          <w:bottom w:val="single" w:color="2E7D32" w:sz="8" w:space="4"/>
        </w:pBdr>
        <w:spacing w:after="120" w:before="360"/>
      </w:pPr>
      <w:r>
        <w:rPr>
          <w:rFonts w:ascii="Arial" w:cs="Arial" w:eastAsia="Arial" w:hAnsi="Arial"/>
          <w:b/>
          <w:bCs/>
          <w:color w:val="1B5E20"/>
          <w:sz w:val="32"/>
          <w:szCs w:val="32"/>
        </w:rPr>
        <w:t xml:space="preserve">Annexure B: References &amp; Evidence Base</w:t>
      </w:r>
    </w:p>
    <w:p>
      <w:pPr>
        <w:pStyle w:val="ListParagraph"/>
        <w:numPr>
          <w:ilvl w:val="0"/>
          <w:numId w:val="2"/>
        </w:numPr>
        <w:spacing w:after="40" w:before="40"/>
      </w:pPr>
      <w:r>
        <w:rPr>
          <w:rFonts w:ascii="Arial" w:cs="Arial" w:eastAsia="Arial" w:hAnsi="Arial"/>
          <w:color w:val="212121"/>
          <w:sz w:val="22"/>
          <w:szCs w:val="22"/>
        </w:rPr>
        <w:t xml:space="preserve">Tripathy S.N. (2024). Non-Timber Forest Produce and PVTG Livelihoods in Odisha. Society and Culture Development in India, Vol.4(2), pp.319–335. ARFJ Journals.</w:t>
      </w:r>
    </w:p>
    <w:p>
      <w:pPr>
        <w:pStyle w:val="ListParagraph"/>
        <w:numPr>
          <w:ilvl w:val="0"/>
          <w:numId w:val="2"/>
        </w:numPr>
        <w:spacing w:after="40" w:before="40"/>
      </w:pPr>
      <w:r>
        <w:rPr>
          <w:rFonts w:ascii="Arial" w:cs="Arial" w:eastAsia="Arial" w:hAnsi="Arial"/>
          <w:color w:val="212121"/>
          <w:sz w:val="22"/>
          <w:szCs w:val="22"/>
        </w:rPr>
        <w:t xml:space="preserve">GEF Small Grants Programme India OP-7 Programme Document (2024). UNDP-MOEFCC-TERI. SGP India National Host Institution.</w:t>
      </w:r>
    </w:p>
    <w:p>
      <w:pPr>
        <w:pStyle w:val="ListParagraph"/>
        <w:numPr>
          <w:ilvl w:val="0"/>
          <w:numId w:val="2"/>
        </w:numPr>
        <w:spacing w:after="40" w:before="40"/>
      </w:pPr>
      <w:r>
        <w:rPr>
          <w:rFonts w:ascii="Arial" w:cs="Arial" w:eastAsia="Arial" w:hAnsi="Arial"/>
          <w:color w:val="212121"/>
          <w:sz w:val="22"/>
          <w:szCs w:val="22"/>
        </w:rPr>
        <w:t xml:space="preserve">Gual L. &amp; Das A. (2025). Indigenous Regions and Development Disparity: Three Decades in Odisha. ScienceDirect, August 2025.</w:t>
      </w:r>
    </w:p>
    <w:p>
      <w:pPr>
        <w:pStyle w:val="ListParagraph"/>
        <w:numPr>
          <w:ilvl w:val="0"/>
          <w:numId w:val="2"/>
        </w:numPr>
        <w:spacing w:after="40" w:before="40"/>
      </w:pPr>
      <w:r>
        <w:rPr>
          <w:rFonts w:ascii="Arial" w:cs="Arial" w:eastAsia="Arial" w:hAnsi="Arial"/>
          <w:color w:val="212121"/>
          <w:sz w:val="22"/>
          <w:szCs w:val="22"/>
        </w:rPr>
        <w:t xml:space="preserve">Odisha Economic Survey 2025–26. Directorate of Economics and Statistics, Government of Odisha.</w:t>
      </w:r>
    </w:p>
    <w:p>
      <w:pPr>
        <w:pStyle w:val="ListParagraph"/>
        <w:numPr>
          <w:ilvl w:val="0"/>
          <w:numId w:val="2"/>
        </w:numPr>
        <w:spacing w:after="40" w:before="40"/>
      </w:pPr>
      <w:r>
        <w:rPr>
          <w:rFonts w:ascii="Arial" w:cs="Arial" w:eastAsia="Arial" w:hAnsi="Arial"/>
          <w:color w:val="212121"/>
          <w:sz w:val="22"/>
          <w:szCs w:val="22"/>
        </w:rPr>
        <w:t xml:space="preserve">New Indian Express Jeypore (June 2025). With 'Green Shakti', Women Take Control Over Forest-Based Economy. Mission Shakti-ISB Karanja seed sales case, Malkangiri.</w:t>
      </w:r>
    </w:p>
    <w:p>
      <w:pPr>
        <w:pStyle w:val="ListParagraph"/>
        <w:numPr>
          <w:ilvl w:val="0"/>
          <w:numId w:val="2"/>
        </w:numPr>
        <w:spacing w:after="40" w:before="40"/>
      </w:pPr>
      <w:r>
        <w:rPr>
          <w:rFonts w:ascii="Arial" w:cs="Arial" w:eastAsia="Arial" w:hAnsi="Arial"/>
          <w:color w:val="212121"/>
          <w:sz w:val="22"/>
          <w:szCs w:val="22"/>
        </w:rPr>
        <w:t xml:space="preserve">OTELP District Programme Management Committee Data, Malkangiri (2024). otelp.org.</w:t>
      </w:r>
    </w:p>
    <w:p>
      <w:pPr>
        <w:pStyle w:val="ListParagraph"/>
        <w:numPr>
          <w:ilvl w:val="0"/>
          <w:numId w:val="2"/>
        </w:numPr>
        <w:spacing w:after="40" w:before="40"/>
      </w:pPr>
      <w:r>
        <w:rPr>
          <w:rFonts w:ascii="Arial" w:cs="Arial" w:eastAsia="Arial" w:hAnsi="Arial"/>
          <w:color w:val="212121"/>
          <w:sz w:val="22"/>
          <w:szCs w:val="22"/>
        </w:rPr>
        <w:t xml:space="preserve">Malkangiri Airport Development Significance Report. Odisha Plus, January 2024.</w:t>
      </w:r>
    </w:p>
    <w:p>
      <w:pPr>
        <w:pStyle w:val="ListParagraph"/>
        <w:numPr>
          <w:ilvl w:val="0"/>
          <w:numId w:val="2"/>
        </w:numPr>
        <w:spacing w:after="40" w:before="40"/>
      </w:pPr>
      <w:r>
        <w:rPr>
          <w:rFonts w:ascii="Arial" w:cs="Arial" w:eastAsia="Arial" w:hAnsi="Arial"/>
          <w:color w:val="212121"/>
          <w:sz w:val="22"/>
          <w:szCs w:val="22"/>
        </w:rPr>
        <w:t xml:space="preserve">UNDP India (2024). Enhancing Effectiveness of Tribal Development Programmes — Results 2024.</w:t>
      </w:r>
    </w:p>
    <w:p>
      <w:pPr>
        <w:pStyle w:val="ListParagraph"/>
        <w:numPr>
          <w:ilvl w:val="0"/>
          <w:numId w:val="2"/>
        </w:numPr>
        <w:spacing w:after="40" w:before="40"/>
      </w:pPr>
      <w:r>
        <w:rPr>
          <w:rFonts w:ascii="Arial" w:cs="Arial" w:eastAsia="Arial" w:hAnsi="Arial"/>
          <w:color w:val="212121"/>
          <w:sz w:val="22"/>
          <w:szCs w:val="22"/>
        </w:rPr>
        <w:t xml:space="preserve">Balimela Reservoir Tribal Displacement Study. IJCRT, Vol.1(1) 2018.</w:t>
      </w:r>
    </w:p>
    <w:p>
      <w:pPr>
        <w:pStyle w:val="ListParagraph"/>
        <w:numPr>
          <w:ilvl w:val="0"/>
          <w:numId w:val="2"/>
        </w:numPr>
        <w:spacing w:after="40" w:before="40"/>
      </w:pPr>
      <w:r>
        <w:rPr>
          <w:rFonts w:ascii="Arial" w:cs="Arial" w:eastAsia="Arial" w:hAnsi="Arial"/>
          <w:color w:val="212121"/>
          <w:sz w:val="22"/>
          <w:szCs w:val="22"/>
        </w:rPr>
        <w:t xml:space="preserve">GEF SGP (2025). Annual Report 2024–25. UNDP Global Environment Facility Small Grants Programme.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tabs>
        <w:tab w:val="right" w:pos="9026"/>
      </w:tabs>
      <w:spacing w:before="60"/>
    </w:pPr>
    <w:r>
      <w:rPr>
        <w:rFonts w:ascii="Arial" w:cs="Arial" w:eastAsia="Arial" w:hAnsi="Arial"/>
        <w:color w:val="616161"/>
        <w:sz w:val="16"/>
        <w:szCs w:val="16"/>
      </w:rPr>
      <w:t xml:space="preserve">Confidential | For Funding Agency Review</w:t>
    </w:r>
    <w:r>
      <w:rPr>
        <w:sz w:val="16"/>
        <w:szCs w:val="16"/>
      </w:rPr>
      <w:t xml:space="preserve">	</w:t>
    </w:r>
    <w:r>
      <w:rPr>
        <w:rFonts w:ascii="Arial" w:cs="Arial" w:eastAsia="Arial" w:hAnsi="Arial"/>
        <w:color w:val="61616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tabs>
        <w:tab w:val="right" w:pos="9026"/>
      </w:tabs>
      <w:spacing w:after="60"/>
    </w:pPr>
    <w:r>
      <w:rPr>
        <w:rFonts w:ascii="Arial" w:cs="Arial" w:eastAsia="Arial" w:hAnsi="Arial"/>
        <w:b/>
        <w:bCs/>
        <w:color w:val="1B5E20"/>
        <w:sz w:val="16"/>
        <w:szCs w:val="16"/>
      </w:rPr>
      <w:t xml:space="preserve">MALKANGIRI NTFP WOMEN'S VALUE CHAIN PLATFORM</w:t>
    </w:r>
    <w:r>
      <w:rPr>
        <w:sz w:val="16"/>
        <w:szCs w:val="16"/>
      </w:rPr>
      <w:t xml:space="preserve">	</w:t>
    </w:r>
    <w:r>
      <w:rPr>
        <w:rFonts w:ascii="Arial" w:cs="Arial" w:eastAsia="Arial" w:hAnsi="Arial"/>
        <w:color w:val="616161"/>
        <w:sz w:val="16"/>
        <w:szCs w:val="16"/>
      </w:rPr>
      <w:t xml:space="preserve">Full Project Proposal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2026-05-08T03:03:10.950Z</dcterms:created>
  <dcterms:modified xsi:type="dcterms:W3CDTF">2026-05-08T03:03:10.968Z</dcterms:modified>
</cp:coreProperties>
</file>

<file path=docProps/custom.xml><?xml version="1.0" encoding="utf-8"?>
<Properties xmlns="http://schemas.openxmlformats.org/officeDocument/2006/custom-properties" xmlns:vt="http://schemas.openxmlformats.org/officeDocument/2006/docPropsVTypes"/>
</file>