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551B11">
      <w:pPr>
        <w:spacing w:before="1800" w:after="0"/>
        <w:jc w:val="center"/>
      </w:pPr>
      <w:r>
        <w:rPr>
          <w:rFonts w:ascii="Arial" w:hAnsi="Arial" w:eastAsia="Arial" w:cs="Arial"/>
          <w:b/>
          <w:bCs/>
          <w:color w:val="888888"/>
          <w:sz w:val="26"/>
          <w:szCs w:val="26"/>
        </w:rPr>
        <w:t>HARVARD BUSINESS SCHOOL</w:t>
      </w:r>
    </w:p>
    <w:p w14:paraId="5C59DD00">
      <w:pPr>
        <w:spacing w:before="40" w:after="0"/>
        <w:jc w:val="center"/>
      </w:pPr>
      <w:r>
        <w:rPr>
          <w:rFonts w:ascii="Arial" w:hAnsi="Arial" w:eastAsia="Arial" w:cs="Arial"/>
          <w:b/>
          <w:bCs/>
          <w:color w:val="C0392B"/>
          <w:sz w:val="20"/>
          <w:szCs w:val="20"/>
        </w:rPr>
        <w:t>Technology, Operations &amp; Strategy  |  Case No: HBS-TEC-2026-02</w:t>
      </w:r>
    </w:p>
    <w:p w14:paraId="11AFD275">
      <w:pPr>
        <w:spacing w:before="900" w:after="0"/>
        <w:jc w:val="center"/>
      </w:pPr>
      <w:r>
        <w:rPr>
          <w:rFonts w:ascii="Arial" w:hAnsi="Arial" w:eastAsia="Arial" w:cs="Arial"/>
          <w:b/>
          <w:bCs/>
          <w:color w:val="1A1A2E"/>
          <w:sz w:val="68"/>
          <w:szCs w:val="68"/>
        </w:rPr>
        <w:t>THE PRICE OF INTELLIGENCE:</w:t>
      </w:r>
    </w:p>
    <w:p w14:paraId="452E3357">
      <w:pPr>
        <w:spacing w:before="40" w:after="0"/>
        <w:jc w:val="center"/>
      </w:pPr>
      <w:r>
        <w:rPr>
          <w:rFonts w:ascii="Arial" w:hAnsi="Arial" w:eastAsia="Arial" w:cs="Arial"/>
          <w:b/>
          <w:bCs/>
          <w:color w:val="C0392B"/>
          <w:sz w:val="52"/>
          <w:szCs w:val="52"/>
        </w:rPr>
        <w:t>OPENAI AND THE ENERGY PARADOX</w:t>
      </w:r>
    </w:p>
    <w:p w14:paraId="1202388C">
      <w:pPr>
        <w:spacing w:before="50" w:after="0"/>
        <w:jc w:val="center"/>
      </w:pPr>
      <w:r>
        <w:rPr>
          <w:rFonts w:ascii="Arial" w:hAnsi="Arial" w:eastAsia="Arial" w:cs="Arial"/>
          <w:i/>
          <w:iCs/>
          <w:color w:val="2C3E50"/>
          <w:sz w:val="26"/>
          <w:szCs w:val="26"/>
        </w:rPr>
        <w:t>How the Company That Sparked the AI Revolution Must Now Reckon With the Power It Consumes</w:t>
      </w:r>
    </w:p>
    <w:p w14:paraId="49A36031">
      <w:pPr>
        <w:spacing w:before="900" w:after="0"/>
        <w:jc w:val="center"/>
        <w:rPr>
          <w:rFonts w:hint="default"/>
          <w:lang w:val="en-IN"/>
        </w:rPr>
      </w:pPr>
      <w:r>
        <w:rPr>
          <w:rFonts w:hint="default" w:ascii="Arial" w:hAnsi="Arial" w:eastAsia="Arial" w:cs="Arial"/>
          <w:color w:val="2C3E50"/>
          <w:sz w:val="24"/>
          <w:szCs w:val="24"/>
          <w:lang w:val="en-IN"/>
        </w:rPr>
        <w:t>Debasis Pahi</w:t>
      </w:r>
      <w:r>
        <w:rPr>
          <w:rFonts w:ascii="Arial" w:hAnsi="Arial" w:eastAsia="Arial" w:cs="Arial"/>
          <w:color w:val="2C3E50"/>
          <w:sz w:val="24"/>
          <w:szCs w:val="24"/>
        </w:rPr>
        <w:t xml:space="preserve">  &amp; </w:t>
      </w:r>
      <w:r>
        <w:rPr>
          <w:rFonts w:hint="default" w:ascii="Arial" w:hAnsi="Arial" w:eastAsia="Arial" w:cs="Arial"/>
          <w:color w:val="2C3E50"/>
          <w:sz w:val="24"/>
          <w:szCs w:val="24"/>
        </w:rPr>
        <w:t>Pinaki Nandan Pattnaik</w:t>
      </w:r>
    </w:p>
    <w:p w14:paraId="1A841AE5">
      <w:pPr>
        <w:spacing w:before="60" w:after="0"/>
        <w:jc w:val="center"/>
      </w:pPr>
      <w:r>
        <w:rPr>
          <w:rFonts w:ascii="Arial" w:hAnsi="Arial" w:eastAsia="Arial" w:cs="Arial"/>
          <w:color w:val="888888"/>
          <w:sz w:val="20"/>
          <w:szCs w:val="20"/>
        </w:rPr>
        <w:t>March 2026</w:t>
      </w:r>
    </w:p>
    <w:p w14:paraId="12993380">
      <w:pPr>
        <w:pBdr>
          <w:top w:val="single" w:color="CCCCCC" w:sz="2" w:space="4"/>
        </w:pBdr>
        <w:spacing w:before="700" w:after="0"/>
        <w:jc w:val="center"/>
      </w:pPr>
      <w:r>
        <w:rPr>
          <w:rFonts w:ascii="Arial" w:hAnsi="Arial" w:eastAsia="Arial" w:cs="Arial"/>
          <w:i/>
          <w:iCs/>
          <w:color w:val="888888"/>
          <w:sz w:val="17"/>
          <w:szCs w:val="17"/>
        </w:rPr>
        <w:t>This case was prepared as a basis for class discussion rather than to illustrate either effective or ineffective handling of a management situation. Data on OpenAI's finances are drawn from public disclosures, investigative journalism, and verified industry research; estimates are identified as such. This case does not represent the official views of OpenAI or its leadership.</w:t>
      </w:r>
    </w:p>
    <w:p w14:paraId="14E7F592">
      <w:pPr>
        <w:sectPr>
          <w:pgSz w:w="12240" w:h="15840"/>
          <w:pgMar w:top="1440" w:right="1440" w:bottom="1440" w:left="1440" w:header="708" w:footer="708" w:gutter="0"/>
          <w:cols w:space="720" w:num="1"/>
          <w:docGrid w:linePitch="360" w:charSpace="0"/>
        </w:sectPr>
      </w:pPr>
      <w:bookmarkStart w:id="0" w:name="_GoBack"/>
      <w:bookmarkEnd w:id="0"/>
    </w:p>
    <w:p w14:paraId="3A08E862">
      <w:pPr>
        <w:pBdr>
          <w:bottom w:val="single" w:color="C0392B" w:sz="6" w:space="4"/>
        </w:pBdr>
        <w:spacing w:before="420" w:after="140"/>
      </w:pPr>
      <w:r>
        <w:rPr>
          <w:rFonts w:ascii="Arial" w:hAnsi="Arial" w:eastAsia="Arial" w:cs="Arial"/>
          <w:b/>
          <w:bCs/>
          <w:color w:val="1A1A2E"/>
          <w:sz w:val="30"/>
          <w:szCs w:val="30"/>
        </w:rPr>
        <w:t>I.  OPENING SCENE: ABILENE, TEXAS — OCTOBER 2025</w:t>
      </w:r>
    </w:p>
    <w:p w14:paraId="0688E2E3">
      <w:pPr>
        <w:spacing w:before="0" w:after="160"/>
        <w:jc w:val="both"/>
      </w:pPr>
      <w:r>
        <w:rPr>
          <w:rFonts w:ascii="Times New Roman" w:hAnsi="Times New Roman" w:eastAsia="Times New Roman" w:cs="Times New Roman"/>
          <w:b w:val="0"/>
          <w:bCs w:val="0"/>
          <w:color w:val="000000"/>
          <w:sz w:val="24"/>
          <w:szCs w:val="24"/>
        </w:rPr>
        <w:t>Sam Altman surveyed the construction site from the passenger seat of a pickup truck, squinting against the West Texas sun. Around him, on 1,200 acres of scrubland that would have been unremarkable six months earlier, eight colossal concrete shells were rising from the earth — the first phase of what he had told the world was "the largest AI infrastructure project in human history." The Stargate campus in Abilene, Texas, was not yet operational. But it was already drawing power.</w:t>
      </w:r>
    </w:p>
    <w:p w14:paraId="35AEBB3A">
      <w:pPr>
        <w:spacing w:before="0" w:after="160"/>
        <w:ind w:firstLine="720"/>
        <w:jc w:val="both"/>
      </w:pPr>
      <w:r>
        <w:rPr>
          <w:rFonts w:ascii="Times New Roman" w:hAnsi="Times New Roman" w:eastAsia="Times New Roman" w:cs="Times New Roman"/>
          <w:sz w:val="24"/>
          <w:szCs w:val="24"/>
        </w:rPr>
        <w:t>The project, which Altman had unveiled alongside President Trump at a White House press conference in January 2025, had been announced at a staggering $500 billion over four years, a joint venture with Oracle, SoftBank, and sovereign wealth fund MGX from the UAE. It would eventually house 400,000 of NVIDIA's most powerful GPUs in its first phase alone, consuming electricity on a scale that had no precedent in the history of a single corporate network. OpenAI's own internal projections, according to people familiar with the matter, estimated that Stargate's completed campuses could require up to 10 gigawatts of continuous power by 2030 — equivalent to roughly ten nuclear power stations running simultaneously.</w:t>
      </w:r>
    </w:p>
    <w:p w14:paraId="74BEAC74">
      <w:pPr>
        <w:spacing w:before="0" w:after="160"/>
        <w:ind w:firstLine="720"/>
        <w:jc w:val="both"/>
      </w:pPr>
      <w:r>
        <w:rPr>
          <w:rFonts w:ascii="Times New Roman" w:hAnsi="Times New Roman" w:eastAsia="Times New Roman" w:cs="Times New Roman"/>
          <w:sz w:val="24"/>
          <w:szCs w:val="24"/>
        </w:rPr>
        <w:t>Back in San Francisco, a letter was waiting on Altman's desk. It had arrived from the office of U.S. Senator Sheldon Whitehouse, Chairman of the Senate Environment and Public Works Committee. The senator wanted answers. In measured but pointed language, the letter noted that Stargate's data center projects in New Mexico, Texas, and Ohio were being planned with new gas-fired power generation facilities, producing, at combined capacity, an estimated 1.2, 1.2, and 1.4 gigawatts respectively of fossil-fuel power. The senator wrote that these facilities would emit "thousands of tons of health-harming local pollutants and millions of tons of greenhouse gases every year." He wanted to know: what was OpenAI's plan?</w:t>
      </w:r>
    </w:p>
    <w:p w14:paraId="157CBDAF">
      <w:pPr>
        <w:spacing w:before="0" w:after="160"/>
        <w:ind w:firstLine="720"/>
        <w:jc w:val="both"/>
      </w:pPr>
      <w:r>
        <w:rPr>
          <w:rFonts w:ascii="Times New Roman" w:hAnsi="Times New Roman" w:eastAsia="Times New Roman" w:cs="Times New Roman"/>
          <w:sz w:val="24"/>
          <w:szCs w:val="24"/>
        </w:rPr>
        <w:t>It was a fair question, and it was not one that OpenAI had publicly answered. Unlike Microsoft, Google, and Amazon — each of which had published detailed sustainability reports, committed to net-zero timelines, and signed landmark clean energy deals worth tens of billions of dollars — OpenAI had made no formal carbon disclosure, published no sustainability report, and filed no binding climate commitments. The world's most visible AI company, whose ChatGPT had been used by 900 million weekly active users by early 2026, had never told the public precisely how much electricity it consumed, how much carbon it emitted, or what it intended to do about either.</w:t>
      </w:r>
    </w:p>
    <w:p w14:paraId="42AB4D1C">
      <w:pPr>
        <w:spacing w:before="0" w:after="160"/>
        <w:ind w:firstLine="720"/>
        <w:jc w:val="both"/>
      </w:pPr>
      <w:r>
        <w:rPr>
          <w:rFonts w:ascii="Times New Roman" w:hAnsi="Times New Roman" w:eastAsia="Times New Roman" w:cs="Times New Roman"/>
          <w:sz w:val="24"/>
          <w:szCs w:val="24"/>
        </w:rPr>
        <w:t>Altman had offered fragments. In a widely read June 2025 essay titled The Gentle Singularity, he had disclosed that the average ChatGPT query consumed approximately 0.34 watt-hours of electricity — "about what an oven would use in a little over one second, or a high-efficiency lightbulb would use in a couple of minutes." Researchers had immediately done the math and found the aggregate figures less reassuring: with 2.5 billion queries processed daily, ChatGPT alone was consuming an estimated 850 megawatt-hours per day. Extrapolated across a year, that was roughly 310,000 megawatt-hours — just for the inference of ChatGPT. Training runs for models like GPT-4 and o3 were vastly more energy-intensive and were not addressed in the essay.</w:t>
      </w:r>
    </w:p>
    <w:p w14:paraId="7B6D7963">
      <w:pPr>
        <w:spacing w:before="0" w:after="160"/>
        <w:ind w:firstLine="720"/>
        <w:jc w:val="both"/>
      </w:pPr>
      <w:r>
        <w:rPr>
          <w:rFonts w:ascii="Times New Roman" w:hAnsi="Times New Roman" w:eastAsia="Times New Roman" w:cs="Times New Roman"/>
          <w:sz w:val="24"/>
          <w:szCs w:val="24"/>
        </w:rPr>
        <w:t>In Abilene, the generators hummed. In Washington, the senator waited. And Sam Altman, the man who had wagered that artificial intelligence would "fix the climate" among its other civilizational contributions, faced a question that no amount of optimism about superintelligence could defer indefinitely: what was the energy cost of intelligence, and who was going to pay it?</w:t>
      </w:r>
    </w:p>
    <w:p w14:paraId="5F3919A8">
      <w:pPr>
        <w:pBdr>
          <w:bottom w:val="single" w:color="C0392B" w:sz="6" w:space="4"/>
        </w:pBdr>
        <w:spacing w:before="420" w:after="140"/>
      </w:pPr>
      <w:r>
        <w:rPr>
          <w:rFonts w:ascii="Arial" w:hAnsi="Arial" w:eastAsia="Arial" w:cs="Arial"/>
          <w:b/>
          <w:bCs/>
          <w:color w:val="1A1A2E"/>
          <w:sz w:val="30"/>
          <w:szCs w:val="30"/>
        </w:rPr>
        <w:t>II.  COMPANY BACKGROUND</w:t>
      </w:r>
    </w:p>
    <w:p w14:paraId="1C629E6E">
      <w:pPr>
        <w:spacing w:before="280" w:after="80"/>
      </w:pPr>
      <w:r>
        <w:rPr>
          <w:rFonts w:ascii="Arial" w:hAnsi="Arial" w:eastAsia="Arial" w:cs="Arial"/>
          <w:b/>
          <w:bCs/>
          <w:color w:val="2C3E50"/>
          <w:sz w:val="24"/>
          <w:szCs w:val="24"/>
        </w:rPr>
        <w:t>Origins and Mission</w:t>
      </w:r>
    </w:p>
    <w:p w14:paraId="6D8F748C">
      <w:pPr>
        <w:spacing w:before="0" w:after="160"/>
        <w:jc w:val="both"/>
      </w:pPr>
      <w:r>
        <w:rPr>
          <w:rFonts w:ascii="Times New Roman" w:hAnsi="Times New Roman" w:eastAsia="Times New Roman" w:cs="Times New Roman"/>
          <w:b w:val="0"/>
          <w:bCs w:val="0"/>
          <w:color w:val="000000"/>
          <w:sz w:val="24"/>
          <w:szCs w:val="24"/>
        </w:rPr>
        <w:t>OpenAI was founded in December 2015 as a nonprofit artificial intelligence research laboratory, backed by an initial commitment of $1 billion from a group of technology investors and entrepreneurs including Elon Musk, Reid Hoffman, and Peter Thiel. Sam Altman, then president of Y Combinator, joined as co-chairman alongside Musk. The organization's stated mission — "ensuring that artificial general intelligence benefits all of humanity" — was deliberately broad, but its operating philosophy at founding was cautious: OpenAI would conduct safety-conscious research and share its findings openly with the world, acting as a counterweight to the commercial AI development it expected from established technology companies.</w:t>
      </w:r>
    </w:p>
    <w:p w14:paraId="7F0022D2">
      <w:pPr>
        <w:spacing w:before="0" w:after="160"/>
        <w:ind w:firstLine="720"/>
        <w:jc w:val="both"/>
      </w:pPr>
      <w:r>
        <w:rPr>
          <w:rFonts w:ascii="Times New Roman" w:hAnsi="Times New Roman" w:eastAsia="Times New Roman" w:cs="Times New Roman"/>
          <w:sz w:val="24"/>
          <w:szCs w:val="24"/>
        </w:rPr>
        <w:t>The nonprofit structure proved increasingly difficult to sustain as AI model development required exponentially more capital. In 2019, OpenAI restructured, creating a "capped-profit" subsidiary — OpenAI LP — that allowed it to accept outside investment while capping investor returns at 100 times their initial stake. Microsoft committed $1 billion to the new entity in 2019, following it with an additional $10 billion investment in January 2023. The capped-profit model was itself dissolved in 2025, when OpenAI completed a transition to a fully for-profit public benefit corporation — a structural change that critics argued was incompatible with its founding mission but which Altman framed as a necessary evolution to fund the compute required to achieve that mission.</w:t>
      </w:r>
    </w:p>
    <w:p w14:paraId="0CD277C3">
      <w:pPr>
        <w:spacing w:before="0" w:after="160"/>
        <w:ind w:firstLine="720"/>
        <w:jc w:val="both"/>
      </w:pPr>
      <w:r>
        <w:rPr>
          <w:rFonts w:ascii="Times New Roman" w:hAnsi="Times New Roman" w:eastAsia="Times New Roman" w:cs="Times New Roman"/>
          <w:sz w:val="24"/>
          <w:szCs w:val="24"/>
        </w:rPr>
        <w:t>The company's public profile transformed decisively in November 2022, when it released ChatGPT — a conversational AI assistant built on GPT-3.5 — to the public as a free product. ChatGPT reached 100 million users within two months of launch, the fastest product adoption in consumer technology history. It triggered an industrywide arms race in generative AI, prompted emergency strategy pivots at Google, Meta, and every major technology company, and made "large language model" a phrase understood by policymakers, schoolchildren, and investors alike. Sam Altman became the most recognized face in artificial intelligence globally. OpenAI became synonymous with the technology it had helped create.</w:t>
      </w:r>
    </w:p>
    <w:p w14:paraId="5F1FE5ED">
      <w:pPr>
        <w:spacing w:before="280" w:after="80"/>
      </w:pPr>
      <w:r>
        <w:rPr>
          <w:rFonts w:ascii="Arial" w:hAnsi="Arial" w:eastAsia="Arial" w:cs="Arial"/>
          <w:b/>
          <w:bCs/>
          <w:color w:val="2C3E50"/>
          <w:sz w:val="24"/>
          <w:szCs w:val="24"/>
        </w:rPr>
        <w:t>Financial Profile and the Paradox of Scale</w:t>
      </w:r>
    </w:p>
    <w:p w14:paraId="780EC909">
      <w:pPr>
        <w:spacing w:before="0" w:after="160"/>
        <w:jc w:val="both"/>
      </w:pPr>
      <w:r>
        <w:rPr>
          <w:rFonts w:ascii="Times New Roman" w:hAnsi="Times New Roman" w:eastAsia="Times New Roman" w:cs="Times New Roman"/>
          <w:b w:val="0"/>
          <w:bCs w:val="0"/>
          <w:color w:val="000000"/>
          <w:sz w:val="24"/>
          <w:szCs w:val="24"/>
        </w:rPr>
        <w:t>By fiscal year 2025, OpenAI had become one of the fastest-growing software companies in history by revenue, crossing $10 billion in annual revenue — a trajectory that had moved from approximately $1.6 billion in FY2023 to $3.7 billion in FY2024 in explosive fashion. The February 2026 funding round, at $40 billion and a $300 billion valuation — the largest private funding round in the history of venture capital — confirmed its position as the most valuable private technology company in the world. (See Exhibit 1 for financial summary.)</w:t>
      </w:r>
    </w:p>
    <w:p w14:paraId="2331F8C8">
      <w:pPr>
        <w:spacing w:before="0" w:after="160"/>
        <w:ind w:firstLine="720"/>
        <w:jc w:val="both"/>
      </w:pPr>
      <w:r>
        <w:rPr>
          <w:rFonts w:ascii="Times New Roman" w:hAnsi="Times New Roman" w:eastAsia="Times New Roman" w:cs="Times New Roman"/>
          <w:sz w:val="24"/>
          <w:szCs w:val="24"/>
        </w:rPr>
        <w:t>Yet OpenAI's financial situation was structurally paradoxical. Despite its $10 billion in revenue, the company had lost an estimated $5 billion in FY2025 — and losses were expected to widen in FY2026. The core tension was architectural: every dollar of revenue from ChatGPT subscriptions and API access required significant compute expenditure to generate, and as OpenAI's model capability increased, so did the cost of running those models. The company's infrastructure and compute costs were estimated to exceed $7 billion annually by 2025, a figure that was growing faster than revenue. OpenAI had, in effect, built a product the world wanted and a cost structure that made it difficult to profit from at current prices.</w:t>
      </w:r>
    </w:p>
    <w:p w14:paraId="3B76874B">
      <w:pPr>
        <w:spacing w:before="0" w:after="160"/>
        <w:ind w:firstLine="720"/>
        <w:jc w:val="both"/>
      </w:pPr>
      <w:r>
        <w:rPr>
          <w:rFonts w:ascii="Times New Roman" w:hAnsi="Times New Roman" w:eastAsia="Times New Roman" w:cs="Times New Roman"/>
          <w:sz w:val="24"/>
          <w:szCs w:val="24"/>
        </w:rPr>
        <w:t>Energy was a fast-growing component of that cost structure. A ChatGPT query consuming 0.34 watt-hours, processed at 2.5 billion times daily, implied electricity costs of tens of millions of dollars per month for inference alone — before accounting for training runs, API traffic from enterprise customers, and the operational overhead of OpenAI's growing data center footprint. With the Stargate buildout, those costs were set to increase by orders of magnitude. (See Exhibit 2 for OpenAI's estimated energy cost trajectory.)</w:t>
      </w:r>
    </w:p>
    <w:p w14:paraId="010FCE5C">
      <w:pPr>
        <w:spacing w:before="280" w:after="80"/>
      </w:pPr>
      <w:r>
        <w:rPr>
          <w:rFonts w:ascii="Arial" w:hAnsi="Arial" w:eastAsia="Arial" w:cs="Arial"/>
          <w:b/>
          <w:bCs/>
          <w:color w:val="2C3E50"/>
          <w:sz w:val="24"/>
          <w:szCs w:val="24"/>
        </w:rPr>
        <w:t>The Stargate Project</w:t>
      </w:r>
    </w:p>
    <w:p w14:paraId="4CA86206">
      <w:pPr>
        <w:spacing w:before="0" w:after="160"/>
        <w:jc w:val="both"/>
      </w:pPr>
      <w:r>
        <w:rPr>
          <w:rFonts w:ascii="Times New Roman" w:hAnsi="Times New Roman" w:eastAsia="Times New Roman" w:cs="Times New Roman"/>
          <w:b w:val="0"/>
          <w:bCs w:val="0"/>
          <w:color w:val="000000"/>
          <w:sz w:val="24"/>
          <w:szCs w:val="24"/>
        </w:rPr>
        <w:t>The Stargate joint venture, announced in January 2025 with $500 billion in committed investment over four years, represented an infrastructure ambition without precedent in the technology industry. The first phase — eight data center buildings in Abilene, Texas — was projected to house 400,000 NVIDIA GPUs and consume power equivalent to a small city. In September 2025, OpenAI announced five additional Stargate sites, bringing total planned capacity to nearly 7 gigawatts across the United States. International expansions — including Stargate UAE, Stargate Norway, and an Argentina site in Patagonia — were announced through the second half of 2025.</w:t>
      </w:r>
    </w:p>
    <w:p w14:paraId="6718A3B5">
      <w:pPr>
        <w:spacing w:before="0" w:after="160"/>
        <w:ind w:firstLine="720"/>
        <w:jc w:val="both"/>
      </w:pPr>
      <w:r>
        <w:rPr>
          <w:rFonts w:ascii="Times New Roman" w:hAnsi="Times New Roman" w:eastAsia="Times New Roman" w:cs="Times New Roman"/>
          <w:sz w:val="24"/>
          <w:szCs w:val="24"/>
        </w:rPr>
        <w:t>Yet by early 2026, the Stargate project had also become a source of significant turbulence. A Financial Times investigation reported that the joint venture structure had effectively fragmented into bilateral deals, with one person involved from the outset describing the original concept as "completely outdated." OpenAI had suspended a data center project in northeast England and reconfigured another in Norway; Microsoft had stepped in to take over sidelined capacity. OpenAI's inability to secure financing at the pace the project demanded — a consequence of its continued losses — had forced it to rely increasingly on third-party landlords and cloud providers rather than owning its compute infrastructure outright.</w:t>
      </w:r>
    </w:p>
    <w:p w14:paraId="37FF1FAE">
      <w:pPr>
        <w:spacing w:before="0" w:after="160"/>
        <w:ind w:firstLine="720"/>
        <w:jc w:val="both"/>
      </w:pPr>
      <w:r>
        <w:rPr>
          <w:rFonts w:ascii="Times New Roman" w:hAnsi="Times New Roman" w:eastAsia="Times New Roman" w:cs="Times New Roman"/>
          <w:sz w:val="24"/>
          <w:szCs w:val="24"/>
        </w:rPr>
        <w:t>Critically, OpenAI had not publicly addressed how Stargate's energy would be sourced. The company had stated it was "open to working with construction partners from various backgrounds, including renewable and sustainable energies," but this fell well short of a binding commitment. Internal documentation reviewed by researchers indicated that near-term power for multiple Stargate sites would come from natural gas generation — precisely the fossil fuel infrastructure that Senator Whitehouse's letter had identified. (See Exhibit 3 for a timeline of key Stargate and energy-related events.)</w:t>
      </w:r>
    </w:p>
    <w:p w14:paraId="4A5CFB9A">
      <w:pPr>
        <w:pBdr>
          <w:bottom w:val="single" w:color="C0392B" w:sz="6" w:space="4"/>
        </w:pBdr>
        <w:spacing w:before="420" w:after="140"/>
      </w:pPr>
      <w:r>
        <w:rPr>
          <w:rFonts w:ascii="Arial" w:hAnsi="Arial" w:eastAsia="Arial" w:cs="Arial"/>
          <w:b/>
          <w:bCs/>
          <w:color w:val="1A1A2E"/>
          <w:sz w:val="30"/>
          <w:szCs w:val="30"/>
        </w:rPr>
        <w:t>III.  INDUSTRY AND COMPETITIVE CONTEXT</w:t>
      </w:r>
    </w:p>
    <w:p w14:paraId="6E68FE3E">
      <w:pPr>
        <w:spacing w:before="280" w:after="80"/>
      </w:pPr>
      <w:r>
        <w:rPr>
          <w:rFonts w:ascii="Arial" w:hAnsi="Arial" w:eastAsia="Arial" w:cs="Arial"/>
          <w:b/>
          <w:bCs/>
          <w:color w:val="2C3E50"/>
          <w:sz w:val="24"/>
          <w:szCs w:val="24"/>
        </w:rPr>
        <w:t>The AI Energy Reckoning</w:t>
      </w:r>
    </w:p>
    <w:p w14:paraId="7283EA38">
      <w:pPr>
        <w:spacing w:before="0" w:after="160"/>
        <w:jc w:val="both"/>
      </w:pPr>
      <w:r>
        <w:rPr>
          <w:rFonts w:ascii="Times New Roman" w:hAnsi="Times New Roman" w:eastAsia="Times New Roman" w:cs="Times New Roman"/>
          <w:b w:val="0"/>
          <w:bCs w:val="0"/>
          <w:color w:val="000000"/>
          <w:sz w:val="24"/>
          <w:szCs w:val="24"/>
        </w:rPr>
        <w:t>The artificial intelligence industry had, by 2025, triggered one of the most significant transformations in global electricity demand in the modern era. The International Energy Agency's landmark 2025 report, Energy and AI, documented that global data centers had consumed approximately 415 terawatt-hours (TWh) of electricity in 2024 — roughly 1.5% of global electricity consumption — and projected this to more than double to 945 TWh by 2030, growing at approximately 15% per year. A single ChatGPT query, at 0.34 watt-hours, consumed approximately ten times the electricity of a Google search. The carbon footprint of training a single large language model was estimated to be comparable to the annual emissions of 121 American households. (See Exhibit 4 for global AI energy consumption projections.)</w:t>
      </w:r>
    </w:p>
    <w:p w14:paraId="7E43F030">
      <w:pPr>
        <w:spacing w:before="0" w:after="160"/>
        <w:ind w:firstLine="720"/>
        <w:jc w:val="both"/>
      </w:pPr>
      <w:r>
        <w:rPr>
          <w:rFonts w:ascii="Times New Roman" w:hAnsi="Times New Roman" w:eastAsia="Times New Roman" w:cs="Times New Roman"/>
          <w:sz w:val="24"/>
          <w:szCs w:val="24"/>
        </w:rPr>
        <w:t>The United States bore a disproportionate share of this impact. American data centers consumed 183 TWh in 2024 — more than 4% of national electricity consumption, roughly equivalent to the annual electricity demand of Pakistan. By 2030, this was projected to grow to 426 TWh. In concentrated markets, the impact was already visible to residential consumers: in the PJM electricity market stretching from Illinois to North Carolina, data center demand had contributed to an estimated $9.3 billion increase in capacity costs for 2025–26, translating to residential electricity bill increases of $16–$18 per month in affected states.</w:t>
      </w:r>
    </w:p>
    <w:p w14:paraId="2A07D3AC">
      <w:pPr>
        <w:spacing w:before="0" w:after="160"/>
        <w:ind w:firstLine="720"/>
        <w:jc w:val="both"/>
      </w:pPr>
      <w:r>
        <w:rPr>
          <w:rFonts w:ascii="Times New Roman" w:hAnsi="Times New Roman" w:eastAsia="Times New Roman" w:cs="Times New Roman"/>
          <w:sz w:val="24"/>
          <w:szCs w:val="24"/>
        </w:rPr>
        <w:t>Sam Altman's internal September 2025 memo, which had leaked to the press, described a target of 250 gigawatts of compute capacity for OpenAI by 2033. Analysts calculated that if realized, this would consume electricity equivalent to the entire nation of India and its 1.5 billion citizens, and would emit approximately twice the carbon dioxide produced annually by ExxonMobil — currently identified as the largest non-state carbon emitter in the world.</w:t>
      </w:r>
    </w:p>
    <w:p w14:paraId="3921FE67">
      <w:pPr>
        <w:spacing w:before="280" w:after="80"/>
      </w:pPr>
      <w:r>
        <w:rPr>
          <w:rFonts w:ascii="Arial" w:hAnsi="Arial" w:eastAsia="Arial" w:cs="Arial"/>
          <w:b/>
          <w:bCs/>
          <w:color w:val="2C3E50"/>
          <w:sz w:val="24"/>
          <w:szCs w:val="24"/>
        </w:rPr>
        <w:t>How Competitors Were Responding</w:t>
      </w:r>
    </w:p>
    <w:p w14:paraId="41FE9E6C">
      <w:pPr>
        <w:spacing w:before="0" w:after="160"/>
        <w:jc w:val="both"/>
      </w:pPr>
      <w:r>
        <w:rPr>
          <w:rFonts w:ascii="Times New Roman" w:hAnsi="Times New Roman" w:eastAsia="Times New Roman" w:cs="Times New Roman"/>
          <w:b w:val="0"/>
          <w:bCs w:val="0"/>
          <w:color w:val="000000"/>
          <w:sz w:val="24"/>
          <w:szCs w:val="24"/>
        </w:rPr>
        <w:t>OpenAI's primary competitors — Microsoft, Google, Amazon, and Anthropic — had each, to varying degrees, developed more formalized energy and sustainability strategies. The contrast with OpenAI was notable. (See Exhibit 5 for competitive comparison.)</w:t>
      </w:r>
    </w:p>
    <w:p w14:paraId="734C2F93">
      <w:pPr>
        <w:spacing w:before="0" w:after="160"/>
        <w:ind w:firstLine="720"/>
        <w:jc w:val="both"/>
      </w:pPr>
      <w:r>
        <w:rPr>
          <w:rFonts w:ascii="Times New Roman" w:hAnsi="Times New Roman" w:eastAsia="Times New Roman" w:cs="Times New Roman"/>
          <w:sz w:val="24"/>
          <w:szCs w:val="24"/>
        </w:rPr>
        <w:t>Microsoft, which powered OpenAI's infrastructure through Azure, had executed a landmark 20-year power purchase agreement with Constellation Energy worth an estimated $16 billion to restart the Three Mile Island nuclear facility at 835 megawatts of capacity, targeted for 2028. The company had committed to matching 100% of its electricity consumption with zero-carbon energy on a 24/7 basis by 2030. Microsoft acknowledged that its carbon footprint had increased 23% since its 2020 baseline — a consequence of AI infrastructure build-out — and described its 2030 carbon-negative goal as "a marathon, not a sprint."</w:t>
      </w:r>
    </w:p>
    <w:p w14:paraId="7113AD55">
      <w:pPr>
        <w:spacing w:before="0" w:after="160"/>
        <w:ind w:firstLine="720"/>
        <w:jc w:val="both"/>
      </w:pPr>
      <w:r>
        <w:rPr>
          <w:rFonts w:ascii="Times New Roman" w:hAnsi="Times New Roman" w:eastAsia="Times New Roman" w:cs="Times New Roman"/>
          <w:sz w:val="24"/>
          <w:szCs w:val="24"/>
        </w:rPr>
        <w:t>Google had signed the world's first corporate deal for a fleet of small modular reactors (SMRs) with Kairos Power, targeting 500 megawatts of nuclear capacity from 2030 onward. The company published detailed annual sustainability reports disclosing electricity consumption, carbon emissions, and water usage by region. Google's emissions had nonetheless jumped nearly 50% since 2019, driven by AI workloads — a fact its sustainability reports did not conceal.</w:t>
      </w:r>
    </w:p>
    <w:p w14:paraId="7166503B">
      <w:pPr>
        <w:spacing w:before="0" w:after="160"/>
        <w:ind w:firstLine="720"/>
        <w:jc w:val="both"/>
      </w:pPr>
      <w:r>
        <w:rPr>
          <w:rFonts w:ascii="Times New Roman" w:hAnsi="Times New Roman" w:eastAsia="Times New Roman" w:cs="Times New Roman"/>
          <w:sz w:val="24"/>
          <w:szCs w:val="24"/>
        </w:rPr>
        <w:t>Amazon had committed more than $20 billion to convert the Susquehanna nuclear generating station into an AI-ready data center campus powered by carbon-free nuclear energy. Amazon's emissions had risen 33% since its 2019 baseline. Both Google and Amazon had made their increases visible through their own disclosures — a transparency that OpenAI, as a private company, had not matched.</w:t>
      </w:r>
    </w:p>
    <w:p w14:paraId="35355367">
      <w:pPr>
        <w:spacing w:before="0" w:after="160"/>
        <w:ind w:firstLine="720"/>
        <w:jc w:val="both"/>
      </w:pPr>
      <w:r>
        <w:rPr>
          <w:rFonts w:ascii="Times New Roman" w:hAnsi="Times New Roman" w:eastAsia="Times New Roman" w:cs="Times New Roman"/>
          <w:sz w:val="24"/>
          <w:szCs w:val="24"/>
        </w:rPr>
        <w:t>Anthropic — OpenAI's most direct research rival, founded by former OpenAI researchers including Dario and Daniela Amodei — had similarly not published a full sustainability report, though it disclosed some energy metrics in partnership with its cloud provider, Amazon Web Services. Anthropic's annual revenue was estimated at $3–4 billion, with significant losses, placing it in a structurally similar position to OpenAI: a company whose compute costs were growing faster than its revenue.</w:t>
      </w:r>
    </w:p>
    <w:p w14:paraId="358C2072">
      <w:pPr>
        <w:spacing w:before="280" w:after="80"/>
      </w:pPr>
      <w:r>
        <w:rPr>
          <w:rFonts w:ascii="Arial" w:hAnsi="Arial" w:eastAsia="Arial" w:cs="Arial"/>
          <w:b/>
          <w:bCs/>
          <w:color w:val="2C3E50"/>
          <w:sz w:val="24"/>
          <w:szCs w:val="24"/>
        </w:rPr>
        <w:t>The Disclosure Gap</w:t>
      </w:r>
    </w:p>
    <w:p w14:paraId="7064AC31">
      <w:pPr>
        <w:spacing w:before="0" w:after="160"/>
        <w:jc w:val="both"/>
      </w:pPr>
      <w:r>
        <w:rPr>
          <w:rFonts w:ascii="Times New Roman" w:hAnsi="Times New Roman" w:eastAsia="Times New Roman" w:cs="Times New Roman"/>
          <w:b w:val="0"/>
          <w:bCs w:val="0"/>
          <w:color w:val="000000"/>
          <w:sz w:val="24"/>
          <w:szCs w:val="24"/>
        </w:rPr>
        <w:t>A significant and increasingly scrutinized feature of the AI industry's energy situation was the near-total absence of mandatory, standardized disclosure. No legal requirement currently obligated technology companies to disclose detailed energy consumption and greenhouse gas emissions from AI operations. Corporate sustainability reports, where they existed, were voluntary and inconsistent: companies chose what to measure, what to report, and what to omit.</w:t>
      </w:r>
    </w:p>
    <w:p w14:paraId="20D9AD06">
      <w:pPr>
        <w:spacing w:before="0" w:after="160"/>
        <w:ind w:firstLine="720"/>
        <w:jc w:val="both"/>
      </w:pPr>
      <w:r>
        <w:rPr>
          <w:rFonts w:ascii="Times New Roman" w:hAnsi="Times New Roman" w:eastAsia="Times New Roman" w:cs="Times New Roman"/>
          <w:sz w:val="24"/>
          <w:szCs w:val="24"/>
        </w:rPr>
        <w:t>Critics, including researchers writing in TechPolicy.Press, described the existing model as "a closed loop that produces more marketing than it does science." For OpenAI specifically, the situation was more acute: the company had published no sustainability report at all, and the only energy disclosure it had made — Altman's per-query figure from the June 2025 blog post — was self-reported, unaudited, and partial. Third-party estimates for ChatGPT's energy consumption ranged from 0.34 to 2.9 watt-hours per query, a nine-fold range that illustrated the depth of the information vacuum.</w:t>
      </w:r>
    </w:p>
    <w:p w14:paraId="599BE633">
      <w:pPr>
        <w:pBdr>
          <w:bottom w:val="single" w:color="C0392B" w:sz="6" w:space="4"/>
        </w:pBdr>
        <w:spacing w:before="420" w:after="140"/>
      </w:pPr>
      <w:r>
        <w:rPr>
          <w:rFonts w:ascii="Arial" w:hAnsi="Arial" w:eastAsia="Arial" w:cs="Arial"/>
          <w:b/>
          <w:bCs/>
          <w:color w:val="1A1A2E"/>
          <w:sz w:val="30"/>
          <w:szCs w:val="30"/>
        </w:rPr>
        <w:t>IV.  THE SITUATION</w:t>
      </w:r>
    </w:p>
    <w:p w14:paraId="735AE0E8">
      <w:pPr>
        <w:spacing w:before="280" w:after="80"/>
      </w:pPr>
      <w:r>
        <w:rPr>
          <w:rFonts w:ascii="Arial" w:hAnsi="Arial" w:eastAsia="Arial" w:cs="Arial"/>
          <w:b/>
          <w:bCs/>
          <w:color w:val="2C3E50"/>
          <w:sz w:val="24"/>
          <w:szCs w:val="24"/>
        </w:rPr>
        <w:t>The Senator's Letter and What It Exposed</w:t>
      </w:r>
    </w:p>
    <w:p w14:paraId="605C8147">
      <w:pPr>
        <w:spacing w:before="0" w:after="160"/>
        <w:jc w:val="both"/>
      </w:pPr>
      <w:r>
        <w:rPr>
          <w:rFonts w:ascii="Times New Roman" w:hAnsi="Times New Roman" w:eastAsia="Times New Roman" w:cs="Times New Roman"/>
          <w:b w:val="0"/>
          <w:bCs w:val="0"/>
          <w:color w:val="000000"/>
          <w:sz w:val="24"/>
          <w:szCs w:val="24"/>
        </w:rPr>
        <w:t>The letter from Senator Whitehouse, dated March 13, 2026, was three pages long and addressed directly to Sam Altman. It identified four specific gas-powered generation facilities associated with Stargate projects — in New Mexico, Texas, Ohio, and through the SoftBank Group partnership — with combined capacity of approximately 13 gigawatts. At this scale, the senator wrote, these facilities would emit "millions of tons of greenhouse gases every year." He asked a series of specific questions: What emissions reduction measures were planned? What binding commitments, if any, had OpenAI made regarding renewable energy for Stargate facilities? Had OpenAI commissioned an independent environmental impact assessment?</w:t>
      </w:r>
    </w:p>
    <w:p w14:paraId="1AA8EEF4">
      <w:pPr>
        <w:spacing w:before="0" w:after="160"/>
        <w:ind w:firstLine="720"/>
        <w:jc w:val="both"/>
      </w:pPr>
      <w:r>
        <w:rPr>
          <w:rFonts w:ascii="Times New Roman" w:hAnsi="Times New Roman" w:eastAsia="Times New Roman" w:cs="Times New Roman"/>
          <w:sz w:val="24"/>
          <w:szCs w:val="24"/>
        </w:rPr>
        <w:t>OpenAI had not publicly responded to the letter as of the time of this writing. But the letter had been published on the Senate EPW Committee's website, where it was quickly picked up by climate journalists, technology reporters, and ESG-focused investors. It surfaced a structural problem that OpenAI's communications team had not previously had to confront at this intensity: the company that had generated the demand signal for the largest data center buildout in history had made fewer binding energy commitments than almost any of its principal competitors.</w:t>
      </w:r>
    </w:p>
    <w:p w14:paraId="32CE8C45">
      <w:pPr>
        <w:spacing w:before="0" w:after="160"/>
        <w:ind w:firstLine="720"/>
        <w:jc w:val="both"/>
      </w:pPr>
      <w:r>
        <w:rPr>
          <w:rFonts w:ascii="Times New Roman" w:hAnsi="Times New Roman" w:eastAsia="Times New Roman" w:cs="Times New Roman"/>
          <w:sz w:val="24"/>
          <w:szCs w:val="24"/>
        </w:rPr>
        <w:t>The timing was consequential. OpenAI had just closed a $40 billion funding round at a $300 billion valuation in February 2026, bringing in investors including SoftBank, Abu Dhabi's MGX, and Coatue. These investors had conducted due diligence under conditions of limited ESG disclosure. As institutional capital markets increasingly priced climate risk into private company valuations — particularly in anticipation of potential IPO — the absence of a sustainability framework was becoming a material issue, not merely a reputational one.</w:t>
      </w:r>
    </w:p>
    <w:p w14:paraId="2708CA1D">
      <w:pPr>
        <w:spacing w:before="280" w:after="80"/>
      </w:pPr>
      <w:r>
        <w:rPr>
          <w:rFonts w:ascii="Arial" w:hAnsi="Arial" w:eastAsia="Arial" w:cs="Arial"/>
          <w:b/>
          <w:bCs/>
          <w:color w:val="2C3E50"/>
          <w:sz w:val="24"/>
          <w:szCs w:val="24"/>
        </w:rPr>
        <w:t>The Accounting Problem: What Does "Renewable" Even Mean?</w:t>
      </w:r>
    </w:p>
    <w:p w14:paraId="2BBE4580">
      <w:pPr>
        <w:spacing w:before="0" w:after="160"/>
        <w:jc w:val="both"/>
      </w:pPr>
      <w:r>
        <w:rPr>
          <w:rFonts w:ascii="Times New Roman" w:hAnsi="Times New Roman" w:eastAsia="Times New Roman" w:cs="Times New Roman"/>
          <w:b w:val="0"/>
          <w:bCs w:val="0"/>
          <w:color w:val="000000"/>
          <w:sz w:val="24"/>
          <w:szCs w:val="24"/>
        </w:rPr>
        <w:t>OpenAI's infrastructure ran primarily through Microsoft Azure, which itself made significant renewable energy purchases. Microsoft's 2025 sustainability report claimed that it matched its global electricity consumption with renewable energy certificates (RECs) — instruments that allow a company to claim that renewable electrons were generated on their behalf, even if the physical electrons powering their servers came from the local grid's mix, which might include coal and gas.</w:t>
      </w:r>
    </w:p>
    <w:p w14:paraId="7BC41FF6">
      <w:pPr>
        <w:spacing w:before="0" w:after="160"/>
        <w:ind w:firstLine="720"/>
        <w:jc w:val="both"/>
      </w:pPr>
      <w:r>
        <w:rPr>
          <w:rFonts w:ascii="Times New Roman" w:hAnsi="Times New Roman" w:eastAsia="Times New Roman" w:cs="Times New Roman"/>
          <w:sz w:val="24"/>
          <w:szCs w:val="24"/>
        </w:rPr>
        <w:t>Critics, including Greenpeace, had noted that RECs were an accounting mechanism rather than a physical guarantee of clean power. A data center in Virginia powered primarily by Dominion Energy's fossil-fuel generation mix could purchase RECs from a wind farm in Iowa and claim "100% renewable" status — despite the fact that its servers were, in physical reality, running on the same electrons as every other consumer on the Virginia grid. This distinction mattered enormously for the integrity of AI companies' environmental claims. As the EU's Corporate Sustainability Reporting Directive (CSRD) came into force for large companies operating in Europe, the evidentiary standards for such claims were rising.</w:t>
      </w:r>
    </w:p>
    <w:p w14:paraId="6C936027">
      <w:pPr>
        <w:spacing w:before="0" w:after="160"/>
        <w:ind w:firstLine="720"/>
        <w:jc w:val="both"/>
      </w:pPr>
      <w:r>
        <w:rPr>
          <w:rFonts w:ascii="Times New Roman" w:hAnsi="Times New Roman" w:eastAsia="Times New Roman" w:cs="Times New Roman"/>
          <w:sz w:val="24"/>
          <w:szCs w:val="24"/>
        </w:rPr>
        <w:t>For OpenAI, the problem was compounded by Stargate's explicit near-term reliance on natural gas. Unlike the REC question — where the company could at least claim its partner Microsoft had purchased renewable certificates — the gas-fired generation facilities associated with Stargate sites were documented infrastructure investments, not accounting constructs. They would burn fossil fuel to power AI servers.</w:t>
      </w:r>
    </w:p>
    <w:p w14:paraId="0472EED0">
      <w:pPr>
        <w:spacing w:before="280" w:after="80"/>
      </w:pPr>
      <w:r>
        <w:rPr>
          <w:rFonts w:ascii="Arial" w:hAnsi="Arial" w:eastAsia="Arial" w:cs="Arial"/>
          <w:b/>
          <w:bCs/>
          <w:color w:val="2C3E50"/>
          <w:sz w:val="24"/>
          <w:szCs w:val="24"/>
        </w:rPr>
        <w:t>The Per-Query Framing and Its Limits</w:t>
      </w:r>
    </w:p>
    <w:p w14:paraId="565CEE64">
      <w:pPr>
        <w:spacing w:before="0" w:after="160"/>
        <w:jc w:val="both"/>
      </w:pPr>
      <w:r>
        <w:rPr>
          <w:rFonts w:ascii="Times New Roman" w:hAnsi="Times New Roman" w:eastAsia="Times New Roman" w:cs="Times New Roman"/>
          <w:b w:val="0"/>
          <w:bCs w:val="0"/>
          <w:color w:val="000000"/>
          <w:sz w:val="24"/>
          <w:szCs w:val="24"/>
        </w:rPr>
        <w:t>Sam Altman's decision to frame OpenAI's environmental impact primarily in per-query terms — "about what an oven uses in a little over one second" — was a communications strategy that researchers had begun to examine critically. The framing was not incorrect; 0.34 watt-hours was a defensible estimate for an average ChatGPT query. The problem was the aggregation.</w:t>
      </w:r>
    </w:p>
    <w:p w14:paraId="08203087">
      <w:pPr>
        <w:spacing w:before="0" w:after="160"/>
        <w:ind w:firstLine="720"/>
        <w:jc w:val="both"/>
      </w:pPr>
      <w:r>
        <w:rPr>
          <w:rFonts w:ascii="Times New Roman" w:hAnsi="Times New Roman" w:eastAsia="Times New Roman" w:cs="Times New Roman"/>
          <w:sz w:val="24"/>
          <w:szCs w:val="24"/>
        </w:rPr>
        <w:t>At 2.5 billion queries per day — a figure OpenAI itself had cited — the daily electricity consumption implied by Altman's number was approximately 850 megawatt-hours. Across a year, this was roughly 310,000 MWh, or 310 gigawatt-hours, for ChatGPT inference alone. ChatGPT was growing rapidly: from 300 million weekly active users in December 2024 to 900 million by February 2026. If query volume scaled proportionally, the inference footprint would grow by a factor of three in 14 months. This was before accounting for model training, API workloads from enterprise customers, and the compute required to develop GPT-5 and subsequent models.</w:t>
      </w:r>
    </w:p>
    <w:p w14:paraId="670B062B">
      <w:pPr>
        <w:spacing w:before="0" w:after="160"/>
        <w:ind w:firstLine="720"/>
        <w:jc w:val="both"/>
      </w:pPr>
      <w:r>
        <w:rPr>
          <w:rFonts w:ascii="Times New Roman" w:hAnsi="Times New Roman" w:eastAsia="Times New Roman" w:cs="Times New Roman"/>
          <w:sz w:val="24"/>
          <w:szCs w:val="24"/>
        </w:rPr>
        <w:t>A BestBrokers.com analysis, using OpenAI's own per-query figure, calculated that ChatGPT's annual electricity consumption was approximately 22,150 gigawatt-hours — comparable to the annual electricity consumption of Slovenia. At U.S. commercial electricity rates of approximately $0.14 per kilowatt-hour, this implied an annual electricity cost for ChatGPT inference alone of approximately $3.1 billion. This figure, if accurate, would represent roughly 31% of OpenAI's annual revenue — a striking energy cost ratio for a software company.</w:t>
      </w:r>
    </w:p>
    <w:p w14:paraId="300D4950">
      <w:pPr>
        <w:spacing w:before="0" w:after="160"/>
        <w:ind w:firstLine="720"/>
        <w:jc w:val="both"/>
      </w:pPr>
      <w:r>
        <w:rPr>
          <w:rFonts w:ascii="Times New Roman" w:hAnsi="Times New Roman" w:eastAsia="Times New Roman" w:cs="Times New Roman"/>
          <w:sz w:val="24"/>
          <w:szCs w:val="24"/>
        </w:rPr>
        <w:t>IEEE Spectrum's October 2025 analysis put the full generative AI industry's electricity consumption at 15 TWh in 2025, projected to reach 347 TWh by 2030 — implying the construction of dozens of additional data centers of Stargate's scale to meet the energy demand. OpenAI's share of this expanding total was not publicly known. The company had not said.</w:t>
      </w:r>
    </w:p>
    <w:p w14:paraId="01051325">
      <w:pPr>
        <w:spacing w:before="280" w:after="80"/>
      </w:pPr>
      <w:r>
        <w:rPr>
          <w:rFonts w:ascii="Arial" w:hAnsi="Arial" w:eastAsia="Arial" w:cs="Arial"/>
          <w:b/>
          <w:bCs/>
          <w:color w:val="2C3E50"/>
          <w:sz w:val="24"/>
          <w:szCs w:val="24"/>
        </w:rPr>
        <w:t>Altman's Wager: Intelligence Will Fix the Climate</w:t>
      </w:r>
    </w:p>
    <w:p w14:paraId="25F1A8DF">
      <w:pPr>
        <w:spacing w:before="0" w:after="160"/>
        <w:jc w:val="both"/>
      </w:pPr>
      <w:r>
        <w:rPr>
          <w:rFonts w:ascii="Times New Roman" w:hAnsi="Times New Roman" w:eastAsia="Times New Roman" w:cs="Times New Roman"/>
          <w:b w:val="0"/>
          <w:bCs w:val="0"/>
          <w:color w:val="000000"/>
          <w:sz w:val="24"/>
          <w:szCs w:val="24"/>
        </w:rPr>
        <w:t>Running through all of OpenAI's public statements on energy was an implicit argument: that the energy consumed by AI was an investment, not a cost, because AI would generate returns — in scientific productivity, in climate solutions, in economic output — that would dwarf its resource footprint. Altman had articulated versions of this argument in multiple contexts. "The world needs to move towards nuclear or wind and solar very quickly," he had told a Mumbai audience in October 2025, "and I think AI can help us get there." In The Gentle Singularity, he had cited AI's potential to "compress decades of scientific progress into just a few years" and suggested this could include breakthroughs in energy technology.</w:t>
      </w:r>
    </w:p>
    <w:p w14:paraId="6D4D665A">
      <w:pPr>
        <w:spacing w:before="0" w:after="160"/>
        <w:ind w:firstLine="720"/>
        <w:jc w:val="both"/>
      </w:pPr>
      <w:r>
        <w:rPr>
          <w:rFonts w:ascii="Times New Roman" w:hAnsi="Times New Roman" w:eastAsia="Times New Roman" w:cs="Times New Roman"/>
          <w:sz w:val="24"/>
          <w:szCs w:val="24"/>
        </w:rPr>
        <w:t>Critics found this argument circular. AI's potential climate benefits were speculative; its current energy consumption was empirical and growing. Framing present resource use as an investment in future solutions was a rhetorical strategy common to carbon-intensive industries seeking to defer accountability. The same logic could be applied to any high-emission activity whose practitioners believed their work would ultimately benefit the world.</w:t>
      </w:r>
    </w:p>
    <w:p w14:paraId="1D7A56B7">
      <w:pPr>
        <w:spacing w:before="0" w:after="160"/>
        <w:ind w:firstLine="720"/>
        <w:jc w:val="both"/>
      </w:pPr>
      <w:r>
        <w:rPr>
          <w:rFonts w:ascii="Times New Roman" w:hAnsi="Times New Roman" w:eastAsia="Times New Roman" w:cs="Times New Roman"/>
          <w:sz w:val="24"/>
          <w:szCs w:val="24"/>
        </w:rPr>
        <w:t>Inside OpenAI, the tension was not purely external. According to people familiar with the company's internal discussions, there was meaningful disagreement about whether the company's compute scaling trajectory was necessary to achieve its stated mission of beneficial AGI, or whether smaller, more efficient models could achieve comparable results at a fraction of the energy cost. The release of DeepSeek — a Chinese AI model that demonstrated near-frontier performance at dramatically lower training compute — had intensified this debate in early 2025. If a comparable level of capability could be achieved with less compute, the environmental case for frontier-scale model development weakened considerably.</w:t>
      </w:r>
    </w:p>
    <w:p w14:paraId="2C2FE004">
      <w:pPr>
        <w:spacing w:before="280" w:after="80"/>
      </w:pPr>
      <w:r>
        <w:rPr>
          <w:rFonts w:ascii="Arial" w:hAnsi="Arial" w:eastAsia="Arial" w:cs="Arial"/>
          <w:b/>
          <w:bCs/>
          <w:color w:val="2C3E50"/>
          <w:sz w:val="24"/>
          <w:szCs w:val="24"/>
        </w:rPr>
        <w:t>The Governance Dimension</w:t>
      </w:r>
    </w:p>
    <w:p w14:paraId="7C0A507B">
      <w:pPr>
        <w:spacing w:before="0" w:after="160"/>
        <w:jc w:val="both"/>
      </w:pPr>
      <w:r>
        <w:rPr>
          <w:rFonts w:ascii="Times New Roman" w:hAnsi="Times New Roman" w:eastAsia="Times New Roman" w:cs="Times New Roman"/>
          <w:b w:val="0"/>
          <w:bCs w:val="0"/>
          <w:color w:val="000000"/>
          <w:sz w:val="24"/>
          <w:szCs w:val="24"/>
        </w:rPr>
        <w:t>OpenAI's energy situation could not be fully separated from its governance history. The company had been founded as a nonprofit with a mission to benefit humanity; its subsequent evolution to a capped-profit structure and then to a full for-profit public benefit corporation had been contentious. Several senior researchers had departed, with some citing concerns about safety being deprioritized in favor of commercial speed. The nonprofit board's 2023 decision to briefly remove Altman — reversed after a week of employee revolt — had created lasting questions about the accountability structures within the organization.</w:t>
      </w:r>
    </w:p>
    <w:p w14:paraId="79C7DE03">
      <w:pPr>
        <w:spacing w:before="0" w:after="160"/>
        <w:ind w:firstLine="720"/>
        <w:jc w:val="both"/>
      </w:pPr>
      <w:r>
        <w:rPr>
          <w:rFonts w:ascii="Times New Roman" w:hAnsi="Times New Roman" w:eastAsia="Times New Roman" w:cs="Times New Roman"/>
          <w:sz w:val="24"/>
          <w:szCs w:val="24"/>
        </w:rPr>
        <w:t>Environmental accountability is a dimension of organizational governance. A company that has voluntarily committed to transparency about AI safety — publishing model cards, releasing technical reports, engaging with regulators — but has made no equivalent commitment to energy transparency operates an asymmetry that observers were beginning to notice. The Senate letter made that asymmetry concrete and public. (See Exhibit 6 for a governance and transparency comparison with peers.)</w:t>
      </w:r>
    </w:p>
    <w:p w14:paraId="0D2026DC">
      <w:pPr>
        <w:pBdr>
          <w:bottom w:val="single" w:color="C0392B" w:sz="6" w:space="4"/>
        </w:pBdr>
        <w:spacing w:before="420" w:after="140"/>
      </w:pPr>
      <w:r>
        <w:rPr>
          <w:rFonts w:ascii="Arial" w:hAnsi="Arial" w:eastAsia="Arial" w:cs="Arial"/>
          <w:b/>
          <w:bCs/>
          <w:color w:val="1A1A2E"/>
          <w:sz w:val="30"/>
          <w:szCs w:val="30"/>
        </w:rPr>
        <w:t>V.  THE DECISION POINT</w:t>
      </w:r>
    </w:p>
    <w:p w14:paraId="07C0AFB4">
      <w:pPr>
        <w:spacing w:before="0" w:after="160"/>
        <w:jc w:val="both"/>
      </w:pPr>
      <w:r>
        <w:rPr>
          <w:rFonts w:ascii="Times New Roman" w:hAnsi="Times New Roman" w:eastAsia="Times New Roman" w:cs="Times New Roman"/>
          <w:b w:val="0"/>
          <w:bCs w:val="0"/>
          <w:color w:val="000000"/>
          <w:sz w:val="24"/>
          <w:szCs w:val="24"/>
        </w:rPr>
        <w:t>In the weeks following Senator Whitehouse's letter, Sam Altman and OpenAI's leadership team faced a decision they could not further defer. The company's Board of Directors — newly constituted after the 2023 governance crisis, and including experienced members with backgrounds in technology, law, and finance — had begun asking what a formal sustainability strategy would look like, and what the cost and timeline of implementing one might be.</w:t>
      </w:r>
    </w:p>
    <w:p w14:paraId="0A4AE854">
      <w:pPr>
        <w:spacing w:before="0" w:after="160"/>
        <w:ind w:firstLine="720"/>
        <w:jc w:val="both"/>
      </w:pPr>
      <w:r>
        <w:rPr>
          <w:rFonts w:ascii="Times New Roman" w:hAnsi="Times New Roman" w:eastAsia="Times New Roman" w:cs="Times New Roman"/>
          <w:sz w:val="24"/>
          <w:szCs w:val="24"/>
        </w:rPr>
        <w:t>Three broad pathways had been identified in preliminary internal discussions, each reflecting a different theory of OpenAI's obligations and competitive positioning.</w:t>
      </w:r>
    </w:p>
    <w:p w14:paraId="3E144BF8">
      <w:pPr>
        <w:spacing w:before="0" w:after="160"/>
        <w:ind w:firstLine="720"/>
        <w:jc w:val="both"/>
      </w:pPr>
      <w:r>
        <w:rPr>
          <w:rFonts w:ascii="Times New Roman" w:hAnsi="Times New Roman" w:eastAsia="Times New Roman" w:cs="Times New Roman"/>
          <w:sz w:val="24"/>
          <w:szCs w:val="24"/>
        </w:rPr>
        <w:t>Option A — Disclosure and Commitment: OpenAI could publish a comprehensive sustainability report within 90 days — disclosing its current electricity consumption, estimated carbon footprint, and water usage — and commit to a binding net-zero target with a specified timeline, accompanied by a concrete clean energy procurement plan, including a nuclear or large-scale renewable deal comparable in scale to those signed by Microsoft and Google. This approach would be costly — potentially adding $2–4 billion in clean energy capital commitments over the medium term — but would close the transparency gap with competitors and potentially strengthen the company's position with institutional investors ahead of a future IPO. It would also require OpenAI to acknowledge the full scale of its current impact, which had not been disclosed.</w:t>
      </w:r>
    </w:p>
    <w:p w14:paraId="69742DAE">
      <w:pPr>
        <w:spacing w:before="0" w:after="160"/>
        <w:ind w:firstLine="720"/>
        <w:jc w:val="both"/>
      </w:pPr>
      <w:r>
        <w:rPr>
          <w:rFonts w:ascii="Times New Roman" w:hAnsi="Times New Roman" w:eastAsia="Times New Roman" w:cs="Times New Roman"/>
          <w:sz w:val="24"/>
          <w:szCs w:val="24"/>
        </w:rPr>
        <w:t>Option B — Efficiency-Led Approach: OpenAI could invest heavily in model efficiency research — techniques such as mixture-of-experts architectures, quantization, and inference optimization — with the goal of dramatically reducing energy consumption per unit of AI output, rather than scaling up clean energy supply. The argument here was that making AI cheaper and more efficient was the highest-leverage intervention available: a 50% reduction in energy per query, at 2.5 billion daily queries, would save more electricity than many clean energy purchases could provide. This approach would defer formal disclosure and binding climate commitments, on the grounds that efficiency improvements would reduce the urgency of the energy problem organically.</w:t>
      </w:r>
    </w:p>
    <w:p w14:paraId="2E92CD91">
      <w:pPr>
        <w:spacing w:before="0" w:after="160"/>
        <w:ind w:firstLine="720"/>
        <w:jc w:val="both"/>
      </w:pPr>
      <w:r>
        <w:rPr>
          <w:rFonts w:ascii="Times New Roman" w:hAnsi="Times New Roman" w:eastAsia="Times New Roman" w:cs="Times New Roman"/>
          <w:sz w:val="24"/>
          <w:szCs w:val="24"/>
        </w:rPr>
        <w:t>Option C — Regulatory Engagement and Sector-Wide Standards: OpenAI could pivot from reactive compliance to proactive policy leadership — advocating publicly for mandatory, standardized energy disclosure requirements for the entire AI industry, and offering to be among the first companies to adopt such standards. This approach would reframe the energy question from a company-specific vulnerability into an industry-wide governance challenge, positioning OpenAI as a responsible actor calling for systemic accountability rather than defending its own record. It would involve lobbying for legislation, engaging with the SEC's evolving climate disclosure rules, and potentially co-authoring a proposed industry standard with competitors.</w:t>
      </w:r>
    </w:p>
    <w:p w14:paraId="6F190E13">
      <w:pPr>
        <w:spacing w:before="0" w:after="160"/>
        <w:jc w:val="both"/>
      </w:pPr>
      <w:r>
        <w:rPr>
          <w:rFonts w:ascii="Times New Roman" w:hAnsi="Times New Roman" w:eastAsia="Times New Roman" w:cs="Times New Roman"/>
          <w:b w:val="0"/>
          <w:bCs w:val="0"/>
          <w:color w:val="000000"/>
          <w:sz w:val="24"/>
          <w:szCs w:val="24"/>
        </w:rPr>
        <w:t>Each option implied a different relationship between OpenAI's commercial interests, its stated mission, and its obligations to the communities — and the atmosphere — affected by its energy consumption. The board meeting was scheduled. The senator's letter required a formal response. And Sam Altman, who had told the world that AI would compress decades of scientific progress and fix the climate, would have to decide what role his own company was willing to play in making that promise credible.</w:t>
      </w:r>
    </w:p>
    <w:p w14:paraId="45E860E4">
      <w:pPr>
        <w:spacing w:before="320" w:after="320"/>
        <w:jc w:val="center"/>
      </w:pPr>
      <w:r>
        <w:rPr>
          <w:rFonts w:ascii="Times New Roman" w:hAnsi="Times New Roman" w:eastAsia="Times New Roman" w:cs="Times New Roman"/>
          <w:b/>
          <w:bCs/>
          <w:i/>
          <w:iCs/>
          <w:color w:val="2C3E50"/>
          <w:sz w:val="26"/>
          <w:szCs w:val="26"/>
        </w:rPr>
        <w:t>What should OpenAI do — and what does the choice reveal about the kind of company it has decided to become?</w:t>
      </w:r>
    </w:p>
    <w:p w14:paraId="6C5F26C2">
      <w:pPr>
        <w:spacing w:before="0" w:after="0"/>
      </w:pPr>
      <w:r>
        <w:br w:type="page"/>
      </w:r>
    </w:p>
    <w:p w14:paraId="53B5630F">
      <w:pPr>
        <w:pBdr>
          <w:bottom w:val="single" w:color="C0392B" w:sz="6" w:space="4"/>
        </w:pBdr>
        <w:spacing w:before="420" w:after="140"/>
      </w:pPr>
      <w:r>
        <w:rPr>
          <w:rFonts w:ascii="Arial" w:hAnsi="Arial" w:eastAsia="Arial" w:cs="Arial"/>
          <w:b/>
          <w:bCs/>
          <w:color w:val="1A1A2E"/>
          <w:sz w:val="30"/>
          <w:szCs w:val="30"/>
        </w:rPr>
        <w:t>EXHIBITS</w:t>
      </w:r>
    </w:p>
    <w:p w14:paraId="2E518636">
      <w:pPr>
        <w:spacing w:before="480" w:after="120"/>
      </w:pPr>
      <w:r>
        <w:rPr>
          <w:rFonts w:ascii="Arial" w:hAnsi="Arial" w:eastAsia="Arial" w:cs="Arial"/>
          <w:b/>
          <w:bCs/>
          <w:color w:val="2C3E50"/>
          <w:sz w:val="22"/>
          <w:szCs w:val="22"/>
        </w:rPr>
        <w:t>Exhibit 1: OpenAI — Estimated Financial Summary (FY 2022–2026, USD)</w:t>
      </w:r>
    </w:p>
    <w:p w14:paraId="1C9A4F61">
      <w:pPr>
        <w:spacing w:before="0" w:after="160"/>
        <w:jc w:val="both"/>
      </w:pPr>
      <w:r>
        <w:rPr>
          <w:rFonts w:ascii="Times New Roman" w:hAnsi="Times New Roman" w:eastAsia="Times New Roman" w:cs="Times New Roman"/>
          <w:b w:val="0"/>
          <w:bCs w:val="0"/>
          <w:color w:val="C0392B"/>
          <w:sz w:val="24"/>
          <w:szCs w:val="24"/>
        </w:rPr>
        <w:t>Note: OpenAI is a private company and does not publish audited financial statements. All figures represent best estimates compiled from investigative journalism (The Information, Financial Times, Bloomberg), public funding announcements, and industry analyst research. Revenue and loss figures carry material uncertainty.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60"/>
        <w:gridCol w:w="1360"/>
        <w:gridCol w:w="1360"/>
        <w:gridCol w:w="1360"/>
        <w:gridCol w:w="1360"/>
        <w:gridCol w:w="1360"/>
      </w:tblGrid>
      <w:tr w14:paraId="30A2D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6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229F5E4B">
            <w:r>
              <w:rPr>
                <w:rFonts w:ascii="Arial" w:hAnsi="Arial" w:eastAsia="Arial" w:cs="Arial"/>
                <w:b/>
                <w:bCs/>
                <w:color w:val="FFFFFF"/>
                <w:sz w:val="20"/>
                <w:szCs w:val="20"/>
              </w:rPr>
              <w:t>Metric</w:t>
            </w:r>
          </w:p>
        </w:tc>
        <w:tc>
          <w:tcPr>
            <w:tcW w:w="136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25950715">
            <w:r>
              <w:rPr>
                <w:rFonts w:ascii="Arial" w:hAnsi="Arial" w:eastAsia="Arial" w:cs="Arial"/>
                <w:b/>
                <w:bCs/>
                <w:color w:val="FFFFFF"/>
                <w:sz w:val="20"/>
                <w:szCs w:val="20"/>
              </w:rPr>
              <w:t>FY 2022 (Est.)</w:t>
            </w:r>
          </w:p>
        </w:tc>
        <w:tc>
          <w:tcPr>
            <w:tcW w:w="136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4E43B496">
            <w:r>
              <w:rPr>
                <w:rFonts w:ascii="Arial" w:hAnsi="Arial" w:eastAsia="Arial" w:cs="Arial"/>
                <w:b/>
                <w:bCs/>
                <w:color w:val="FFFFFF"/>
                <w:sz w:val="20"/>
                <w:szCs w:val="20"/>
              </w:rPr>
              <w:t>FY 2023 (Est.)</w:t>
            </w:r>
          </w:p>
        </w:tc>
        <w:tc>
          <w:tcPr>
            <w:tcW w:w="136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0E6DB650">
            <w:r>
              <w:rPr>
                <w:rFonts w:ascii="Arial" w:hAnsi="Arial" w:eastAsia="Arial" w:cs="Arial"/>
                <w:b/>
                <w:bCs/>
                <w:color w:val="FFFFFF"/>
                <w:sz w:val="20"/>
                <w:szCs w:val="20"/>
              </w:rPr>
              <w:t>FY 2024 (Est.)</w:t>
            </w:r>
          </w:p>
        </w:tc>
        <w:tc>
          <w:tcPr>
            <w:tcW w:w="136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6A17249D">
            <w:r>
              <w:rPr>
                <w:rFonts w:ascii="Arial" w:hAnsi="Arial" w:eastAsia="Arial" w:cs="Arial"/>
                <w:b/>
                <w:bCs/>
                <w:color w:val="FFFFFF"/>
                <w:sz w:val="20"/>
                <w:szCs w:val="20"/>
              </w:rPr>
              <w:t>FY 2025 (Est.)</w:t>
            </w:r>
          </w:p>
        </w:tc>
        <w:tc>
          <w:tcPr>
            <w:tcW w:w="136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6023355B">
            <w:r>
              <w:rPr>
                <w:rFonts w:ascii="Arial" w:hAnsi="Arial" w:eastAsia="Arial" w:cs="Arial"/>
                <w:b/>
                <w:bCs/>
                <w:color w:val="FFFFFF"/>
                <w:sz w:val="20"/>
                <w:szCs w:val="20"/>
              </w:rPr>
              <w:t>FY 2026 (Proj.)</w:t>
            </w:r>
          </w:p>
        </w:tc>
      </w:tr>
      <w:tr w14:paraId="51E8C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68559EB">
            <w:r>
              <w:rPr>
                <w:rFonts w:ascii="Times New Roman" w:hAnsi="Times New Roman" w:eastAsia="Times New Roman" w:cs="Times New Roman"/>
                <w:b/>
                <w:bCs/>
                <w:sz w:val="20"/>
                <w:szCs w:val="20"/>
              </w:rPr>
              <w:t>Total Revenue</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0C523F9">
            <w:r>
              <w:rPr>
                <w:rFonts w:ascii="Times New Roman" w:hAnsi="Times New Roman" w:eastAsia="Times New Roman" w:cs="Times New Roman"/>
                <w:b w:val="0"/>
                <w:bCs w:val="0"/>
                <w:sz w:val="20"/>
                <w:szCs w:val="20"/>
              </w:rPr>
              <w:t>~$35M</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DC028DC">
            <w:r>
              <w:rPr>
                <w:rFonts w:ascii="Times New Roman" w:hAnsi="Times New Roman" w:eastAsia="Times New Roman" w:cs="Times New Roman"/>
                <w:b w:val="0"/>
                <w:bCs w:val="0"/>
                <w:sz w:val="20"/>
                <w:szCs w:val="20"/>
              </w:rPr>
              <w:t>~$1.6B</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F6DFE28">
            <w:r>
              <w:rPr>
                <w:rFonts w:ascii="Times New Roman" w:hAnsi="Times New Roman" w:eastAsia="Times New Roman" w:cs="Times New Roman"/>
                <w:b w:val="0"/>
                <w:bCs w:val="0"/>
                <w:sz w:val="20"/>
                <w:szCs w:val="20"/>
              </w:rPr>
              <w:t>~$3.7B</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B0DE6F2">
            <w:r>
              <w:rPr>
                <w:rFonts w:ascii="Times New Roman" w:hAnsi="Times New Roman" w:eastAsia="Times New Roman" w:cs="Times New Roman"/>
                <w:b w:val="0"/>
                <w:bCs w:val="0"/>
                <w:sz w:val="20"/>
                <w:szCs w:val="20"/>
              </w:rPr>
              <w:t>~$10.0B</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26EA596">
            <w:r>
              <w:rPr>
                <w:rFonts w:ascii="Times New Roman" w:hAnsi="Times New Roman" w:eastAsia="Times New Roman" w:cs="Times New Roman"/>
                <w:b w:val="0"/>
                <w:bCs w:val="0"/>
                <w:sz w:val="20"/>
                <w:szCs w:val="20"/>
              </w:rPr>
              <w:t>~$25–29B</w:t>
            </w:r>
          </w:p>
        </w:tc>
      </w:tr>
      <w:tr w14:paraId="47B69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71AE9E46">
            <w:r>
              <w:rPr>
                <w:rFonts w:ascii="Times New Roman" w:hAnsi="Times New Roman" w:eastAsia="Times New Roman" w:cs="Times New Roman"/>
                <w:b w:val="0"/>
                <w:bCs w:val="0"/>
                <w:sz w:val="20"/>
                <w:szCs w:val="20"/>
              </w:rPr>
              <w:t>YoY Revenue Growth</w:t>
            </w:r>
          </w:p>
        </w:tc>
        <w:tc>
          <w:tcPr>
            <w:tcW w:w="13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6A3EE42B">
            <w:r>
              <w:rPr>
                <w:rFonts w:ascii="Times New Roman" w:hAnsi="Times New Roman" w:eastAsia="Times New Roman" w:cs="Times New Roman"/>
                <w:b w:val="0"/>
                <w:bCs w:val="0"/>
                <w:sz w:val="20"/>
                <w:szCs w:val="20"/>
              </w:rPr>
              <w:t>N/A</w:t>
            </w:r>
          </w:p>
        </w:tc>
        <w:tc>
          <w:tcPr>
            <w:tcW w:w="13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761F1D78">
            <w:r>
              <w:rPr>
                <w:rFonts w:ascii="Times New Roman" w:hAnsi="Times New Roman" w:eastAsia="Times New Roman" w:cs="Times New Roman"/>
                <w:b w:val="0"/>
                <w:bCs w:val="0"/>
                <w:sz w:val="20"/>
                <w:szCs w:val="20"/>
              </w:rPr>
              <w:t>+4,471%</w:t>
            </w:r>
          </w:p>
        </w:tc>
        <w:tc>
          <w:tcPr>
            <w:tcW w:w="13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22A56A95">
            <w:r>
              <w:rPr>
                <w:rFonts w:ascii="Times New Roman" w:hAnsi="Times New Roman" w:eastAsia="Times New Roman" w:cs="Times New Roman"/>
                <w:b w:val="0"/>
                <w:bCs w:val="0"/>
                <w:sz w:val="20"/>
                <w:szCs w:val="20"/>
              </w:rPr>
              <w:t>+131%</w:t>
            </w:r>
          </w:p>
        </w:tc>
        <w:tc>
          <w:tcPr>
            <w:tcW w:w="13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67510A81">
            <w:r>
              <w:rPr>
                <w:rFonts w:ascii="Times New Roman" w:hAnsi="Times New Roman" w:eastAsia="Times New Roman" w:cs="Times New Roman"/>
                <w:b w:val="0"/>
                <w:bCs w:val="0"/>
                <w:sz w:val="20"/>
                <w:szCs w:val="20"/>
              </w:rPr>
              <w:t>+170%</w:t>
            </w:r>
          </w:p>
        </w:tc>
        <w:tc>
          <w:tcPr>
            <w:tcW w:w="13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3D9528CE">
            <w:r>
              <w:rPr>
                <w:rFonts w:ascii="Times New Roman" w:hAnsi="Times New Roman" w:eastAsia="Times New Roman" w:cs="Times New Roman"/>
                <w:b w:val="0"/>
                <w:bCs w:val="0"/>
                <w:sz w:val="20"/>
                <w:szCs w:val="20"/>
              </w:rPr>
              <w:t>+150–190%</w:t>
            </w:r>
          </w:p>
        </w:tc>
      </w:tr>
      <w:tr w14:paraId="2F031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9A71C29">
            <w:r>
              <w:rPr>
                <w:rFonts w:ascii="Times New Roman" w:hAnsi="Times New Roman" w:eastAsia="Times New Roman" w:cs="Times New Roman"/>
                <w:b w:val="0"/>
                <w:bCs w:val="0"/>
                <w:sz w:val="20"/>
                <w:szCs w:val="20"/>
              </w:rPr>
              <w:t>Gross Profit (Est.)</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C059A1C">
            <w:r>
              <w:rPr>
                <w:rFonts w:ascii="Times New Roman" w:hAnsi="Times New Roman" w:eastAsia="Times New Roman" w:cs="Times New Roman"/>
                <w:b w:val="0"/>
                <w:bCs w:val="0"/>
                <w:sz w:val="20"/>
                <w:szCs w:val="20"/>
              </w:rPr>
              <w:t>~($20M)</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83F04BA">
            <w:r>
              <w:rPr>
                <w:rFonts w:ascii="Times New Roman" w:hAnsi="Times New Roman" w:eastAsia="Times New Roman" w:cs="Times New Roman"/>
                <w:b w:val="0"/>
                <w:bCs w:val="0"/>
                <w:sz w:val="20"/>
                <w:szCs w:val="20"/>
              </w:rPr>
              <w:t>~$700M</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61D710A">
            <w:r>
              <w:rPr>
                <w:rFonts w:ascii="Times New Roman" w:hAnsi="Times New Roman" w:eastAsia="Times New Roman" w:cs="Times New Roman"/>
                <w:b w:val="0"/>
                <w:bCs w:val="0"/>
                <w:sz w:val="20"/>
                <w:szCs w:val="20"/>
              </w:rPr>
              <w:t>~$1.6B</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3178A29">
            <w:r>
              <w:rPr>
                <w:rFonts w:ascii="Times New Roman" w:hAnsi="Times New Roman" w:eastAsia="Times New Roman" w:cs="Times New Roman"/>
                <w:b w:val="0"/>
                <w:bCs w:val="0"/>
                <w:sz w:val="20"/>
                <w:szCs w:val="20"/>
              </w:rPr>
              <w:t>~$4.3B</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D281649">
            <w:r>
              <w:rPr>
                <w:rFonts w:ascii="Times New Roman" w:hAnsi="Times New Roman" w:eastAsia="Times New Roman" w:cs="Times New Roman"/>
                <w:b w:val="0"/>
                <w:bCs w:val="0"/>
                <w:sz w:val="20"/>
                <w:szCs w:val="20"/>
              </w:rPr>
              <w:t>N/A</w:t>
            </w:r>
          </w:p>
        </w:tc>
      </w:tr>
      <w:tr w14:paraId="7A64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67E02F11">
            <w:r>
              <w:rPr>
                <w:rFonts w:ascii="Times New Roman" w:hAnsi="Times New Roman" w:eastAsia="Times New Roman" w:cs="Times New Roman"/>
                <w:b w:val="0"/>
                <w:bCs w:val="0"/>
                <w:sz w:val="20"/>
                <w:szCs w:val="20"/>
              </w:rPr>
              <w:t>Gross Margin (Est.)</w:t>
            </w:r>
          </w:p>
        </w:tc>
        <w:tc>
          <w:tcPr>
            <w:tcW w:w="13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278CDFEB">
            <w:r>
              <w:rPr>
                <w:rFonts w:ascii="Times New Roman" w:hAnsi="Times New Roman" w:eastAsia="Times New Roman" w:cs="Times New Roman"/>
                <w:b w:val="0"/>
                <w:bCs w:val="0"/>
                <w:sz w:val="20"/>
                <w:szCs w:val="20"/>
              </w:rPr>
              <w:t>Neg.</w:t>
            </w:r>
          </w:p>
        </w:tc>
        <w:tc>
          <w:tcPr>
            <w:tcW w:w="13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29462493">
            <w:r>
              <w:rPr>
                <w:rFonts w:ascii="Times New Roman" w:hAnsi="Times New Roman" w:eastAsia="Times New Roman" w:cs="Times New Roman"/>
                <w:b w:val="0"/>
                <w:bCs w:val="0"/>
                <w:sz w:val="20"/>
                <w:szCs w:val="20"/>
              </w:rPr>
              <w:t>~44%</w:t>
            </w:r>
          </w:p>
        </w:tc>
        <w:tc>
          <w:tcPr>
            <w:tcW w:w="13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1D8B009D">
            <w:r>
              <w:rPr>
                <w:rFonts w:ascii="Times New Roman" w:hAnsi="Times New Roman" w:eastAsia="Times New Roman" w:cs="Times New Roman"/>
                <w:b w:val="0"/>
                <w:bCs w:val="0"/>
                <w:sz w:val="20"/>
                <w:szCs w:val="20"/>
              </w:rPr>
              <w:t>~43%</w:t>
            </w:r>
          </w:p>
        </w:tc>
        <w:tc>
          <w:tcPr>
            <w:tcW w:w="13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6655511F">
            <w:r>
              <w:rPr>
                <w:rFonts w:ascii="Times New Roman" w:hAnsi="Times New Roman" w:eastAsia="Times New Roman" w:cs="Times New Roman"/>
                <w:b w:val="0"/>
                <w:bCs w:val="0"/>
                <w:sz w:val="20"/>
                <w:szCs w:val="20"/>
              </w:rPr>
              <w:t>~43%</w:t>
            </w:r>
          </w:p>
        </w:tc>
        <w:tc>
          <w:tcPr>
            <w:tcW w:w="13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7702CFC5">
            <w:r>
              <w:rPr>
                <w:rFonts w:ascii="Times New Roman" w:hAnsi="Times New Roman" w:eastAsia="Times New Roman" w:cs="Times New Roman"/>
                <w:b w:val="0"/>
                <w:bCs w:val="0"/>
                <w:sz w:val="20"/>
                <w:szCs w:val="20"/>
              </w:rPr>
              <w:t>N/A</w:t>
            </w:r>
          </w:p>
        </w:tc>
      </w:tr>
      <w:tr w14:paraId="30DF2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59F8086">
            <w:r>
              <w:rPr>
                <w:rFonts w:ascii="Times New Roman" w:hAnsi="Times New Roman" w:eastAsia="Times New Roman" w:cs="Times New Roman"/>
                <w:b w:val="0"/>
                <w:bCs w:val="0"/>
                <w:sz w:val="20"/>
                <w:szCs w:val="20"/>
              </w:rPr>
              <w:t>Net Loss (Est.)</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0FB6E6C">
            <w:r>
              <w:rPr>
                <w:rFonts w:ascii="Times New Roman" w:hAnsi="Times New Roman" w:eastAsia="Times New Roman" w:cs="Times New Roman"/>
                <w:b w:val="0"/>
                <w:bCs w:val="0"/>
                <w:sz w:val="20"/>
                <w:szCs w:val="20"/>
              </w:rPr>
              <w:t>~($540M)</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97D0771">
            <w:r>
              <w:rPr>
                <w:rFonts w:ascii="Times New Roman" w:hAnsi="Times New Roman" w:eastAsia="Times New Roman" w:cs="Times New Roman"/>
                <w:b w:val="0"/>
                <w:bCs w:val="0"/>
                <w:sz w:val="20"/>
                <w:szCs w:val="20"/>
              </w:rPr>
              <w:t>~($540M)</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C5E45AF">
            <w:r>
              <w:rPr>
                <w:rFonts w:ascii="Times New Roman" w:hAnsi="Times New Roman" w:eastAsia="Times New Roman" w:cs="Times New Roman"/>
                <w:b w:val="0"/>
                <w:bCs w:val="0"/>
                <w:sz w:val="20"/>
                <w:szCs w:val="20"/>
              </w:rPr>
              <w:t>~($700M)</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2170AA3">
            <w:r>
              <w:rPr>
                <w:rFonts w:ascii="Times New Roman" w:hAnsi="Times New Roman" w:eastAsia="Times New Roman" w:cs="Times New Roman"/>
                <w:b w:val="0"/>
                <w:bCs w:val="0"/>
                <w:sz w:val="20"/>
                <w:szCs w:val="20"/>
              </w:rPr>
              <w:t>~($5.0B)</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E6C3FE9">
            <w:r>
              <w:rPr>
                <w:rFonts w:ascii="Times New Roman" w:hAnsi="Times New Roman" w:eastAsia="Times New Roman" w:cs="Times New Roman"/>
                <w:b w:val="0"/>
                <w:bCs w:val="0"/>
                <w:sz w:val="20"/>
                <w:szCs w:val="20"/>
              </w:rPr>
              <w:t>~($14B)</w:t>
            </w:r>
          </w:p>
        </w:tc>
      </w:tr>
      <w:tr w14:paraId="791BE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734D615E">
            <w:r>
              <w:rPr>
                <w:rFonts w:ascii="Times New Roman" w:hAnsi="Times New Roman" w:eastAsia="Times New Roman" w:cs="Times New Roman"/>
                <w:b w:val="0"/>
                <w:bCs w:val="0"/>
                <w:sz w:val="20"/>
                <w:szCs w:val="20"/>
              </w:rPr>
              <w:t>Infrastructure/Compute Cost (Est.)</w:t>
            </w:r>
          </w:p>
        </w:tc>
        <w:tc>
          <w:tcPr>
            <w:tcW w:w="13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36EA4146">
            <w:r>
              <w:rPr>
                <w:rFonts w:ascii="Times New Roman" w:hAnsi="Times New Roman" w:eastAsia="Times New Roman" w:cs="Times New Roman"/>
                <w:b w:val="0"/>
                <w:bCs w:val="0"/>
                <w:sz w:val="20"/>
                <w:szCs w:val="20"/>
              </w:rPr>
              <w:t>~$400M</w:t>
            </w:r>
          </w:p>
        </w:tc>
        <w:tc>
          <w:tcPr>
            <w:tcW w:w="13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7671AEA9">
            <w:r>
              <w:rPr>
                <w:rFonts w:ascii="Times New Roman" w:hAnsi="Times New Roman" w:eastAsia="Times New Roman" w:cs="Times New Roman"/>
                <w:b w:val="0"/>
                <w:bCs w:val="0"/>
                <w:sz w:val="20"/>
                <w:szCs w:val="20"/>
              </w:rPr>
              <w:t>~$700M</w:t>
            </w:r>
          </w:p>
        </w:tc>
        <w:tc>
          <w:tcPr>
            <w:tcW w:w="13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491EAC20">
            <w:r>
              <w:rPr>
                <w:rFonts w:ascii="Times New Roman" w:hAnsi="Times New Roman" w:eastAsia="Times New Roman" w:cs="Times New Roman"/>
                <w:b w:val="0"/>
                <w:bCs w:val="0"/>
                <w:sz w:val="20"/>
                <w:szCs w:val="20"/>
              </w:rPr>
              <w:t>~$3.0B</w:t>
            </w:r>
          </w:p>
        </w:tc>
        <w:tc>
          <w:tcPr>
            <w:tcW w:w="13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722CED32">
            <w:r>
              <w:rPr>
                <w:rFonts w:ascii="Times New Roman" w:hAnsi="Times New Roman" w:eastAsia="Times New Roman" w:cs="Times New Roman"/>
                <w:b w:val="0"/>
                <w:bCs w:val="0"/>
                <w:sz w:val="20"/>
                <w:szCs w:val="20"/>
              </w:rPr>
              <w:t>~$7.0B+</w:t>
            </w:r>
          </w:p>
        </w:tc>
        <w:tc>
          <w:tcPr>
            <w:tcW w:w="13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6511EBCE">
            <w:r>
              <w:rPr>
                <w:rFonts w:ascii="Times New Roman" w:hAnsi="Times New Roman" w:eastAsia="Times New Roman" w:cs="Times New Roman"/>
                <w:b w:val="0"/>
                <w:bCs w:val="0"/>
                <w:sz w:val="20"/>
                <w:szCs w:val="20"/>
              </w:rPr>
              <w:t>N/A</w:t>
            </w:r>
          </w:p>
        </w:tc>
      </w:tr>
      <w:tr w14:paraId="7C54B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AEB7597">
            <w:r>
              <w:rPr>
                <w:rFonts w:ascii="Times New Roman" w:hAnsi="Times New Roman" w:eastAsia="Times New Roman" w:cs="Times New Roman"/>
                <w:b w:val="0"/>
                <w:bCs w:val="0"/>
                <w:sz w:val="20"/>
                <w:szCs w:val="20"/>
              </w:rPr>
              <w:t>Energy Cost as % of Infrastructure</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A52F2D8">
            <w:r>
              <w:rPr>
                <w:rFonts w:ascii="Times New Roman" w:hAnsi="Times New Roman" w:eastAsia="Times New Roman" w:cs="Times New Roman"/>
                <w:b w:val="0"/>
                <w:bCs w:val="0"/>
                <w:sz w:val="20"/>
                <w:szCs w:val="20"/>
              </w:rPr>
              <w:t>N/A</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D861A04">
            <w:r>
              <w:rPr>
                <w:rFonts w:ascii="Times New Roman" w:hAnsi="Times New Roman" w:eastAsia="Times New Roman" w:cs="Times New Roman"/>
                <w:b w:val="0"/>
                <w:bCs w:val="0"/>
                <w:sz w:val="20"/>
                <w:szCs w:val="20"/>
              </w:rPr>
              <w:t>N/A</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6B44D29">
            <w:r>
              <w:rPr>
                <w:rFonts w:ascii="Times New Roman" w:hAnsi="Times New Roman" w:eastAsia="Times New Roman" w:cs="Times New Roman"/>
                <w:b w:val="0"/>
                <w:bCs w:val="0"/>
                <w:sz w:val="20"/>
                <w:szCs w:val="20"/>
              </w:rPr>
              <w:t>N/A</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02F4511">
            <w:r>
              <w:rPr>
                <w:rFonts w:ascii="Times New Roman" w:hAnsi="Times New Roman" w:eastAsia="Times New Roman" w:cs="Times New Roman"/>
                <w:b w:val="0"/>
                <w:bCs w:val="0"/>
                <w:sz w:val="20"/>
                <w:szCs w:val="20"/>
              </w:rPr>
              <w:t>~15–20% (Est.)</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3DF083B">
            <w:r>
              <w:rPr>
                <w:rFonts w:ascii="Times New Roman" w:hAnsi="Times New Roman" w:eastAsia="Times New Roman" w:cs="Times New Roman"/>
                <w:b w:val="0"/>
                <w:bCs w:val="0"/>
                <w:sz w:val="20"/>
                <w:szCs w:val="20"/>
              </w:rPr>
              <w:t>Rising</w:t>
            </w:r>
          </w:p>
        </w:tc>
      </w:tr>
      <w:tr w14:paraId="63E38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3C6F8558">
            <w:r>
              <w:rPr>
                <w:rFonts w:ascii="Times New Roman" w:hAnsi="Times New Roman" w:eastAsia="Times New Roman" w:cs="Times New Roman"/>
                <w:b/>
                <w:bCs/>
                <w:sz w:val="20"/>
                <w:szCs w:val="20"/>
              </w:rPr>
              <w:t>Total Funding Raised (Cumulative)</w:t>
            </w:r>
          </w:p>
        </w:tc>
        <w:tc>
          <w:tcPr>
            <w:tcW w:w="13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055D9BF3">
            <w:r>
              <w:rPr>
                <w:rFonts w:ascii="Times New Roman" w:hAnsi="Times New Roman" w:eastAsia="Times New Roman" w:cs="Times New Roman"/>
                <w:b w:val="0"/>
                <w:bCs w:val="0"/>
                <w:sz w:val="20"/>
                <w:szCs w:val="20"/>
              </w:rPr>
              <w:t>~$1B</w:t>
            </w:r>
          </w:p>
        </w:tc>
        <w:tc>
          <w:tcPr>
            <w:tcW w:w="13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06DDD696">
            <w:r>
              <w:rPr>
                <w:rFonts w:ascii="Times New Roman" w:hAnsi="Times New Roman" w:eastAsia="Times New Roman" w:cs="Times New Roman"/>
                <w:b w:val="0"/>
                <w:bCs w:val="0"/>
                <w:sz w:val="20"/>
                <w:szCs w:val="20"/>
              </w:rPr>
              <w:t>~$11B</w:t>
            </w:r>
          </w:p>
        </w:tc>
        <w:tc>
          <w:tcPr>
            <w:tcW w:w="13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3DF63AB3">
            <w:r>
              <w:rPr>
                <w:rFonts w:ascii="Times New Roman" w:hAnsi="Times New Roman" w:eastAsia="Times New Roman" w:cs="Times New Roman"/>
                <w:b w:val="0"/>
                <w:bCs w:val="0"/>
                <w:sz w:val="20"/>
                <w:szCs w:val="20"/>
              </w:rPr>
              <w:t>~$11B</w:t>
            </w:r>
          </w:p>
        </w:tc>
        <w:tc>
          <w:tcPr>
            <w:tcW w:w="13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6806C1C3">
            <w:r>
              <w:rPr>
                <w:rFonts w:ascii="Times New Roman" w:hAnsi="Times New Roman" w:eastAsia="Times New Roman" w:cs="Times New Roman"/>
                <w:b w:val="0"/>
                <w:bCs w:val="0"/>
                <w:sz w:val="20"/>
                <w:szCs w:val="20"/>
              </w:rPr>
              <w:t>~$17.9B</w:t>
            </w:r>
          </w:p>
        </w:tc>
        <w:tc>
          <w:tcPr>
            <w:tcW w:w="13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75ABB7A9">
            <w:r>
              <w:rPr>
                <w:rFonts w:ascii="Times New Roman" w:hAnsi="Times New Roman" w:eastAsia="Times New Roman" w:cs="Times New Roman"/>
                <w:b w:val="0"/>
                <w:bCs w:val="0"/>
                <w:sz w:val="20"/>
                <w:szCs w:val="20"/>
              </w:rPr>
              <w:t>~$57.9B</w:t>
            </w:r>
          </w:p>
        </w:tc>
      </w:tr>
      <w:tr w14:paraId="5BC32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CBF2B37">
            <w:r>
              <w:rPr>
                <w:rFonts w:ascii="Times New Roman" w:hAnsi="Times New Roman" w:eastAsia="Times New Roman" w:cs="Times New Roman"/>
                <w:b w:val="0"/>
                <w:bCs w:val="0"/>
                <w:sz w:val="20"/>
                <w:szCs w:val="20"/>
              </w:rPr>
              <w:t>Latest Valuation</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3F66DAC">
            <w:r>
              <w:rPr>
                <w:rFonts w:ascii="Times New Roman" w:hAnsi="Times New Roman" w:eastAsia="Times New Roman" w:cs="Times New Roman"/>
                <w:b w:val="0"/>
                <w:bCs w:val="0"/>
                <w:sz w:val="20"/>
                <w:szCs w:val="20"/>
              </w:rPr>
              <w:t>~$20B</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7EDCAE4">
            <w:r>
              <w:rPr>
                <w:rFonts w:ascii="Times New Roman" w:hAnsi="Times New Roman" w:eastAsia="Times New Roman" w:cs="Times New Roman"/>
                <w:b w:val="0"/>
                <w:bCs w:val="0"/>
                <w:sz w:val="20"/>
                <w:szCs w:val="20"/>
              </w:rPr>
              <w:t>~$29B</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B509181">
            <w:r>
              <w:rPr>
                <w:rFonts w:ascii="Times New Roman" w:hAnsi="Times New Roman" w:eastAsia="Times New Roman" w:cs="Times New Roman"/>
                <w:b w:val="0"/>
                <w:bCs w:val="0"/>
                <w:sz w:val="20"/>
                <w:szCs w:val="20"/>
              </w:rPr>
              <w:t>~$90B</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EBB9FAC">
            <w:r>
              <w:rPr>
                <w:rFonts w:ascii="Times New Roman" w:hAnsi="Times New Roman" w:eastAsia="Times New Roman" w:cs="Times New Roman"/>
                <w:b w:val="0"/>
                <w:bCs w:val="0"/>
                <w:sz w:val="20"/>
                <w:szCs w:val="20"/>
              </w:rPr>
              <w:t>~$157B</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3DDAFE1">
            <w:r>
              <w:rPr>
                <w:rFonts w:ascii="Times New Roman" w:hAnsi="Times New Roman" w:eastAsia="Times New Roman" w:cs="Times New Roman"/>
                <w:b w:val="0"/>
                <w:bCs w:val="0"/>
                <w:sz w:val="20"/>
                <w:szCs w:val="20"/>
              </w:rPr>
              <w:t>~$300B</w:t>
            </w:r>
          </w:p>
        </w:tc>
      </w:tr>
      <w:tr w14:paraId="65CFC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7A086D4E">
            <w:r>
              <w:rPr>
                <w:rFonts w:ascii="Times New Roman" w:hAnsi="Times New Roman" w:eastAsia="Times New Roman" w:cs="Times New Roman"/>
                <w:b w:val="0"/>
                <w:bCs w:val="0"/>
                <w:sz w:val="20"/>
                <w:szCs w:val="20"/>
              </w:rPr>
              <w:t>Employees (Est.)</w:t>
            </w:r>
          </w:p>
        </w:tc>
        <w:tc>
          <w:tcPr>
            <w:tcW w:w="13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392DC3CC">
            <w:r>
              <w:rPr>
                <w:rFonts w:ascii="Times New Roman" w:hAnsi="Times New Roman" w:eastAsia="Times New Roman" w:cs="Times New Roman"/>
                <w:b w:val="0"/>
                <w:bCs w:val="0"/>
                <w:sz w:val="20"/>
                <w:szCs w:val="20"/>
              </w:rPr>
              <w:t>~375</w:t>
            </w:r>
          </w:p>
        </w:tc>
        <w:tc>
          <w:tcPr>
            <w:tcW w:w="13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4A4645F0">
            <w:r>
              <w:rPr>
                <w:rFonts w:ascii="Times New Roman" w:hAnsi="Times New Roman" w:eastAsia="Times New Roman" w:cs="Times New Roman"/>
                <w:b w:val="0"/>
                <w:bCs w:val="0"/>
                <w:sz w:val="20"/>
                <w:szCs w:val="20"/>
              </w:rPr>
              <w:t>~770</w:t>
            </w:r>
          </w:p>
        </w:tc>
        <w:tc>
          <w:tcPr>
            <w:tcW w:w="13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31B707E0">
            <w:r>
              <w:rPr>
                <w:rFonts w:ascii="Times New Roman" w:hAnsi="Times New Roman" w:eastAsia="Times New Roman" w:cs="Times New Roman"/>
                <w:b w:val="0"/>
                <w:bCs w:val="0"/>
                <w:sz w:val="20"/>
                <w:szCs w:val="20"/>
              </w:rPr>
              <w:t>~1,700</w:t>
            </w:r>
          </w:p>
        </w:tc>
        <w:tc>
          <w:tcPr>
            <w:tcW w:w="13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418423A5">
            <w:r>
              <w:rPr>
                <w:rFonts w:ascii="Times New Roman" w:hAnsi="Times New Roman" w:eastAsia="Times New Roman" w:cs="Times New Roman"/>
                <w:b w:val="0"/>
                <w:bCs w:val="0"/>
                <w:sz w:val="20"/>
                <w:szCs w:val="20"/>
              </w:rPr>
              <w:t>~3,500</w:t>
            </w:r>
          </w:p>
        </w:tc>
        <w:tc>
          <w:tcPr>
            <w:tcW w:w="13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56B523B0">
            <w:r>
              <w:rPr>
                <w:rFonts w:ascii="Times New Roman" w:hAnsi="Times New Roman" w:eastAsia="Times New Roman" w:cs="Times New Roman"/>
                <w:b w:val="0"/>
                <w:bCs w:val="0"/>
                <w:sz w:val="20"/>
                <w:szCs w:val="20"/>
              </w:rPr>
              <w:t>N/A</w:t>
            </w:r>
          </w:p>
        </w:tc>
      </w:tr>
      <w:tr w14:paraId="3266A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8ABA941">
            <w:r>
              <w:rPr>
                <w:rFonts w:ascii="Times New Roman" w:hAnsi="Times New Roman" w:eastAsia="Times New Roman" w:cs="Times New Roman"/>
                <w:b w:val="0"/>
                <w:bCs w:val="0"/>
                <w:sz w:val="20"/>
                <w:szCs w:val="20"/>
              </w:rPr>
              <w:t>Weekly Active Users (ChatGPT)</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F9795ED">
            <w:r>
              <w:rPr>
                <w:rFonts w:ascii="Times New Roman" w:hAnsi="Times New Roman" w:eastAsia="Times New Roman" w:cs="Times New Roman"/>
                <w:b w:val="0"/>
                <w:bCs w:val="0"/>
                <w:sz w:val="20"/>
                <w:szCs w:val="20"/>
              </w:rPr>
              <w:t>N/A</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FADB8C6">
            <w:r>
              <w:rPr>
                <w:rFonts w:ascii="Times New Roman" w:hAnsi="Times New Roman" w:eastAsia="Times New Roman" w:cs="Times New Roman"/>
                <w:b w:val="0"/>
                <w:bCs w:val="0"/>
                <w:sz w:val="20"/>
                <w:szCs w:val="20"/>
              </w:rPr>
              <w:t>~100M</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CD0AB37">
            <w:r>
              <w:rPr>
                <w:rFonts w:ascii="Times New Roman" w:hAnsi="Times New Roman" w:eastAsia="Times New Roman" w:cs="Times New Roman"/>
                <w:b w:val="0"/>
                <w:bCs w:val="0"/>
                <w:sz w:val="20"/>
                <w:szCs w:val="20"/>
              </w:rPr>
              <w:t>~300M</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84B2EB5">
            <w:r>
              <w:rPr>
                <w:rFonts w:ascii="Times New Roman" w:hAnsi="Times New Roman" w:eastAsia="Times New Roman" w:cs="Times New Roman"/>
                <w:b w:val="0"/>
                <w:bCs w:val="0"/>
                <w:sz w:val="20"/>
                <w:szCs w:val="20"/>
              </w:rPr>
              <w:t>~700–900M</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F1C7D05">
            <w:r>
              <w:rPr>
                <w:rFonts w:ascii="Times New Roman" w:hAnsi="Times New Roman" w:eastAsia="Times New Roman" w:cs="Times New Roman"/>
                <w:b w:val="0"/>
                <w:bCs w:val="0"/>
                <w:sz w:val="20"/>
                <w:szCs w:val="20"/>
              </w:rPr>
              <w:t>~1B+</w:t>
            </w:r>
          </w:p>
        </w:tc>
      </w:tr>
    </w:tbl>
    <w:p w14:paraId="30F95C6A">
      <w:pPr>
        <w:spacing w:before="80" w:after="360"/>
      </w:pPr>
      <w:r>
        <w:rPr>
          <w:rFonts w:ascii="Arial" w:hAnsi="Arial" w:eastAsia="Arial" w:cs="Arial"/>
          <w:b/>
          <w:bCs/>
          <w:i/>
          <w:iCs/>
          <w:color w:val="888888"/>
          <w:sz w:val="18"/>
          <w:szCs w:val="18"/>
        </w:rPr>
        <w:t xml:space="preserve">Source: </w:t>
      </w:r>
      <w:r>
        <w:rPr>
          <w:rFonts w:ascii="Arial" w:hAnsi="Arial" w:eastAsia="Arial" w:cs="Arial"/>
          <w:i/>
          <w:iCs/>
          <w:color w:val="888888"/>
          <w:sz w:val="18"/>
          <w:szCs w:val="18"/>
        </w:rPr>
        <w:t>The Information (revenue estimates, January 2025); Financial Times (Stargate financing, April 2025); Bloomberg (valuation data); BestBrokers.com (WAU data, February 2026); Author compilation. All figures are estimates and subject to revision.</w:t>
      </w:r>
    </w:p>
    <w:p w14:paraId="3A3ED9D7">
      <w:pPr>
        <w:spacing w:before="480" w:after="120"/>
      </w:pPr>
      <w:r>
        <w:rPr>
          <w:rFonts w:ascii="Arial" w:hAnsi="Arial" w:eastAsia="Arial" w:cs="Arial"/>
          <w:b/>
          <w:bCs/>
          <w:color w:val="2C3E50"/>
          <w:sz w:val="22"/>
          <w:szCs w:val="22"/>
        </w:rPr>
        <w:t>Exhibit 2: OpenAI — Estimated Energy Consumption and Cost Trajectory (FY 2023–2030)</w:t>
      </w:r>
    </w:p>
    <w:p w14:paraId="5AE76675">
      <w:pPr>
        <w:spacing w:before="0" w:after="160"/>
        <w:jc w:val="both"/>
      </w:pPr>
      <w:r>
        <w:rPr>
          <w:rFonts w:ascii="Times New Roman" w:hAnsi="Times New Roman" w:eastAsia="Times New Roman" w:cs="Times New Roman"/>
          <w:b w:val="0"/>
          <w:bCs w:val="0"/>
          <w:color w:val="C0392B"/>
          <w:sz w:val="24"/>
          <w:szCs w:val="24"/>
        </w:rPr>
        <w:t>Note: OpenAI has not published energy consumption data. All figures are derived from: (a) Altman's disclosed per-query figure of 0.34 Wh (June 2025); (b) published query volume and user growth data; (c) third-party estimates for training compute; (d) Stargate capacity projections. The "high" scenario assumes query volume doubles every 18 months and Stargate operates at 50% of target capacity by 2030.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6"/>
        <w:gridCol w:w="1330"/>
        <w:gridCol w:w="1232"/>
        <w:gridCol w:w="1616"/>
        <w:gridCol w:w="1488"/>
        <w:gridCol w:w="1544"/>
        <w:gridCol w:w="1254"/>
      </w:tblGrid>
      <w:tr w14:paraId="08491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8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7F0DD08E">
            <w:r>
              <w:rPr>
                <w:rFonts w:ascii="Arial" w:hAnsi="Arial" w:eastAsia="Arial" w:cs="Arial"/>
                <w:b/>
                <w:bCs/>
                <w:color w:val="FFFFFF"/>
                <w:sz w:val="20"/>
                <w:szCs w:val="20"/>
              </w:rPr>
              <w:t>Year</w:t>
            </w:r>
          </w:p>
        </w:tc>
        <w:tc>
          <w:tcPr>
            <w:tcW w:w="140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3C768152">
            <w:r>
              <w:rPr>
                <w:rFonts w:ascii="Arial" w:hAnsi="Arial" w:eastAsia="Arial" w:cs="Arial"/>
                <w:b/>
                <w:bCs/>
                <w:color w:val="FFFFFF"/>
                <w:sz w:val="20"/>
                <w:szCs w:val="20"/>
              </w:rPr>
              <w:t>ChatGPT WAU (Est.)</w:t>
            </w:r>
          </w:p>
        </w:tc>
        <w:tc>
          <w:tcPr>
            <w:tcW w:w="140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74E89D6C">
            <w:r>
              <w:rPr>
                <w:rFonts w:ascii="Arial" w:hAnsi="Arial" w:eastAsia="Arial" w:cs="Arial"/>
                <w:b/>
                <w:bCs/>
                <w:color w:val="FFFFFF"/>
                <w:sz w:val="20"/>
                <w:szCs w:val="20"/>
              </w:rPr>
              <w:t>Daily Queries (Est.)</w:t>
            </w:r>
          </w:p>
        </w:tc>
        <w:tc>
          <w:tcPr>
            <w:tcW w:w="190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7D0F6795">
            <w:r>
              <w:rPr>
                <w:rFonts w:ascii="Arial" w:hAnsi="Arial" w:eastAsia="Arial" w:cs="Arial"/>
                <w:b/>
                <w:bCs/>
                <w:color w:val="FFFFFF"/>
                <w:sz w:val="20"/>
                <w:szCs w:val="20"/>
              </w:rPr>
              <w:t>Annual Inference Electricity (GWh)</w:t>
            </w:r>
          </w:p>
        </w:tc>
        <w:tc>
          <w:tcPr>
            <w:tcW w:w="180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5AF26F22">
            <w:r>
              <w:rPr>
                <w:rFonts w:ascii="Arial" w:hAnsi="Arial" w:eastAsia="Arial" w:cs="Arial"/>
                <w:b/>
                <w:bCs/>
                <w:color w:val="FFFFFF"/>
                <w:sz w:val="20"/>
                <w:szCs w:val="20"/>
              </w:rPr>
              <w:t>Training &amp; Other (Est. GWh)</w:t>
            </w:r>
          </w:p>
        </w:tc>
        <w:tc>
          <w:tcPr>
            <w:tcW w:w="178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74831AF6">
            <w:r>
              <w:rPr>
                <w:rFonts w:ascii="Arial" w:hAnsi="Arial" w:eastAsia="Arial" w:cs="Arial"/>
                <w:b/>
                <w:bCs/>
                <w:color w:val="FFFFFF"/>
                <w:sz w:val="20"/>
                <w:szCs w:val="20"/>
              </w:rPr>
              <w:t>Total Est. Electricity (GWh)</w:t>
            </w:r>
          </w:p>
        </w:tc>
        <w:tc>
          <w:tcPr>
            <w:tcW w:w="140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5357A8B8">
            <w:r>
              <w:rPr>
                <w:rFonts w:ascii="Arial" w:hAnsi="Arial" w:eastAsia="Arial" w:cs="Arial"/>
                <w:b/>
                <w:bCs/>
                <w:color w:val="FFFFFF"/>
                <w:sz w:val="20"/>
                <w:szCs w:val="20"/>
              </w:rPr>
              <w:t>Est. Annual Energy Cost ($)</w:t>
            </w:r>
          </w:p>
        </w:tc>
      </w:tr>
      <w:tr w14:paraId="36AF2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8DE6BE9">
            <w:r>
              <w:rPr>
                <w:rFonts w:ascii="Times New Roman" w:hAnsi="Times New Roman" w:eastAsia="Times New Roman" w:cs="Times New Roman"/>
                <w:b w:val="0"/>
                <w:bCs w:val="0"/>
                <w:sz w:val="20"/>
                <w:szCs w:val="20"/>
              </w:rPr>
              <w:t>FY 2023</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4C955B6">
            <w:r>
              <w:rPr>
                <w:rFonts w:ascii="Times New Roman" w:hAnsi="Times New Roman" w:eastAsia="Times New Roman" w:cs="Times New Roman"/>
                <w:b w:val="0"/>
                <w:bCs w:val="0"/>
                <w:sz w:val="20"/>
                <w:szCs w:val="20"/>
              </w:rPr>
              <w:t>~100M</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31FFC1E">
            <w:r>
              <w:rPr>
                <w:rFonts w:ascii="Times New Roman" w:hAnsi="Times New Roman" w:eastAsia="Times New Roman" w:cs="Times New Roman"/>
                <w:b w:val="0"/>
                <w:bCs w:val="0"/>
                <w:sz w:val="20"/>
                <w:szCs w:val="20"/>
              </w:rPr>
              <w:t>~300M</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3163B89">
            <w:r>
              <w:rPr>
                <w:rFonts w:ascii="Times New Roman" w:hAnsi="Times New Roman" w:eastAsia="Times New Roman" w:cs="Times New Roman"/>
                <w:b w:val="0"/>
                <w:bCs w:val="0"/>
                <w:sz w:val="20"/>
                <w:szCs w:val="20"/>
              </w:rPr>
              <w:t>~37</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FD35997">
            <w:r>
              <w:rPr>
                <w:rFonts w:ascii="Times New Roman" w:hAnsi="Times New Roman" w:eastAsia="Times New Roman" w:cs="Times New Roman"/>
                <w:b w:val="0"/>
                <w:bCs w:val="0"/>
                <w:sz w:val="20"/>
                <w:szCs w:val="20"/>
              </w:rPr>
              <w:t>~200</w:t>
            </w:r>
          </w:p>
        </w:tc>
        <w:tc>
          <w:tcPr>
            <w:tcW w:w="17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F12CD90">
            <w:r>
              <w:rPr>
                <w:rFonts w:ascii="Times New Roman" w:hAnsi="Times New Roman" w:eastAsia="Times New Roman" w:cs="Times New Roman"/>
                <w:b w:val="0"/>
                <w:bCs w:val="0"/>
                <w:sz w:val="20"/>
                <w:szCs w:val="20"/>
              </w:rPr>
              <w:t>~237</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BD4F139">
            <w:r>
              <w:rPr>
                <w:rFonts w:ascii="Times New Roman" w:hAnsi="Times New Roman" w:eastAsia="Times New Roman" w:cs="Times New Roman"/>
                <w:b w:val="0"/>
                <w:bCs w:val="0"/>
                <w:sz w:val="20"/>
                <w:szCs w:val="20"/>
              </w:rPr>
              <w:t>~$33M</w:t>
            </w:r>
          </w:p>
        </w:tc>
      </w:tr>
      <w:tr w14:paraId="28162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0D65E46C">
            <w:r>
              <w:rPr>
                <w:rFonts w:ascii="Times New Roman" w:hAnsi="Times New Roman" w:eastAsia="Times New Roman" w:cs="Times New Roman"/>
                <w:b w:val="0"/>
                <w:bCs w:val="0"/>
                <w:sz w:val="20"/>
                <w:szCs w:val="20"/>
              </w:rPr>
              <w:t>FY 2024</w:t>
            </w:r>
          </w:p>
        </w:tc>
        <w:tc>
          <w:tcPr>
            <w:tcW w:w="14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22A0D96D">
            <w:r>
              <w:rPr>
                <w:rFonts w:ascii="Times New Roman" w:hAnsi="Times New Roman" w:eastAsia="Times New Roman" w:cs="Times New Roman"/>
                <w:b w:val="0"/>
                <w:bCs w:val="0"/>
                <w:sz w:val="20"/>
                <w:szCs w:val="20"/>
              </w:rPr>
              <w:t>~300M</w:t>
            </w:r>
          </w:p>
        </w:tc>
        <w:tc>
          <w:tcPr>
            <w:tcW w:w="14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07BB56BE">
            <w:r>
              <w:rPr>
                <w:rFonts w:ascii="Times New Roman" w:hAnsi="Times New Roman" w:eastAsia="Times New Roman" w:cs="Times New Roman"/>
                <w:b w:val="0"/>
                <w:bCs w:val="0"/>
                <w:sz w:val="20"/>
                <w:szCs w:val="20"/>
              </w:rPr>
              <w:t>~900M</w:t>
            </w:r>
          </w:p>
        </w:tc>
        <w:tc>
          <w:tcPr>
            <w:tcW w:w="19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2258F382">
            <w:r>
              <w:rPr>
                <w:rFonts w:ascii="Times New Roman" w:hAnsi="Times New Roman" w:eastAsia="Times New Roman" w:cs="Times New Roman"/>
                <w:b w:val="0"/>
                <w:bCs w:val="0"/>
                <w:sz w:val="20"/>
                <w:szCs w:val="20"/>
              </w:rPr>
              <w:t>~112</w:t>
            </w:r>
          </w:p>
        </w:tc>
        <w:tc>
          <w:tcPr>
            <w:tcW w:w="1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7EF07B43">
            <w:r>
              <w:rPr>
                <w:rFonts w:ascii="Times New Roman" w:hAnsi="Times New Roman" w:eastAsia="Times New Roman" w:cs="Times New Roman"/>
                <w:b w:val="0"/>
                <w:bCs w:val="0"/>
                <w:sz w:val="20"/>
                <w:szCs w:val="20"/>
              </w:rPr>
              <w:t>~800</w:t>
            </w:r>
          </w:p>
        </w:tc>
        <w:tc>
          <w:tcPr>
            <w:tcW w:w="178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4C63B8E1">
            <w:r>
              <w:rPr>
                <w:rFonts w:ascii="Times New Roman" w:hAnsi="Times New Roman" w:eastAsia="Times New Roman" w:cs="Times New Roman"/>
                <w:b w:val="0"/>
                <w:bCs w:val="0"/>
                <w:sz w:val="20"/>
                <w:szCs w:val="20"/>
              </w:rPr>
              <w:t>~912</w:t>
            </w:r>
          </w:p>
        </w:tc>
        <w:tc>
          <w:tcPr>
            <w:tcW w:w="14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5BCBA51E">
            <w:r>
              <w:rPr>
                <w:rFonts w:ascii="Times New Roman" w:hAnsi="Times New Roman" w:eastAsia="Times New Roman" w:cs="Times New Roman"/>
                <w:b w:val="0"/>
                <w:bCs w:val="0"/>
                <w:sz w:val="20"/>
                <w:szCs w:val="20"/>
              </w:rPr>
              <w:t>~$128M</w:t>
            </w:r>
          </w:p>
        </w:tc>
      </w:tr>
      <w:tr w14:paraId="0F028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EDDCC4E">
            <w:r>
              <w:rPr>
                <w:rFonts w:ascii="Times New Roman" w:hAnsi="Times New Roman" w:eastAsia="Times New Roman" w:cs="Times New Roman"/>
                <w:b w:val="0"/>
                <w:bCs w:val="0"/>
                <w:sz w:val="20"/>
                <w:szCs w:val="20"/>
              </w:rPr>
              <w:t>FY 2025</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1FDE471">
            <w:r>
              <w:rPr>
                <w:rFonts w:ascii="Times New Roman" w:hAnsi="Times New Roman" w:eastAsia="Times New Roman" w:cs="Times New Roman"/>
                <w:b w:val="0"/>
                <w:bCs w:val="0"/>
                <w:sz w:val="20"/>
                <w:szCs w:val="20"/>
              </w:rPr>
              <w:t>~700–900M</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1116799">
            <w:r>
              <w:rPr>
                <w:rFonts w:ascii="Times New Roman" w:hAnsi="Times New Roman" w:eastAsia="Times New Roman" w:cs="Times New Roman"/>
                <w:b w:val="0"/>
                <w:bCs w:val="0"/>
                <w:sz w:val="20"/>
                <w:szCs w:val="20"/>
              </w:rPr>
              <w:t>~2.5B</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DFB08F2">
            <w:r>
              <w:rPr>
                <w:rFonts w:ascii="Times New Roman" w:hAnsi="Times New Roman" w:eastAsia="Times New Roman" w:cs="Times New Roman"/>
                <w:b w:val="0"/>
                <w:bCs w:val="0"/>
                <w:sz w:val="20"/>
                <w:szCs w:val="20"/>
              </w:rPr>
              <w:t>~310</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56A0C12">
            <w:r>
              <w:rPr>
                <w:rFonts w:ascii="Times New Roman" w:hAnsi="Times New Roman" w:eastAsia="Times New Roman" w:cs="Times New Roman"/>
                <w:b w:val="0"/>
                <w:bCs w:val="0"/>
                <w:sz w:val="20"/>
                <w:szCs w:val="20"/>
              </w:rPr>
              <w:t>~2,500</w:t>
            </w:r>
          </w:p>
        </w:tc>
        <w:tc>
          <w:tcPr>
            <w:tcW w:w="17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B714B01">
            <w:r>
              <w:rPr>
                <w:rFonts w:ascii="Times New Roman" w:hAnsi="Times New Roman" w:eastAsia="Times New Roman" w:cs="Times New Roman"/>
                <w:b w:val="0"/>
                <w:bCs w:val="0"/>
                <w:sz w:val="20"/>
                <w:szCs w:val="20"/>
              </w:rPr>
              <w:t>~2,810</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852FE92">
            <w:r>
              <w:rPr>
                <w:rFonts w:ascii="Times New Roman" w:hAnsi="Times New Roman" w:eastAsia="Times New Roman" w:cs="Times New Roman"/>
                <w:b w:val="0"/>
                <w:bCs w:val="0"/>
                <w:sz w:val="20"/>
                <w:szCs w:val="20"/>
              </w:rPr>
              <w:t>~$393M</w:t>
            </w:r>
          </w:p>
        </w:tc>
      </w:tr>
      <w:tr w14:paraId="496DF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71140EAD">
            <w:r>
              <w:rPr>
                <w:rFonts w:ascii="Times New Roman" w:hAnsi="Times New Roman" w:eastAsia="Times New Roman" w:cs="Times New Roman"/>
                <w:b w:val="0"/>
                <w:bCs w:val="0"/>
                <w:sz w:val="20"/>
                <w:szCs w:val="20"/>
              </w:rPr>
              <w:t>FY 2026 (Proj.)</w:t>
            </w:r>
          </w:p>
        </w:tc>
        <w:tc>
          <w:tcPr>
            <w:tcW w:w="14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566807CA">
            <w:r>
              <w:rPr>
                <w:rFonts w:ascii="Times New Roman" w:hAnsi="Times New Roman" w:eastAsia="Times New Roman" w:cs="Times New Roman"/>
                <w:b w:val="0"/>
                <w:bCs w:val="0"/>
                <w:sz w:val="20"/>
                <w:szCs w:val="20"/>
              </w:rPr>
              <w:t>~1B+</w:t>
            </w:r>
          </w:p>
        </w:tc>
        <w:tc>
          <w:tcPr>
            <w:tcW w:w="14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466C5095">
            <w:r>
              <w:rPr>
                <w:rFonts w:ascii="Times New Roman" w:hAnsi="Times New Roman" w:eastAsia="Times New Roman" w:cs="Times New Roman"/>
                <w:b w:val="0"/>
                <w:bCs w:val="0"/>
                <w:sz w:val="20"/>
                <w:szCs w:val="20"/>
              </w:rPr>
              <w:t>~5B</w:t>
            </w:r>
          </w:p>
        </w:tc>
        <w:tc>
          <w:tcPr>
            <w:tcW w:w="19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7B52896D">
            <w:r>
              <w:rPr>
                <w:rFonts w:ascii="Times New Roman" w:hAnsi="Times New Roman" w:eastAsia="Times New Roman" w:cs="Times New Roman"/>
                <w:b w:val="0"/>
                <w:bCs w:val="0"/>
                <w:sz w:val="20"/>
                <w:szCs w:val="20"/>
              </w:rPr>
              <w:t>~621</w:t>
            </w:r>
          </w:p>
        </w:tc>
        <w:tc>
          <w:tcPr>
            <w:tcW w:w="1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66256083">
            <w:r>
              <w:rPr>
                <w:rFonts w:ascii="Times New Roman" w:hAnsi="Times New Roman" w:eastAsia="Times New Roman" w:cs="Times New Roman"/>
                <w:b w:val="0"/>
                <w:bCs w:val="0"/>
                <w:sz w:val="20"/>
                <w:szCs w:val="20"/>
              </w:rPr>
              <w:t>~5,000+</w:t>
            </w:r>
          </w:p>
        </w:tc>
        <w:tc>
          <w:tcPr>
            <w:tcW w:w="178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4D53550B">
            <w:r>
              <w:rPr>
                <w:rFonts w:ascii="Times New Roman" w:hAnsi="Times New Roman" w:eastAsia="Times New Roman" w:cs="Times New Roman"/>
                <w:b w:val="0"/>
                <w:bCs w:val="0"/>
                <w:sz w:val="20"/>
                <w:szCs w:val="20"/>
              </w:rPr>
              <w:t>~5,600+</w:t>
            </w:r>
          </w:p>
        </w:tc>
        <w:tc>
          <w:tcPr>
            <w:tcW w:w="14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2E92BC14">
            <w:r>
              <w:rPr>
                <w:rFonts w:ascii="Times New Roman" w:hAnsi="Times New Roman" w:eastAsia="Times New Roman" w:cs="Times New Roman"/>
                <w:b w:val="0"/>
                <w:bCs w:val="0"/>
                <w:sz w:val="20"/>
                <w:szCs w:val="20"/>
              </w:rPr>
              <w:t>~$784M+</w:t>
            </w:r>
          </w:p>
        </w:tc>
      </w:tr>
      <w:tr w14:paraId="3096A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0474B9C">
            <w:r>
              <w:rPr>
                <w:rFonts w:ascii="Times New Roman" w:hAnsi="Times New Roman" w:eastAsia="Times New Roman" w:cs="Times New Roman"/>
                <w:b w:val="0"/>
                <w:bCs w:val="0"/>
                <w:sz w:val="20"/>
                <w:szCs w:val="20"/>
              </w:rPr>
              <w:t>FY 2028 (Proj. — Base)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89CAAA0">
            <w:r>
              <w:rPr>
                <w:rFonts w:ascii="Times New Roman" w:hAnsi="Times New Roman" w:eastAsia="Times New Roman" w:cs="Times New Roman"/>
                <w:b w:val="0"/>
                <w:bCs w:val="0"/>
                <w:sz w:val="20"/>
                <w:szCs w:val="20"/>
              </w:rPr>
              <w:t>~1.5B</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F88DB13">
            <w:r>
              <w:rPr>
                <w:rFonts w:ascii="Times New Roman" w:hAnsi="Times New Roman" w:eastAsia="Times New Roman" w:cs="Times New Roman"/>
                <w:b w:val="0"/>
                <w:bCs w:val="0"/>
                <w:sz w:val="20"/>
                <w:szCs w:val="20"/>
              </w:rPr>
              <w:t>~8B</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B4A7BD1">
            <w:r>
              <w:rPr>
                <w:rFonts w:ascii="Times New Roman" w:hAnsi="Times New Roman" w:eastAsia="Times New Roman" w:cs="Times New Roman"/>
                <w:b w:val="0"/>
                <w:bCs w:val="0"/>
                <w:sz w:val="20"/>
                <w:szCs w:val="20"/>
              </w:rPr>
              <w:t>~994</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50DEB02">
            <w:r>
              <w:rPr>
                <w:rFonts w:ascii="Times New Roman" w:hAnsi="Times New Roman" w:eastAsia="Times New Roman" w:cs="Times New Roman"/>
                <w:b w:val="0"/>
                <w:bCs w:val="0"/>
                <w:sz w:val="20"/>
                <w:szCs w:val="20"/>
              </w:rPr>
              <w:t>~10,000+</w:t>
            </w:r>
          </w:p>
        </w:tc>
        <w:tc>
          <w:tcPr>
            <w:tcW w:w="17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E1BA0D8">
            <w:r>
              <w:rPr>
                <w:rFonts w:ascii="Times New Roman" w:hAnsi="Times New Roman" w:eastAsia="Times New Roman" w:cs="Times New Roman"/>
                <w:b w:val="0"/>
                <w:bCs w:val="0"/>
                <w:sz w:val="20"/>
                <w:szCs w:val="20"/>
              </w:rPr>
              <w:t>~11,000+</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543D52E">
            <w:r>
              <w:rPr>
                <w:rFonts w:ascii="Times New Roman" w:hAnsi="Times New Roman" w:eastAsia="Times New Roman" w:cs="Times New Roman"/>
                <w:b w:val="0"/>
                <w:bCs w:val="0"/>
                <w:sz w:val="20"/>
                <w:szCs w:val="20"/>
              </w:rPr>
              <w:t>~$1.5B+</w:t>
            </w:r>
          </w:p>
        </w:tc>
      </w:tr>
      <w:tr w14:paraId="790FD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008FCE7E">
            <w:r>
              <w:rPr>
                <w:rFonts w:ascii="Times New Roman" w:hAnsi="Times New Roman" w:eastAsia="Times New Roman" w:cs="Times New Roman"/>
                <w:b w:val="0"/>
                <w:bCs w:val="0"/>
                <w:sz w:val="20"/>
                <w:szCs w:val="20"/>
              </w:rPr>
              <w:t>FY 2030 (Proj. — Stargate High)</w:t>
            </w:r>
          </w:p>
        </w:tc>
        <w:tc>
          <w:tcPr>
            <w:tcW w:w="14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5363808F">
            <w:r>
              <w:rPr>
                <w:rFonts w:ascii="Times New Roman" w:hAnsi="Times New Roman" w:eastAsia="Times New Roman" w:cs="Times New Roman"/>
                <w:b w:val="0"/>
                <w:bCs w:val="0"/>
                <w:sz w:val="20"/>
                <w:szCs w:val="20"/>
              </w:rPr>
              <w:t>~2B+</w:t>
            </w:r>
          </w:p>
        </w:tc>
        <w:tc>
          <w:tcPr>
            <w:tcW w:w="14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090769EB">
            <w:r>
              <w:rPr>
                <w:rFonts w:ascii="Times New Roman" w:hAnsi="Times New Roman" w:eastAsia="Times New Roman" w:cs="Times New Roman"/>
                <w:b w:val="0"/>
                <w:bCs w:val="0"/>
                <w:sz w:val="20"/>
                <w:szCs w:val="20"/>
              </w:rPr>
              <w:t>~15B</w:t>
            </w:r>
          </w:p>
        </w:tc>
        <w:tc>
          <w:tcPr>
            <w:tcW w:w="19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43C128A3">
            <w:r>
              <w:rPr>
                <w:rFonts w:ascii="Times New Roman" w:hAnsi="Times New Roman" w:eastAsia="Times New Roman" w:cs="Times New Roman"/>
                <w:b w:val="0"/>
                <w:bCs w:val="0"/>
                <w:sz w:val="20"/>
                <w:szCs w:val="20"/>
              </w:rPr>
              <w:t>~1,864</w:t>
            </w:r>
          </w:p>
        </w:tc>
        <w:tc>
          <w:tcPr>
            <w:tcW w:w="1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519142CB">
            <w:r>
              <w:rPr>
                <w:rFonts w:ascii="Times New Roman" w:hAnsi="Times New Roman" w:eastAsia="Times New Roman" w:cs="Times New Roman"/>
                <w:b w:val="0"/>
                <w:bCs w:val="0"/>
                <w:sz w:val="20"/>
                <w:szCs w:val="20"/>
              </w:rPr>
              <w:t>~50,000+</w:t>
            </w:r>
          </w:p>
        </w:tc>
        <w:tc>
          <w:tcPr>
            <w:tcW w:w="178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456E342E">
            <w:r>
              <w:rPr>
                <w:rFonts w:ascii="Times New Roman" w:hAnsi="Times New Roman" w:eastAsia="Times New Roman" w:cs="Times New Roman"/>
                <w:b w:val="0"/>
                <w:bCs w:val="0"/>
                <w:sz w:val="20"/>
                <w:szCs w:val="20"/>
              </w:rPr>
              <w:t>~52,000+</w:t>
            </w:r>
          </w:p>
        </w:tc>
        <w:tc>
          <w:tcPr>
            <w:tcW w:w="14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1D318566">
            <w:r>
              <w:rPr>
                <w:rFonts w:ascii="Times New Roman" w:hAnsi="Times New Roman" w:eastAsia="Times New Roman" w:cs="Times New Roman"/>
                <w:b w:val="0"/>
                <w:bCs w:val="0"/>
                <w:sz w:val="20"/>
                <w:szCs w:val="20"/>
              </w:rPr>
              <w:t>~$7.3B+</w:t>
            </w:r>
          </w:p>
        </w:tc>
      </w:tr>
    </w:tbl>
    <w:p w14:paraId="59B39135">
      <w:pPr>
        <w:spacing w:before="80" w:after="360"/>
      </w:pPr>
      <w:r>
        <w:rPr>
          <w:rFonts w:ascii="Arial" w:hAnsi="Arial" w:eastAsia="Arial" w:cs="Arial"/>
          <w:b/>
          <w:bCs/>
          <w:i/>
          <w:iCs/>
          <w:color w:val="888888"/>
          <w:sz w:val="18"/>
          <w:szCs w:val="18"/>
        </w:rPr>
        <w:t xml:space="preserve">Source: </w:t>
      </w:r>
      <w:r>
        <w:rPr>
          <w:rFonts w:ascii="Arial" w:hAnsi="Arial" w:eastAsia="Arial" w:cs="Arial"/>
          <w:i/>
          <w:iCs/>
          <w:color w:val="888888"/>
          <w:sz w:val="18"/>
          <w:szCs w:val="18"/>
        </w:rPr>
        <w:t>OpenAI (Altman, The Gentle Singularity, June 2025 — per-query energy figure); IEEE Spectrum (October 2025 — industry projections); BestBrokers.com (annual consumption calculation); Author estimates for training compute; electricity cost assumes $0.14/kWh blended U.S. commercial rate.</w:t>
      </w:r>
    </w:p>
    <w:p w14:paraId="6698E2DC">
      <w:pPr>
        <w:spacing w:before="480" w:after="120"/>
      </w:pPr>
      <w:r>
        <w:rPr>
          <w:rFonts w:ascii="Arial" w:hAnsi="Arial" w:eastAsia="Arial" w:cs="Arial"/>
          <w:b/>
          <w:bCs/>
          <w:color w:val="2C3E50"/>
          <w:sz w:val="22"/>
          <w:szCs w:val="22"/>
        </w:rPr>
        <w:t>Exhibit 3: Timeline of Key Stargate and Energy Events (January 2025 – March 2026)</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0"/>
        <w:gridCol w:w="2960"/>
        <w:gridCol w:w="5360"/>
      </w:tblGrid>
      <w:tr w14:paraId="1EDA5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4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255BDB15">
            <w:r>
              <w:rPr>
                <w:rFonts w:ascii="Arial" w:hAnsi="Arial" w:eastAsia="Arial" w:cs="Arial"/>
                <w:b/>
                <w:bCs/>
                <w:color w:val="FFFFFF"/>
                <w:sz w:val="20"/>
                <w:szCs w:val="20"/>
              </w:rPr>
              <w:t>Date</w:t>
            </w:r>
          </w:p>
        </w:tc>
        <w:tc>
          <w:tcPr>
            <w:tcW w:w="296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01F658FB">
            <w:r>
              <w:rPr>
                <w:rFonts w:ascii="Arial" w:hAnsi="Arial" w:eastAsia="Arial" w:cs="Arial"/>
                <w:b/>
                <w:bCs/>
                <w:color w:val="FFFFFF"/>
                <w:sz w:val="20"/>
                <w:szCs w:val="20"/>
              </w:rPr>
              <w:t>Event</w:t>
            </w:r>
          </w:p>
        </w:tc>
        <w:tc>
          <w:tcPr>
            <w:tcW w:w="536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5B77EE78">
            <w:r>
              <w:rPr>
                <w:rFonts w:ascii="Arial" w:hAnsi="Arial" w:eastAsia="Arial" w:cs="Arial"/>
                <w:b/>
                <w:bCs/>
                <w:color w:val="FFFFFF"/>
                <w:sz w:val="20"/>
                <w:szCs w:val="20"/>
              </w:rPr>
              <w:t>Energy / Sustainability Significance</w:t>
            </w:r>
          </w:p>
        </w:tc>
      </w:tr>
      <w:tr w14:paraId="60006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66F0351">
            <w:r>
              <w:rPr>
                <w:rFonts w:ascii="Times New Roman" w:hAnsi="Times New Roman" w:eastAsia="Times New Roman" w:cs="Times New Roman"/>
                <w:b w:val="0"/>
                <w:bCs w:val="0"/>
                <w:sz w:val="20"/>
                <w:szCs w:val="20"/>
              </w:rPr>
              <w:t>Jan 21, 2025</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C7306E3">
            <w:r>
              <w:rPr>
                <w:rFonts w:ascii="Times New Roman" w:hAnsi="Times New Roman" w:eastAsia="Times New Roman" w:cs="Times New Roman"/>
                <w:b w:val="0"/>
                <w:bCs w:val="0"/>
                <w:sz w:val="20"/>
                <w:szCs w:val="20"/>
              </w:rPr>
              <w:t>Trump announces Stargate at White House; Altman, Ellison, Son present</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1427558">
            <w:r>
              <w:rPr>
                <w:rFonts w:ascii="Times New Roman" w:hAnsi="Times New Roman" w:eastAsia="Times New Roman" w:cs="Times New Roman"/>
                <w:b w:val="0"/>
                <w:bCs w:val="0"/>
                <w:sz w:val="20"/>
                <w:szCs w:val="20"/>
              </w:rPr>
              <w:t>$500B AI infra project announced; no energy sourcing details disclosed</w:t>
            </w:r>
          </w:p>
        </w:tc>
      </w:tr>
      <w:tr w14:paraId="47444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010A0FC1">
            <w:r>
              <w:rPr>
                <w:rFonts w:ascii="Times New Roman" w:hAnsi="Times New Roman" w:eastAsia="Times New Roman" w:cs="Times New Roman"/>
                <w:b w:val="0"/>
                <w:bCs w:val="0"/>
                <w:sz w:val="20"/>
                <w:szCs w:val="20"/>
              </w:rPr>
              <w:t>Feb 2025</w:t>
            </w:r>
          </w:p>
        </w:tc>
        <w:tc>
          <w:tcPr>
            <w:tcW w:w="29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70FA207D">
            <w:r>
              <w:rPr>
                <w:rFonts w:ascii="Times New Roman" w:hAnsi="Times New Roman" w:eastAsia="Times New Roman" w:cs="Times New Roman"/>
                <w:b w:val="0"/>
                <w:bCs w:val="0"/>
                <w:sz w:val="20"/>
                <w:szCs w:val="20"/>
              </w:rPr>
              <w:t>OpenAI raises $40B at $300B valuation (SoftBank, MGX lead)</w:t>
            </w:r>
          </w:p>
        </w:tc>
        <w:tc>
          <w:tcPr>
            <w:tcW w:w="53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48A608D4">
            <w:r>
              <w:rPr>
                <w:rFonts w:ascii="Times New Roman" w:hAnsi="Times New Roman" w:eastAsia="Times New Roman" w:cs="Times New Roman"/>
                <w:b w:val="0"/>
                <w:bCs w:val="0"/>
                <w:sz w:val="20"/>
                <w:szCs w:val="20"/>
              </w:rPr>
              <w:t>Largest private funding round in history; ESG due diligence conducted under zero energy disclosure</w:t>
            </w:r>
          </w:p>
        </w:tc>
      </w:tr>
      <w:tr w14:paraId="4D74B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E9D0D99">
            <w:r>
              <w:rPr>
                <w:rFonts w:ascii="Times New Roman" w:hAnsi="Times New Roman" w:eastAsia="Times New Roman" w:cs="Times New Roman"/>
                <w:b w:val="0"/>
                <w:bCs w:val="0"/>
                <w:sz w:val="20"/>
                <w:szCs w:val="20"/>
              </w:rPr>
              <w:t>Apr 2025</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6EDD8A3">
            <w:r>
              <w:rPr>
                <w:rFonts w:ascii="Times New Roman" w:hAnsi="Times New Roman" w:eastAsia="Times New Roman" w:cs="Times New Roman"/>
                <w:b w:val="0"/>
                <w:bCs w:val="0"/>
                <w:sz w:val="20"/>
                <w:szCs w:val="20"/>
              </w:rPr>
              <w:t>Stargate reportedly delayed; FT reports joint venture structure fragmenting</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564E1AD">
            <w:r>
              <w:rPr>
                <w:rFonts w:ascii="Times New Roman" w:hAnsi="Times New Roman" w:eastAsia="Times New Roman" w:cs="Times New Roman"/>
                <w:b w:val="0"/>
                <w:bCs w:val="0"/>
                <w:sz w:val="20"/>
                <w:szCs w:val="20"/>
              </w:rPr>
              <w:t>Financing constraints force structure changes; gas plant plans for Texas/Ohio sites surface</w:t>
            </w:r>
          </w:p>
        </w:tc>
      </w:tr>
      <w:tr w14:paraId="47267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7D52DF99">
            <w:r>
              <w:rPr>
                <w:rFonts w:ascii="Times New Roman" w:hAnsi="Times New Roman" w:eastAsia="Times New Roman" w:cs="Times New Roman"/>
                <w:b w:val="0"/>
                <w:bCs w:val="0"/>
                <w:sz w:val="20"/>
                <w:szCs w:val="20"/>
              </w:rPr>
              <w:t>May 2025</w:t>
            </w:r>
          </w:p>
        </w:tc>
        <w:tc>
          <w:tcPr>
            <w:tcW w:w="29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7FFD95B7">
            <w:r>
              <w:rPr>
                <w:rFonts w:ascii="Times New Roman" w:hAnsi="Times New Roman" w:eastAsia="Times New Roman" w:cs="Times New Roman"/>
                <w:b w:val="0"/>
                <w:bCs w:val="0"/>
                <w:sz w:val="20"/>
                <w:szCs w:val="20"/>
              </w:rPr>
              <w:t>OpenAI announces Stargate UAE partnership with G42, Oracle, NVIDIA</w:t>
            </w:r>
          </w:p>
        </w:tc>
        <w:tc>
          <w:tcPr>
            <w:tcW w:w="53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70CE3EC4">
            <w:r>
              <w:rPr>
                <w:rFonts w:ascii="Times New Roman" w:hAnsi="Times New Roman" w:eastAsia="Times New Roman" w:cs="Times New Roman"/>
                <w:b w:val="0"/>
                <w:bCs w:val="0"/>
                <w:sz w:val="20"/>
                <w:szCs w:val="20"/>
              </w:rPr>
              <w:t>UAE Stargate to open 2026; sustainability component in Norway announced (renewable only)</w:t>
            </w:r>
          </w:p>
        </w:tc>
      </w:tr>
      <w:tr w14:paraId="2F71B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AE0892C">
            <w:r>
              <w:rPr>
                <w:rFonts w:ascii="Times New Roman" w:hAnsi="Times New Roman" w:eastAsia="Times New Roman" w:cs="Times New Roman"/>
                <w:b w:val="0"/>
                <w:bCs w:val="0"/>
                <w:sz w:val="20"/>
                <w:szCs w:val="20"/>
              </w:rPr>
              <w:t>Jun 2025</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133C0CE">
            <w:r>
              <w:rPr>
                <w:rFonts w:ascii="Times New Roman" w:hAnsi="Times New Roman" w:eastAsia="Times New Roman" w:cs="Times New Roman"/>
                <w:b w:val="0"/>
                <w:bCs w:val="0"/>
                <w:sz w:val="20"/>
                <w:szCs w:val="20"/>
              </w:rPr>
              <w:t>Altman publishes The Gentle Singularity; first energy disclosure: 0.34 Wh/query</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4515036">
            <w:r>
              <w:rPr>
                <w:rFonts w:ascii="Times New Roman" w:hAnsi="Times New Roman" w:eastAsia="Times New Roman" w:cs="Times New Roman"/>
                <w:b w:val="0"/>
                <w:bCs w:val="0"/>
                <w:sz w:val="20"/>
                <w:szCs w:val="20"/>
              </w:rPr>
              <w:t>Only public energy data from OpenAI; not audited; no aggregate or training data disclosed</w:t>
            </w:r>
          </w:p>
        </w:tc>
      </w:tr>
      <w:tr w14:paraId="00F56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6D5B832F">
            <w:r>
              <w:rPr>
                <w:rFonts w:ascii="Times New Roman" w:hAnsi="Times New Roman" w:eastAsia="Times New Roman" w:cs="Times New Roman"/>
                <w:b w:val="0"/>
                <w:bCs w:val="0"/>
                <w:sz w:val="20"/>
                <w:szCs w:val="20"/>
              </w:rPr>
              <w:t>Jul 2025</w:t>
            </w:r>
          </w:p>
        </w:tc>
        <w:tc>
          <w:tcPr>
            <w:tcW w:w="29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440CF439">
            <w:r>
              <w:rPr>
                <w:rFonts w:ascii="Times New Roman" w:hAnsi="Times New Roman" w:eastAsia="Times New Roman" w:cs="Times New Roman"/>
                <w:b w:val="0"/>
                <w:bCs w:val="0"/>
                <w:sz w:val="20"/>
                <w:szCs w:val="20"/>
              </w:rPr>
              <w:t>OpenAI suspends UK data center project (Nscale); Norway site reconfigured</w:t>
            </w:r>
          </w:p>
        </w:tc>
        <w:tc>
          <w:tcPr>
            <w:tcW w:w="53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1ABC0F36">
            <w:r>
              <w:rPr>
                <w:rFonts w:ascii="Times New Roman" w:hAnsi="Times New Roman" w:eastAsia="Times New Roman" w:cs="Times New Roman"/>
                <w:b w:val="0"/>
                <w:bCs w:val="0"/>
                <w:sz w:val="20"/>
                <w:szCs w:val="20"/>
              </w:rPr>
              <w:t>UK AI Minister contradicts OpenAI's justification; energy costs cited as factor</w:t>
            </w:r>
          </w:p>
        </w:tc>
      </w:tr>
      <w:tr w14:paraId="0531A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F92312C">
            <w:r>
              <w:rPr>
                <w:rFonts w:ascii="Times New Roman" w:hAnsi="Times New Roman" w:eastAsia="Times New Roman" w:cs="Times New Roman"/>
                <w:b w:val="0"/>
                <w:bCs w:val="0"/>
                <w:sz w:val="20"/>
                <w:szCs w:val="20"/>
              </w:rPr>
              <w:t>Sep 2025</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532BF3F">
            <w:r>
              <w:rPr>
                <w:rFonts w:ascii="Times New Roman" w:hAnsi="Times New Roman" w:eastAsia="Times New Roman" w:cs="Times New Roman"/>
                <w:b w:val="0"/>
                <w:bCs w:val="0"/>
                <w:sz w:val="20"/>
                <w:szCs w:val="20"/>
              </w:rPr>
              <w:t>Altman memo: target 250 GW compute capacity by 2033</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4AEFAE4">
            <w:r>
              <w:rPr>
                <w:rFonts w:ascii="Times New Roman" w:hAnsi="Times New Roman" w:eastAsia="Times New Roman" w:cs="Times New Roman"/>
                <w:b w:val="0"/>
                <w:bCs w:val="0"/>
                <w:sz w:val="20"/>
                <w:szCs w:val="20"/>
              </w:rPr>
              <w:t>If realized, electricity equivalent to powering all of India; CO₂ exceeds ExxonMobil annual output</w:t>
            </w:r>
          </w:p>
        </w:tc>
      </w:tr>
      <w:tr w14:paraId="669A4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1EE38B69">
            <w:r>
              <w:rPr>
                <w:rFonts w:ascii="Times New Roman" w:hAnsi="Times New Roman" w:eastAsia="Times New Roman" w:cs="Times New Roman"/>
                <w:b w:val="0"/>
                <w:bCs w:val="0"/>
                <w:sz w:val="20"/>
                <w:szCs w:val="20"/>
              </w:rPr>
              <w:t>Sep 2025</w:t>
            </w:r>
          </w:p>
        </w:tc>
        <w:tc>
          <w:tcPr>
            <w:tcW w:w="29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7630E6C9">
            <w:r>
              <w:rPr>
                <w:rFonts w:ascii="Times New Roman" w:hAnsi="Times New Roman" w:eastAsia="Times New Roman" w:cs="Times New Roman"/>
                <w:b w:val="0"/>
                <w:bCs w:val="0"/>
                <w:sz w:val="20"/>
                <w:szCs w:val="20"/>
              </w:rPr>
              <w:t>OpenAI announces 5 new Stargate sites; cumulative ~7 GW planned capacity</w:t>
            </w:r>
          </w:p>
        </w:tc>
        <w:tc>
          <w:tcPr>
            <w:tcW w:w="53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5CDD55E1">
            <w:r>
              <w:rPr>
                <w:rFonts w:ascii="Times New Roman" w:hAnsi="Times New Roman" w:eastAsia="Times New Roman" w:cs="Times New Roman"/>
                <w:b w:val="0"/>
                <w:bCs w:val="0"/>
                <w:sz w:val="20"/>
                <w:szCs w:val="20"/>
              </w:rPr>
              <w:t>Natural gas generation identified for multiple sites; no renewable energy commitments announced</w:t>
            </w:r>
          </w:p>
        </w:tc>
      </w:tr>
      <w:tr w14:paraId="17268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CECD072">
            <w:r>
              <w:rPr>
                <w:rFonts w:ascii="Times New Roman" w:hAnsi="Times New Roman" w:eastAsia="Times New Roman" w:cs="Times New Roman"/>
                <w:b w:val="0"/>
                <w:bCs w:val="0"/>
                <w:sz w:val="20"/>
                <w:szCs w:val="20"/>
              </w:rPr>
              <w:t>Oct 2025</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65F10FC">
            <w:r>
              <w:rPr>
                <w:rFonts w:ascii="Times New Roman" w:hAnsi="Times New Roman" w:eastAsia="Times New Roman" w:cs="Times New Roman"/>
                <w:b w:val="0"/>
                <w:bCs w:val="0"/>
                <w:sz w:val="20"/>
                <w:szCs w:val="20"/>
              </w:rPr>
              <w:t>Altman speaks at Indian Express AI Summit; dismisses water usage claims</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448C4B8">
            <w:r>
              <w:rPr>
                <w:rFonts w:ascii="Times New Roman" w:hAnsi="Times New Roman" w:eastAsia="Times New Roman" w:cs="Times New Roman"/>
                <w:b w:val="0"/>
                <w:bCs w:val="0"/>
                <w:sz w:val="20"/>
                <w:szCs w:val="20"/>
              </w:rPr>
              <w:t>Defends AI's environmental record; calls for nuclear and renewable energy but makes no commitment</w:t>
            </w:r>
          </w:p>
        </w:tc>
      </w:tr>
      <w:tr w14:paraId="72F16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555187A9">
            <w:r>
              <w:rPr>
                <w:rFonts w:ascii="Times New Roman" w:hAnsi="Times New Roman" w:eastAsia="Times New Roman" w:cs="Times New Roman"/>
                <w:b w:val="0"/>
                <w:bCs w:val="0"/>
                <w:sz w:val="20"/>
                <w:szCs w:val="20"/>
              </w:rPr>
              <w:t>Nov 2025</w:t>
            </w:r>
          </w:p>
        </w:tc>
        <w:tc>
          <w:tcPr>
            <w:tcW w:w="29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6DE67B1F">
            <w:r>
              <w:rPr>
                <w:rFonts w:ascii="Times New Roman" w:hAnsi="Times New Roman" w:eastAsia="Times New Roman" w:cs="Times New Roman"/>
                <w:b w:val="0"/>
                <w:bCs w:val="0"/>
                <w:sz w:val="20"/>
                <w:szCs w:val="20"/>
              </w:rPr>
              <w:t>IEEE Spectrum publishes ChatGPT energy analysis: ~850 MWh/day for inference alone</w:t>
            </w:r>
          </w:p>
        </w:tc>
        <w:tc>
          <w:tcPr>
            <w:tcW w:w="53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5FA3266E">
            <w:r>
              <w:rPr>
                <w:rFonts w:ascii="Times New Roman" w:hAnsi="Times New Roman" w:eastAsia="Times New Roman" w:cs="Times New Roman"/>
                <w:b w:val="0"/>
                <w:bCs w:val="0"/>
                <w:sz w:val="20"/>
                <w:szCs w:val="20"/>
              </w:rPr>
              <w:t>First major independent aggregation of OpenAI's energy impact; widely cited</w:t>
            </w:r>
          </w:p>
        </w:tc>
      </w:tr>
      <w:tr w14:paraId="31046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B28290F">
            <w:r>
              <w:rPr>
                <w:rFonts w:ascii="Times New Roman" w:hAnsi="Times New Roman" w:eastAsia="Times New Roman" w:cs="Times New Roman"/>
                <w:b w:val="0"/>
                <w:bCs w:val="0"/>
                <w:sz w:val="20"/>
                <w:szCs w:val="20"/>
              </w:rPr>
              <w:t>Mar 13, 2026</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B8BDC26">
            <w:r>
              <w:rPr>
                <w:rFonts w:ascii="Times New Roman" w:hAnsi="Times New Roman" w:eastAsia="Times New Roman" w:cs="Times New Roman"/>
                <w:b w:val="0"/>
                <w:bCs w:val="0"/>
                <w:sz w:val="20"/>
                <w:szCs w:val="20"/>
              </w:rPr>
              <w:t>Senator Whitehouse sends formal letter to Altman requesting energy plan</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696F31E">
            <w:r>
              <w:rPr>
                <w:rFonts w:ascii="Times New Roman" w:hAnsi="Times New Roman" w:eastAsia="Times New Roman" w:cs="Times New Roman"/>
                <w:b w:val="0"/>
                <w:bCs w:val="0"/>
                <w:sz w:val="20"/>
                <w:szCs w:val="20"/>
              </w:rPr>
              <w:t>First formal government demand for energy accountability; gas plant plans documented publicly</w:t>
            </w:r>
          </w:p>
        </w:tc>
      </w:tr>
    </w:tbl>
    <w:p w14:paraId="41D21D93">
      <w:pPr>
        <w:spacing w:before="80" w:after="360"/>
      </w:pPr>
      <w:r>
        <w:rPr>
          <w:rFonts w:ascii="Arial" w:hAnsi="Arial" w:eastAsia="Arial" w:cs="Arial"/>
          <w:b/>
          <w:bCs/>
          <w:i/>
          <w:iCs/>
          <w:color w:val="888888"/>
          <w:sz w:val="18"/>
          <w:szCs w:val="18"/>
        </w:rPr>
        <w:t xml:space="preserve">Source: </w:t>
      </w:r>
      <w:r>
        <w:rPr>
          <w:rFonts w:ascii="Arial" w:hAnsi="Arial" w:eastAsia="Arial" w:cs="Arial"/>
          <w:i/>
          <w:iCs/>
          <w:color w:val="888888"/>
          <w:sz w:val="18"/>
          <w:szCs w:val="18"/>
        </w:rPr>
        <w:t>Stargate LLC Wikipedia entry (April 2026); Financial Times (April–May 2025); U.S. Senate EPW Committee letter (March 13, 2026); IEEE Spectrum (October 2025); Author compilation.</w:t>
      </w:r>
    </w:p>
    <w:p w14:paraId="6BE29CB0">
      <w:pPr>
        <w:spacing w:before="480" w:after="120"/>
      </w:pPr>
      <w:r>
        <w:rPr>
          <w:rFonts w:ascii="Arial" w:hAnsi="Arial" w:eastAsia="Arial" w:cs="Arial"/>
          <w:b/>
          <w:bCs/>
          <w:color w:val="2C3E50"/>
          <w:sz w:val="22"/>
          <w:szCs w:val="22"/>
        </w:rPr>
        <w:t>Exhibit 4: Global AI and Data Center Electricity Demand — Historical and Projected (TWh)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
        <w:gridCol w:w="2081"/>
        <w:gridCol w:w="1585"/>
        <w:gridCol w:w="1396"/>
        <w:gridCol w:w="1805"/>
        <w:gridCol w:w="1586"/>
      </w:tblGrid>
      <w:tr w14:paraId="0CB9C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4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4F3469C6">
            <w:r>
              <w:rPr>
                <w:rFonts w:ascii="Arial" w:hAnsi="Arial" w:eastAsia="Arial" w:cs="Arial"/>
                <w:b/>
                <w:bCs/>
                <w:color w:val="FFFFFF"/>
                <w:sz w:val="20"/>
                <w:szCs w:val="20"/>
              </w:rPr>
              <w:t>Year</w:t>
            </w:r>
          </w:p>
        </w:tc>
        <w:tc>
          <w:tcPr>
            <w:tcW w:w="210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2931197E">
            <w:r>
              <w:rPr>
                <w:rFonts w:ascii="Arial" w:hAnsi="Arial" w:eastAsia="Arial" w:cs="Arial"/>
                <w:b/>
                <w:bCs/>
                <w:color w:val="FFFFFF"/>
                <w:sz w:val="20"/>
                <w:szCs w:val="20"/>
              </w:rPr>
              <w:t>Global DC Electricity (TWh)</w:t>
            </w:r>
          </w:p>
        </w:tc>
        <w:tc>
          <w:tcPr>
            <w:tcW w:w="160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4E62115F">
            <w:r>
              <w:rPr>
                <w:rFonts w:ascii="Arial" w:hAnsi="Arial" w:eastAsia="Arial" w:cs="Arial"/>
                <w:b/>
                <w:bCs/>
                <w:color w:val="FFFFFF"/>
                <w:sz w:val="20"/>
                <w:szCs w:val="20"/>
              </w:rPr>
              <w:t>% of Global Total</w:t>
            </w:r>
          </w:p>
        </w:tc>
        <w:tc>
          <w:tcPr>
            <w:tcW w:w="140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21F4320A">
            <w:r>
              <w:rPr>
                <w:rFonts w:ascii="Arial" w:hAnsi="Arial" w:eastAsia="Arial" w:cs="Arial"/>
                <w:b/>
                <w:bCs/>
                <w:color w:val="FFFFFF"/>
                <w:sz w:val="20"/>
                <w:szCs w:val="20"/>
              </w:rPr>
              <w:t>AI-Attributed Share</w:t>
            </w:r>
          </w:p>
        </w:tc>
        <w:tc>
          <w:tcPr>
            <w:tcW w:w="182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392C746A">
            <w:r>
              <w:rPr>
                <w:rFonts w:ascii="Arial" w:hAnsi="Arial" w:eastAsia="Arial" w:cs="Arial"/>
                <w:b/>
                <w:bCs/>
                <w:color w:val="FFFFFF"/>
                <w:sz w:val="20"/>
                <w:szCs w:val="20"/>
              </w:rPr>
              <w:t>GenAI Industry Only (TWh)</w:t>
            </w:r>
          </w:p>
        </w:tc>
        <w:tc>
          <w:tcPr>
            <w:tcW w:w="160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5916373F">
            <w:r>
              <w:rPr>
                <w:rFonts w:ascii="Arial" w:hAnsi="Arial" w:eastAsia="Arial" w:cs="Arial"/>
                <w:b/>
                <w:bCs/>
                <w:color w:val="FFFFFF"/>
                <w:sz w:val="20"/>
                <w:szCs w:val="20"/>
              </w:rPr>
              <w:t>CAGR (DC)</w:t>
            </w:r>
          </w:p>
        </w:tc>
      </w:tr>
      <w:tr w14:paraId="450C1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0CC021E">
            <w:r>
              <w:rPr>
                <w:rFonts w:ascii="Times New Roman" w:hAnsi="Times New Roman" w:eastAsia="Times New Roman" w:cs="Times New Roman"/>
                <w:b w:val="0"/>
                <w:bCs w:val="0"/>
                <w:sz w:val="20"/>
                <w:szCs w:val="20"/>
              </w:rPr>
              <w:t>2020</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02CC42A">
            <w:r>
              <w:rPr>
                <w:rFonts w:ascii="Times New Roman" w:hAnsi="Times New Roman" w:eastAsia="Times New Roman" w:cs="Times New Roman"/>
                <w:b w:val="0"/>
                <w:bCs w:val="0"/>
                <w:sz w:val="20"/>
                <w:szCs w:val="20"/>
              </w:rPr>
              <w:t>~260</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4836AEC">
            <w:r>
              <w:rPr>
                <w:rFonts w:ascii="Times New Roman" w:hAnsi="Times New Roman" w:eastAsia="Times New Roman" w:cs="Times New Roman"/>
                <w:b w:val="0"/>
                <w:bCs w:val="0"/>
                <w:sz w:val="20"/>
                <w:szCs w:val="20"/>
              </w:rPr>
              <w:t>~1.0%</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3A1D02A">
            <w:r>
              <w:rPr>
                <w:rFonts w:ascii="Times New Roman" w:hAnsi="Times New Roman" w:eastAsia="Times New Roman" w:cs="Times New Roman"/>
                <w:b w:val="0"/>
                <w:bCs w:val="0"/>
                <w:sz w:val="20"/>
                <w:szCs w:val="20"/>
              </w:rPr>
              <w:t>&lt;5%</w:t>
            </w:r>
          </w:p>
        </w:tc>
        <w:tc>
          <w:tcPr>
            <w:tcW w:w="18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38D9B2E">
            <w:r>
              <w:rPr>
                <w:rFonts w:ascii="Times New Roman" w:hAnsi="Times New Roman" w:eastAsia="Times New Roman" w:cs="Times New Roman"/>
                <w:b w:val="0"/>
                <w:bCs w:val="0"/>
                <w:sz w:val="20"/>
                <w:szCs w:val="20"/>
              </w:rPr>
              <w:t>Negligible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9DADE3D">
            <w:r>
              <w:rPr>
                <w:rFonts w:ascii="Times New Roman" w:hAnsi="Times New Roman" w:eastAsia="Times New Roman" w:cs="Times New Roman"/>
                <w:b w:val="0"/>
                <w:bCs w:val="0"/>
                <w:sz w:val="20"/>
                <w:szCs w:val="20"/>
              </w:rPr>
              <w:t>—</w:t>
            </w:r>
          </w:p>
        </w:tc>
      </w:tr>
      <w:tr w14:paraId="498E7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5ACBBB0F">
            <w:r>
              <w:rPr>
                <w:rFonts w:ascii="Times New Roman" w:hAnsi="Times New Roman" w:eastAsia="Times New Roman" w:cs="Times New Roman"/>
                <w:b w:val="0"/>
                <w:bCs w:val="0"/>
                <w:sz w:val="20"/>
                <w:szCs w:val="20"/>
              </w:rPr>
              <w:t>2022</w:t>
            </w:r>
          </w:p>
        </w:tc>
        <w:tc>
          <w:tcPr>
            <w:tcW w:w="21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7E769287">
            <w:r>
              <w:rPr>
                <w:rFonts w:ascii="Times New Roman" w:hAnsi="Times New Roman" w:eastAsia="Times New Roman" w:cs="Times New Roman"/>
                <w:b w:val="0"/>
                <w:bCs w:val="0"/>
                <w:sz w:val="20"/>
                <w:szCs w:val="20"/>
              </w:rPr>
              <w:t>~330</w:t>
            </w:r>
          </w:p>
        </w:tc>
        <w:tc>
          <w:tcPr>
            <w:tcW w:w="1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4411F9F9">
            <w:r>
              <w:rPr>
                <w:rFonts w:ascii="Times New Roman" w:hAnsi="Times New Roman" w:eastAsia="Times New Roman" w:cs="Times New Roman"/>
                <w:b w:val="0"/>
                <w:bCs w:val="0"/>
                <w:sz w:val="20"/>
                <w:szCs w:val="20"/>
              </w:rPr>
              <w:t>~1.2%</w:t>
            </w:r>
          </w:p>
        </w:tc>
        <w:tc>
          <w:tcPr>
            <w:tcW w:w="14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7076CBE4">
            <w:r>
              <w:rPr>
                <w:rFonts w:ascii="Times New Roman" w:hAnsi="Times New Roman" w:eastAsia="Times New Roman" w:cs="Times New Roman"/>
                <w:b w:val="0"/>
                <w:bCs w:val="0"/>
                <w:sz w:val="20"/>
                <w:szCs w:val="20"/>
              </w:rPr>
              <w:t>~5–8%</w:t>
            </w:r>
          </w:p>
        </w:tc>
        <w:tc>
          <w:tcPr>
            <w:tcW w:w="182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526EB43D">
            <w:r>
              <w:rPr>
                <w:rFonts w:ascii="Times New Roman" w:hAnsi="Times New Roman" w:eastAsia="Times New Roman" w:cs="Times New Roman"/>
                <w:b w:val="0"/>
                <w:bCs w:val="0"/>
                <w:sz w:val="20"/>
                <w:szCs w:val="20"/>
              </w:rPr>
              <w:t>&lt;1</w:t>
            </w:r>
          </w:p>
        </w:tc>
        <w:tc>
          <w:tcPr>
            <w:tcW w:w="1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1B26F737">
            <w:r>
              <w:rPr>
                <w:rFonts w:ascii="Times New Roman" w:hAnsi="Times New Roman" w:eastAsia="Times New Roman" w:cs="Times New Roman"/>
                <w:b w:val="0"/>
                <w:bCs w:val="0"/>
                <w:sz w:val="20"/>
                <w:szCs w:val="20"/>
              </w:rPr>
              <w:t>—</w:t>
            </w:r>
          </w:p>
        </w:tc>
      </w:tr>
      <w:tr w14:paraId="2EDF9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0B1B191">
            <w:r>
              <w:rPr>
                <w:rFonts w:ascii="Times New Roman" w:hAnsi="Times New Roman" w:eastAsia="Times New Roman" w:cs="Times New Roman"/>
                <w:b w:val="0"/>
                <w:bCs w:val="0"/>
                <w:sz w:val="20"/>
                <w:szCs w:val="20"/>
              </w:rPr>
              <w:t>2024</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76FDD1A">
            <w:r>
              <w:rPr>
                <w:rFonts w:ascii="Times New Roman" w:hAnsi="Times New Roman" w:eastAsia="Times New Roman" w:cs="Times New Roman"/>
                <w:b w:val="0"/>
                <w:bCs w:val="0"/>
                <w:sz w:val="20"/>
                <w:szCs w:val="20"/>
              </w:rPr>
              <w:t>415</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0FDC5B0">
            <w:r>
              <w:rPr>
                <w:rFonts w:ascii="Times New Roman" w:hAnsi="Times New Roman" w:eastAsia="Times New Roman" w:cs="Times New Roman"/>
                <w:b w:val="0"/>
                <w:bCs w:val="0"/>
                <w:sz w:val="20"/>
                <w:szCs w:val="20"/>
              </w:rPr>
              <w:t>1.5%</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5501C73">
            <w:r>
              <w:rPr>
                <w:rFonts w:ascii="Times New Roman" w:hAnsi="Times New Roman" w:eastAsia="Times New Roman" w:cs="Times New Roman"/>
                <w:b w:val="0"/>
                <w:bCs w:val="0"/>
                <w:sz w:val="20"/>
                <w:szCs w:val="20"/>
              </w:rPr>
              <w:t>~18%</w:t>
            </w:r>
          </w:p>
        </w:tc>
        <w:tc>
          <w:tcPr>
            <w:tcW w:w="18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65EB099">
            <w:r>
              <w:rPr>
                <w:rFonts w:ascii="Times New Roman" w:hAnsi="Times New Roman" w:eastAsia="Times New Roman" w:cs="Times New Roman"/>
                <w:b w:val="0"/>
                <w:bCs w:val="0"/>
                <w:sz w:val="20"/>
                <w:szCs w:val="20"/>
              </w:rPr>
              <w:t>~15</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ED0B5E3">
            <w:r>
              <w:rPr>
                <w:rFonts w:ascii="Times New Roman" w:hAnsi="Times New Roman" w:eastAsia="Times New Roman" w:cs="Times New Roman"/>
                <w:b w:val="0"/>
                <w:bCs w:val="0"/>
                <w:sz w:val="20"/>
                <w:szCs w:val="20"/>
              </w:rPr>
              <w:t>~12%/yr</w:t>
            </w:r>
          </w:p>
        </w:tc>
      </w:tr>
      <w:tr w14:paraId="6241A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1274F3B6">
            <w:r>
              <w:rPr>
                <w:rFonts w:ascii="Times New Roman" w:hAnsi="Times New Roman" w:eastAsia="Times New Roman" w:cs="Times New Roman"/>
                <w:b w:val="0"/>
                <w:bCs w:val="0"/>
                <w:sz w:val="20"/>
                <w:szCs w:val="20"/>
              </w:rPr>
              <w:t>2025</w:t>
            </w:r>
          </w:p>
        </w:tc>
        <w:tc>
          <w:tcPr>
            <w:tcW w:w="21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35F750B7">
            <w:r>
              <w:rPr>
                <w:rFonts w:ascii="Times New Roman" w:hAnsi="Times New Roman" w:eastAsia="Times New Roman" w:cs="Times New Roman"/>
                <w:b w:val="0"/>
                <w:bCs w:val="0"/>
                <w:sz w:val="20"/>
                <w:szCs w:val="20"/>
              </w:rPr>
              <w:t>~470</w:t>
            </w:r>
          </w:p>
        </w:tc>
        <w:tc>
          <w:tcPr>
            <w:tcW w:w="1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56BB8C51">
            <w:r>
              <w:rPr>
                <w:rFonts w:ascii="Times New Roman" w:hAnsi="Times New Roman" w:eastAsia="Times New Roman" w:cs="Times New Roman"/>
                <w:b w:val="0"/>
                <w:bCs w:val="0"/>
                <w:sz w:val="20"/>
                <w:szCs w:val="20"/>
              </w:rPr>
              <w:t>~1.7%</w:t>
            </w:r>
          </w:p>
        </w:tc>
        <w:tc>
          <w:tcPr>
            <w:tcW w:w="14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521E7285">
            <w:r>
              <w:rPr>
                <w:rFonts w:ascii="Times New Roman" w:hAnsi="Times New Roman" w:eastAsia="Times New Roman" w:cs="Times New Roman"/>
                <w:b w:val="0"/>
                <w:bCs w:val="0"/>
                <w:sz w:val="20"/>
                <w:szCs w:val="20"/>
              </w:rPr>
              <w:t>~22%</w:t>
            </w:r>
          </w:p>
        </w:tc>
        <w:tc>
          <w:tcPr>
            <w:tcW w:w="182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14D2D3F5">
            <w:r>
              <w:rPr>
                <w:rFonts w:ascii="Times New Roman" w:hAnsi="Times New Roman" w:eastAsia="Times New Roman" w:cs="Times New Roman"/>
                <w:b w:val="0"/>
                <w:bCs w:val="0"/>
                <w:sz w:val="20"/>
                <w:szCs w:val="20"/>
              </w:rPr>
              <w:t>~15 (est.)</w:t>
            </w:r>
          </w:p>
        </w:tc>
        <w:tc>
          <w:tcPr>
            <w:tcW w:w="1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1CFE26AC">
            <w:r>
              <w:rPr>
                <w:rFonts w:ascii="Times New Roman" w:hAnsi="Times New Roman" w:eastAsia="Times New Roman" w:cs="Times New Roman"/>
                <w:b w:val="0"/>
                <w:bCs w:val="0"/>
                <w:sz w:val="20"/>
                <w:szCs w:val="20"/>
              </w:rPr>
              <w:t>~13%</w:t>
            </w:r>
          </w:p>
        </w:tc>
      </w:tr>
      <w:tr w14:paraId="2C078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47253B3">
            <w:r>
              <w:rPr>
                <w:rFonts w:ascii="Times New Roman" w:hAnsi="Times New Roman" w:eastAsia="Times New Roman" w:cs="Times New Roman"/>
                <w:b w:val="0"/>
                <w:bCs w:val="0"/>
                <w:sz w:val="20"/>
                <w:szCs w:val="20"/>
              </w:rPr>
              <w:t>2027</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DFA054D">
            <w:r>
              <w:rPr>
                <w:rFonts w:ascii="Times New Roman" w:hAnsi="Times New Roman" w:eastAsia="Times New Roman" w:cs="Times New Roman"/>
                <w:b w:val="0"/>
                <w:bCs w:val="0"/>
                <w:sz w:val="20"/>
                <w:szCs w:val="20"/>
              </w:rPr>
              <w:t>~640</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F2D40E1">
            <w:r>
              <w:rPr>
                <w:rFonts w:ascii="Times New Roman" w:hAnsi="Times New Roman" w:eastAsia="Times New Roman" w:cs="Times New Roman"/>
                <w:b w:val="0"/>
                <w:bCs w:val="0"/>
                <w:sz w:val="20"/>
                <w:szCs w:val="20"/>
              </w:rPr>
              <w:t>~2.1%</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4EFD0F6">
            <w:r>
              <w:rPr>
                <w:rFonts w:ascii="Times New Roman" w:hAnsi="Times New Roman" w:eastAsia="Times New Roman" w:cs="Times New Roman"/>
                <w:b w:val="0"/>
                <w:bCs w:val="0"/>
                <w:sz w:val="20"/>
                <w:szCs w:val="20"/>
              </w:rPr>
              <w:t>~32%</w:t>
            </w:r>
          </w:p>
        </w:tc>
        <w:tc>
          <w:tcPr>
            <w:tcW w:w="18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5AAA3CF">
            <w:r>
              <w:rPr>
                <w:rFonts w:ascii="Times New Roman" w:hAnsi="Times New Roman" w:eastAsia="Times New Roman" w:cs="Times New Roman"/>
                <w:b w:val="0"/>
                <w:bCs w:val="0"/>
                <w:sz w:val="20"/>
                <w:szCs w:val="20"/>
              </w:rPr>
              <w:t>~80 (proj.)</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57222F2">
            <w:r>
              <w:rPr>
                <w:rFonts w:ascii="Times New Roman" w:hAnsi="Times New Roman" w:eastAsia="Times New Roman" w:cs="Times New Roman"/>
                <w:b w:val="0"/>
                <w:bCs w:val="0"/>
                <w:sz w:val="20"/>
                <w:szCs w:val="20"/>
              </w:rPr>
              <w:t>~17%</w:t>
            </w:r>
          </w:p>
        </w:tc>
      </w:tr>
      <w:tr w14:paraId="021EF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56C8A84F">
            <w:r>
              <w:rPr>
                <w:rFonts w:ascii="Times New Roman" w:hAnsi="Times New Roman" w:eastAsia="Times New Roman" w:cs="Times New Roman"/>
                <w:b w:val="0"/>
                <w:bCs w:val="0"/>
                <w:sz w:val="20"/>
                <w:szCs w:val="20"/>
              </w:rPr>
              <w:t>2030 (Base)</w:t>
            </w:r>
          </w:p>
        </w:tc>
        <w:tc>
          <w:tcPr>
            <w:tcW w:w="21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4A71DC79">
            <w:r>
              <w:rPr>
                <w:rFonts w:ascii="Times New Roman" w:hAnsi="Times New Roman" w:eastAsia="Times New Roman" w:cs="Times New Roman"/>
                <w:b w:val="0"/>
                <w:bCs w:val="0"/>
                <w:sz w:val="20"/>
                <w:szCs w:val="20"/>
              </w:rPr>
              <w:t>945</w:t>
            </w:r>
          </w:p>
        </w:tc>
        <w:tc>
          <w:tcPr>
            <w:tcW w:w="1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54584E2E">
            <w:r>
              <w:rPr>
                <w:rFonts w:ascii="Times New Roman" w:hAnsi="Times New Roman" w:eastAsia="Times New Roman" w:cs="Times New Roman"/>
                <w:b w:val="0"/>
                <w:bCs w:val="0"/>
                <w:sz w:val="20"/>
                <w:szCs w:val="20"/>
              </w:rPr>
              <w:t>~3.0%</w:t>
            </w:r>
          </w:p>
        </w:tc>
        <w:tc>
          <w:tcPr>
            <w:tcW w:w="14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6B4A88B6">
            <w:r>
              <w:rPr>
                <w:rFonts w:ascii="Times New Roman" w:hAnsi="Times New Roman" w:eastAsia="Times New Roman" w:cs="Times New Roman"/>
                <w:b w:val="0"/>
                <w:bCs w:val="0"/>
                <w:sz w:val="20"/>
                <w:szCs w:val="20"/>
              </w:rPr>
              <w:t>&gt;50%</w:t>
            </w:r>
          </w:p>
        </w:tc>
        <w:tc>
          <w:tcPr>
            <w:tcW w:w="182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7DA5184D">
            <w:r>
              <w:rPr>
                <w:rFonts w:ascii="Times New Roman" w:hAnsi="Times New Roman" w:eastAsia="Times New Roman" w:cs="Times New Roman"/>
                <w:b w:val="0"/>
                <w:bCs w:val="0"/>
                <w:sz w:val="20"/>
                <w:szCs w:val="20"/>
              </w:rPr>
              <w:t>~347 (proj.)</w:t>
            </w:r>
          </w:p>
        </w:tc>
        <w:tc>
          <w:tcPr>
            <w:tcW w:w="1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4541B482">
            <w:r>
              <w:rPr>
                <w:rFonts w:ascii="Times New Roman" w:hAnsi="Times New Roman" w:eastAsia="Times New Roman" w:cs="Times New Roman"/>
                <w:b w:val="0"/>
                <w:bCs w:val="0"/>
                <w:sz w:val="20"/>
                <w:szCs w:val="20"/>
              </w:rPr>
              <w:t>~13%</w:t>
            </w:r>
          </w:p>
        </w:tc>
      </w:tr>
      <w:tr w14:paraId="6D338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C238271">
            <w:r>
              <w:rPr>
                <w:rFonts w:ascii="Times New Roman" w:hAnsi="Times New Roman" w:eastAsia="Times New Roman" w:cs="Times New Roman"/>
                <w:b w:val="0"/>
                <w:bCs w:val="0"/>
                <w:sz w:val="20"/>
                <w:szCs w:val="20"/>
              </w:rPr>
              <w:t>2033 (Altman Target — 250 GW)</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4B1E15A">
            <w:r>
              <w:rPr>
                <w:rFonts w:ascii="Times New Roman" w:hAnsi="Times New Roman" w:eastAsia="Times New Roman" w:cs="Times New Roman"/>
                <w:b w:val="0"/>
                <w:bCs w:val="0"/>
                <w:sz w:val="20"/>
                <w:szCs w:val="20"/>
              </w:rPr>
              <w:t>~2,200+</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010A54F">
            <w:r>
              <w:rPr>
                <w:rFonts w:ascii="Times New Roman" w:hAnsi="Times New Roman" w:eastAsia="Times New Roman" w:cs="Times New Roman"/>
                <w:b w:val="0"/>
                <w:bCs w:val="0"/>
                <w:sz w:val="20"/>
                <w:szCs w:val="20"/>
              </w:rPr>
              <w:t>~6%+</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F29AC90">
            <w:r>
              <w:rPr>
                <w:rFonts w:ascii="Times New Roman" w:hAnsi="Times New Roman" w:eastAsia="Times New Roman" w:cs="Times New Roman"/>
                <w:b w:val="0"/>
                <w:bCs w:val="0"/>
                <w:sz w:val="20"/>
                <w:szCs w:val="20"/>
              </w:rPr>
              <w:t>&gt;60%</w:t>
            </w:r>
          </w:p>
        </w:tc>
        <w:tc>
          <w:tcPr>
            <w:tcW w:w="18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3F7A889">
            <w:r>
              <w:rPr>
                <w:rFonts w:ascii="Times New Roman" w:hAnsi="Times New Roman" w:eastAsia="Times New Roman" w:cs="Times New Roman"/>
                <w:b w:val="0"/>
                <w:bCs w:val="0"/>
                <w:sz w:val="20"/>
                <w:szCs w:val="20"/>
              </w:rPr>
              <w:t>N/A</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5E1257D">
            <w:r>
              <w:rPr>
                <w:rFonts w:ascii="Times New Roman" w:hAnsi="Times New Roman" w:eastAsia="Times New Roman" w:cs="Times New Roman"/>
                <w:b w:val="0"/>
                <w:bCs w:val="0"/>
                <w:sz w:val="20"/>
                <w:szCs w:val="20"/>
              </w:rPr>
              <w:t>N/A</w:t>
            </w:r>
          </w:p>
        </w:tc>
      </w:tr>
    </w:tbl>
    <w:p w14:paraId="55613C0C">
      <w:pPr>
        <w:spacing w:before="80" w:after="360"/>
      </w:pPr>
      <w:r>
        <w:rPr>
          <w:rFonts w:ascii="Arial" w:hAnsi="Arial" w:eastAsia="Arial" w:cs="Arial"/>
          <w:b/>
          <w:bCs/>
          <w:i/>
          <w:iCs/>
          <w:color w:val="888888"/>
          <w:sz w:val="18"/>
          <w:szCs w:val="18"/>
        </w:rPr>
        <w:t xml:space="preserve">Source: </w:t>
      </w:r>
      <w:r>
        <w:rPr>
          <w:rFonts w:ascii="Arial" w:hAnsi="Arial" w:eastAsia="Arial" w:cs="Arial"/>
          <w:i/>
          <w:iCs/>
          <w:color w:val="888888"/>
          <w:sz w:val="18"/>
          <w:szCs w:val="18"/>
        </w:rPr>
        <w:t>International Energy Agency, Energy and AI Report (2025); IEEE Spectrum (October 2025); Schneider Electric Sustainability Research Institute (2025); Tom's Hardware (November 2025 — 250 GW projection); Author estimates.</w:t>
      </w:r>
    </w:p>
    <w:p w14:paraId="54C88E59">
      <w:pPr>
        <w:spacing w:before="480" w:after="120"/>
      </w:pPr>
      <w:r>
        <w:rPr>
          <w:rFonts w:ascii="Arial" w:hAnsi="Arial" w:eastAsia="Arial" w:cs="Arial"/>
          <w:b/>
          <w:bCs/>
          <w:color w:val="2C3E50"/>
          <w:sz w:val="22"/>
          <w:szCs w:val="22"/>
        </w:rPr>
        <w:t>Exhibit 5: AI Company Energy &amp; Sustainability Comparison (2025–2026)</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52"/>
        <w:gridCol w:w="1442"/>
        <w:gridCol w:w="1541"/>
        <w:gridCol w:w="1616"/>
        <w:gridCol w:w="2078"/>
        <w:gridCol w:w="1531"/>
      </w:tblGrid>
      <w:tr w14:paraId="48722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4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0B8950DB">
            <w:r>
              <w:rPr>
                <w:rFonts w:ascii="Arial" w:hAnsi="Arial" w:eastAsia="Arial" w:cs="Arial"/>
                <w:b/>
                <w:bCs/>
                <w:color w:val="FFFFFF"/>
                <w:sz w:val="20"/>
                <w:szCs w:val="20"/>
              </w:rPr>
              <w:t>Company</w:t>
            </w:r>
          </w:p>
        </w:tc>
        <w:tc>
          <w:tcPr>
            <w:tcW w:w="148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44800461">
            <w:r>
              <w:rPr>
                <w:rFonts w:ascii="Arial" w:hAnsi="Arial" w:eastAsia="Arial" w:cs="Arial"/>
                <w:b/>
                <w:bCs/>
                <w:color w:val="FFFFFF"/>
                <w:sz w:val="20"/>
                <w:szCs w:val="20"/>
              </w:rPr>
              <w:t>Est. Annual Electricity (TWh)</w:t>
            </w:r>
          </w:p>
        </w:tc>
        <w:tc>
          <w:tcPr>
            <w:tcW w:w="144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27B7F8EB">
            <w:r>
              <w:rPr>
                <w:rFonts w:ascii="Arial" w:hAnsi="Arial" w:eastAsia="Arial" w:cs="Arial"/>
                <w:b/>
                <w:bCs/>
                <w:color w:val="FFFFFF"/>
                <w:sz w:val="20"/>
                <w:szCs w:val="20"/>
              </w:rPr>
              <w:t>Sustainability Report?</w:t>
            </w:r>
          </w:p>
        </w:tc>
        <w:tc>
          <w:tcPr>
            <w:tcW w:w="164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242B63AE">
            <w:r>
              <w:rPr>
                <w:rFonts w:ascii="Arial" w:hAnsi="Arial" w:eastAsia="Arial" w:cs="Arial"/>
                <w:b/>
                <w:bCs/>
                <w:color w:val="FFFFFF"/>
                <w:sz w:val="20"/>
                <w:szCs w:val="20"/>
              </w:rPr>
              <w:t>Net-Zero Commitment</w:t>
            </w:r>
          </w:p>
        </w:tc>
        <w:tc>
          <w:tcPr>
            <w:tcW w:w="220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012C1B9F">
            <w:r>
              <w:rPr>
                <w:rFonts w:ascii="Arial" w:hAnsi="Arial" w:eastAsia="Arial" w:cs="Arial"/>
                <w:b/>
                <w:bCs/>
                <w:color w:val="FFFFFF"/>
                <w:sz w:val="20"/>
                <w:szCs w:val="20"/>
              </w:rPr>
              <w:t>Nuclear Deal</w:t>
            </w:r>
          </w:p>
        </w:tc>
        <w:tc>
          <w:tcPr>
            <w:tcW w:w="156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24631FCF">
            <w:r>
              <w:rPr>
                <w:rFonts w:ascii="Arial" w:hAnsi="Arial" w:eastAsia="Arial" w:cs="Arial"/>
                <w:b/>
                <w:bCs/>
                <w:color w:val="FFFFFF"/>
                <w:sz w:val="20"/>
                <w:szCs w:val="20"/>
              </w:rPr>
              <w:t>Carbon Increase Since Baseline</w:t>
            </w:r>
          </w:p>
        </w:tc>
      </w:tr>
      <w:tr w14:paraId="068E1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362EC70">
            <w:r>
              <w:rPr>
                <w:rFonts w:ascii="Times New Roman" w:hAnsi="Times New Roman" w:eastAsia="Times New Roman" w:cs="Times New Roman"/>
                <w:b w:val="0"/>
                <w:bCs w:val="0"/>
                <w:sz w:val="20"/>
                <w:szCs w:val="20"/>
              </w:rPr>
              <w:t>Microsoft</w:t>
            </w:r>
          </w:p>
        </w:tc>
        <w:tc>
          <w:tcPr>
            <w:tcW w:w="14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EE44D8F">
            <w:r>
              <w:rPr>
                <w:rFonts w:ascii="Times New Roman" w:hAnsi="Times New Roman" w:eastAsia="Times New Roman" w:cs="Times New Roman"/>
                <w:b w:val="0"/>
                <w:bCs w:val="0"/>
                <w:sz w:val="20"/>
                <w:szCs w:val="20"/>
              </w:rPr>
              <w:t>~35–40</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2725D42">
            <w:r>
              <w:rPr>
                <w:rFonts w:ascii="Times New Roman" w:hAnsi="Times New Roman" w:eastAsia="Times New Roman" w:cs="Times New Roman"/>
                <w:b w:val="0"/>
                <w:bCs w:val="0"/>
                <w:sz w:val="20"/>
                <w:szCs w:val="20"/>
              </w:rPr>
              <w:t>Yes (annual, detailed)</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E59A7F2">
            <w:r>
              <w:rPr>
                <w:rFonts w:ascii="Times New Roman" w:hAnsi="Times New Roman" w:eastAsia="Times New Roman" w:cs="Times New Roman"/>
                <w:b w:val="0"/>
                <w:bCs w:val="0"/>
                <w:sz w:val="20"/>
                <w:szCs w:val="20"/>
              </w:rPr>
              <w:t>2030 carbon negative; 24/7 CFE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E9AB7D1">
            <w:r>
              <w:rPr>
                <w:rFonts w:ascii="Times New Roman" w:hAnsi="Times New Roman" w:eastAsia="Times New Roman" w:cs="Times New Roman"/>
                <w:b w:val="0"/>
                <w:bCs w:val="0"/>
                <w:sz w:val="20"/>
                <w:szCs w:val="20"/>
              </w:rPr>
              <w:t>$16B Three Mile Island restart (835 MW, 2028)</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844B4BC">
            <w:r>
              <w:rPr>
                <w:rFonts w:ascii="Times New Roman" w:hAnsi="Times New Roman" w:eastAsia="Times New Roman" w:cs="Times New Roman"/>
                <w:b w:val="0"/>
                <w:bCs w:val="0"/>
                <w:sz w:val="20"/>
                <w:szCs w:val="20"/>
              </w:rPr>
              <w:t>+23% since 2020</w:t>
            </w:r>
          </w:p>
        </w:tc>
      </w:tr>
      <w:tr w14:paraId="6D5B5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7C854F5D">
            <w:r>
              <w:rPr>
                <w:rFonts w:ascii="Times New Roman" w:hAnsi="Times New Roman" w:eastAsia="Times New Roman" w:cs="Times New Roman"/>
                <w:b w:val="0"/>
                <w:bCs w:val="0"/>
                <w:sz w:val="20"/>
                <w:szCs w:val="20"/>
              </w:rPr>
              <w:t>Google / Alphabet</w:t>
            </w:r>
          </w:p>
        </w:tc>
        <w:tc>
          <w:tcPr>
            <w:tcW w:w="148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0D54E2DC">
            <w:r>
              <w:rPr>
                <w:rFonts w:ascii="Times New Roman" w:hAnsi="Times New Roman" w:eastAsia="Times New Roman" w:cs="Times New Roman"/>
                <w:b w:val="0"/>
                <w:bCs w:val="0"/>
                <w:sz w:val="20"/>
                <w:szCs w:val="20"/>
              </w:rPr>
              <w:t>~30–35</w:t>
            </w:r>
          </w:p>
        </w:tc>
        <w:tc>
          <w:tcPr>
            <w:tcW w:w="144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0BE9291F">
            <w:r>
              <w:rPr>
                <w:rFonts w:ascii="Times New Roman" w:hAnsi="Times New Roman" w:eastAsia="Times New Roman" w:cs="Times New Roman"/>
                <w:b w:val="0"/>
                <w:bCs w:val="0"/>
                <w:sz w:val="20"/>
                <w:szCs w:val="20"/>
              </w:rPr>
              <w:t>Yes (annual, detailed)</w:t>
            </w:r>
          </w:p>
        </w:tc>
        <w:tc>
          <w:tcPr>
            <w:tcW w:w="164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681EC747">
            <w:r>
              <w:rPr>
                <w:rFonts w:ascii="Times New Roman" w:hAnsi="Times New Roman" w:eastAsia="Times New Roman" w:cs="Times New Roman"/>
                <w:b w:val="0"/>
                <w:bCs w:val="0"/>
                <w:sz w:val="20"/>
                <w:szCs w:val="20"/>
              </w:rPr>
              <w:t>2030 net-zero, 24/7 CFE</w:t>
            </w:r>
          </w:p>
        </w:tc>
        <w:tc>
          <w:tcPr>
            <w:tcW w:w="22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2079117B">
            <w:r>
              <w:rPr>
                <w:rFonts w:ascii="Times New Roman" w:hAnsi="Times New Roman" w:eastAsia="Times New Roman" w:cs="Times New Roman"/>
                <w:b w:val="0"/>
                <w:bCs w:val="0"/>
                <w:sz w:val="20"/>
                <w:szCs w:val="20"/>
              </w:rPr>
              <w:t>Kairos Power SMR fleet (500 MW, 2030+)</w:t>
            </w:r>
          </w:p>
        </w:tc>
        <w:tc>
          <w:tcPr>
            <w:tcW w:w="15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7BF97A91">
            <w:r>
              <w:rPr>
                <w:rFonts w:ascii="Times New Roman" w:hAnsi="Times New Roman" w:eastAsia="Times New Roman" w:cs="Times New Roman"/>
                <w:b w:val="0"/>
                <w:bCs w:val="0"/>
                <w:sz w:val="20"/>
                <w:szCs w:val="20"/>
              </w:rPr>
              <w:t>+48% since 2019</w:t>
            </w:r>
          </w:p>
        </w:tc>
      </w:tr>
      <w:tr w14:paraId="18F5A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F76589D">
            <w:r>
              <w:rPr>
                <w:rFonts w:ascii="Times New Roman" w:hAnsi="Times New Roman" w:eastAsia="Times New Roman" w:cs="Times New Roman"/>
                <w:b w:val="0"/>
                <w:bCs w:val="0"/>
                <w:sz w:val="20"/>
                <w:szCs w:val="20"/>
              </w:rPr>
              <w:t>Amazon / AWS</w:t>
            </w:r>
          </w:p>
        </w:tc>
        <w:tc>
          <w:tcPr>
            <w:tcW w:w="14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B9F2C82">
            <w:r>
              <w:rPr>
                <w:rFonts w:ascii="Times New Roman" w:hAnsi="Times New Roman" w:eastAsia="Times New Roman" w:cs="Times New Roman"/>
                <w:b w:val="0"/>
                <w:bCs w:val="0"/>
                <w:sz w:val="20"/>
                <w:szCs w:val="20"/>
              </w:rPr>
              <w:t>~45–55</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81517D9">
            <w:r>
              <w:rPr>
                <w:rFonts w:ascii="Times New Roman" w:hAnsi="Times New Roman" w:eastAsia="Times New Roman" w:cs="Times New Roman"/>
                <w:b w:val="0"/>
                <w:bCs w:val="0"/>
                <w:sz w:val="20"/>
                <w:szCs w:val="20"/>
              </w:rPr>
              <w:t>Yes (annual)</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6E8B0AE">
            <w:r>
              <w:rPr>
                <w:rFonts w:ascii="Times New Roman" w:hAnsi="Times New Roman" w:eastAsia="Times New Roman" w:cs="Times New Roman"/>
                <w:b w:val="0"/>
                <w:bCs w:val="0"/>
                <w:sz w:val="20"/>
                <w:szCs w:val="20"/>
              </w:rPr>
              <w:t>2040 net-zero</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EF8F2F3">
            <w:r>
              <w:rPr>
                <w:rFonts w:ascii="Times New Roman" w:hAnsi="Times New Roman" w:eastAsia="Times New Roman" w:cs="Times New Roman"/>
                <w:b w:val="0"/>
                <w:bCs w:val="0"/>
                <w:sz w:val="20"/>
                <w:szCs w:val="20"/>
              </w:rPr>
              <w:t>Susquehanna campus ($20B+)</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22FB376">
            <w:r>
              <w:rPr>
                <w:rFonts w:ascii="Times New Roman" w:hAnsi="Times New Roman" w:eastAsia="Times New Roman" w:cs="Times New Roman"/>
                <w:b w:val="0"/>
                <w:bCs w:val="0"/>
                <w:sz w:val="20"/>
                <w:szCs w:val="20"/>
              </w:rPr>
              <w:t>+33% since 2019</w:t>
            </w:r>
          </w:p>
        </w:tc>
      </w:tr>
      <w:tr w14:paraId="17CEC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77A9B435">
            <w:r>
              <w:rPr>
                <w:rFonts w:ascii="Times New Roman" w:hAnsi="Times New Roman" w:eastAsia="Times New Roman" w:cs="Times New Roman"/>
                <w:b w:val="0"/>
                <w:bCs w:val="0"/>
                <w:sz w:val="20"/>
                <w:szCs w:val="20"/>
              </w:rPr>
              <w:t>Meta</w:t>
            </w:r>
          </w:p>
        </w:tc>
        <w:tc>
          <w:tcPr>
            <w:tcW w:w="148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5BECC2DE">
            <w:r>
              <w:rPr>
                <w:rFonts w:ascii="Times New Roman" w:hAnsi="Times New Roman" w:eastAsia="Times New Roman" w:cs="Times New Roman"/>
                <w:b w:val="0"/>
                <w:bCs w:val="0"/>
                <w:sz w:val="20"/>
                <w:szCs w:val="20"/>
              </w:rPr>
              <w:t>~20–25</w:t>
            </w:r>
          </w:p>
        </w:tc>
        <w:tc>
          <w:tcPr>
            <w:tcW w:w="144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35962A69">
            <w:r>
              <w:rPr>
                <w:rFonts w:ascii="Times New Roman" w:hAnsi="Times New Roman" w:eastAsia="Times New Roman" w:cs="Times New Roman"/>
                <w:b w:val="0"/>
                <w:bCs w:val="0"/>
                <w:sz w:val="20"/>
                <w:szCs w:val="20"/>
              </w:rPr>
              <w:t>Yes (annual)</w:t>
            </w:r>
          </w:p>
        </w:tc>
        <w:tc>
          <w:tcPr>
            <w:tcW w:w="164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56826653">
            <w:r>
              <w:rPr>
                <w:rFonts w:ascii="Times New Roman" w:hAnsi="Times New Roman" w:eastAsia="Times New Roman" w:cs="Times New Roman"/>
                <w:b w:val="0"/>
                <w:bCs w:val="0"/>
                <w:sz w:val="20"/>
                <w:szCs w:val="20"/>
              </w:rPr>
              <w:t>2030 net-zero operations</w:t>
            </w:r>
          </w:p>
        </w:tc>
        <w:tc>
          <w:tcPr>
            <w:tcW w:w="22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0C4A6312">
            <w:r>
              <w:rPr>
                <w:rFonts w:ascii="Times New Roman" w:hAnsi="Times New Roman" w:eastAsia="Times New Roman" w:cs="Times New Roman"/>
                <w:b w:val="0"/>
                <w:bCs w:val="0"/>
                <w:sz w:val="20"/>
                <w:szCs w:val="20"/>
              </w:rPr>
              <w:t>1–4 GW nuclear RFP issued (2025)</w:t>
            </w:r>
          </w:p>
        </w:tc>
        <w:tc>
          <w:tcPr>
            <w:tcW w:w="15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2F3DB37D">
            <w:r>
              <w:rPr>
                <w:rFonts w:ascii="Times New Roman" w:hAnsi="Times New Roman" w:eastAsia="Times New Roman" w:cs="Times New Roman"/>
                <w:b w:val="0"/>
                <w:bCs w:val="0"/>
                <w:sz w:val="20"/>
                <w:szCs w:val="20"/>
              </w:rPr>
              <w:t>+60% since 2019</w:t>
            </w:r>
          </w:p>
        </w:tc>
      </w:tr>
      <w:tr w14:paraId="4C850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F6754B4">
            <w:r>
              <w:rPr>
                <w:rFonts w:ascii="Times New Roman" w:hAnsi="Times New Roman" w:eastAsia="Times New Roman" w:cs="Times New Roman"/>
                <w:b w:val="0"/>
                <w:bCs w:val="0"/>
                <w:sz w:val="20"/>
                <w:szCs w:val="20"/>
              </w:rPr>
              <w:t>Anthropic</w:t>
            </w:r>
          </w:p>
        </w:tc>
        <w:tc>
          <w:tcPr>
            <w:tcW w:w="14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781F11E">
            <w:r>
              <w:rPr>
                <w:rFonts w:ascii="Times New Roman" w:hAnsi="Times New Roman" w:eastAsia="Times New Roman" w:cs="Times New Roman"/>
                <w:b w:val="0"/>
                <w:bCs w:val="0"/>
                <w:sz w:val="20"/>
                <w:szCs w:val="20"/>
              </w:rPr>
              <w:t>~3–6 (est.)</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EAC1D19">
            <w:r>
              <w:rPr>
                <w:rFonts w:ascii="Times New Roman" w:hAnsi="Times New Roman" w:eastAsia="Times New Roman" w:cs="Times New Roman"/>
                <w:b w:val="0"/>
                <w:bCs w:val="0"/>
                <w:sz w:val="20"/>
                <w:szCs w:val="20"/>
              </w:rPr>
              <w:t>No (partial AWS disclosure)</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7E79158">
            <w:r>
              <w:rPr>
                <w:rFonts w:ascii="Times New Roman" w:hAnsi="Times New Roman" w:eastAsia="Times New Roman" w:cs="Times New Roman"/>
                <w:b w:val="0"/>
                <w:bCs w:val="0"/>
                <w:sz w:val="20"/>
                <w:szCs w:val="20"/>
              </w:rPr>
              <w:t>Not publicly stated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E9E5AC8">
            <w:r>
              <w:rPr>
                <w:rFonts w:ascii="Times New Roman" w:hAnsi="Times New Roman" w:eastAsia="Times New Roman" w:cs="Times New Roman"/>
                <w:b w:val="0"/>
                <w:bCs w:val="0"/>
                <w:sz w:val="20"/>
                <w:szCs w:val="20"/>
              </w:rPr>
              <w:t>None announced</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6428C98">
            <w:r>
              <w:rPr>
                <w:rFonts w:ascii="Times New Roman" w:hAnsi="Times New Roman" w:eastAsia="Times New Roman" w:cs="Times New Roman"/>
                <w:b w:val="0"/>
                <w:bCs w:val="0"/>
                <w:sz w:val="20"/>
                <w:szCs w:val="20"/>
              </w:rPr>
              <w:t>N/A</w:t>
            </w:r>
          </w:p>
        </w:tc>
      </w:tr>
      <w:tr w14:paraId="4CE65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2D9CCAB0">
            <w:r>
              <w:rPr>
                <w:rFonts w:ascii="Times New Roman" w:hAnsi="Times New Roman" w:eastAsia="Times New Roman" w:cs="Times New Roman"/>
                <w:b w:val="0"/>
                <w:bCs w:val="0"/>
                <w:sz w:val="20"/>
                <w:szCs w:val="20"/>
              </w:rPr>
              <w:t>OpenAI</w:t>
            </w:r>
          </w:p>
        </w:tc>
        <w:tc>
          <w:tcPr>
            <w:tcW w:w="148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24528B53">
            <w:r>
              <w:rPr>
                <w:rFonts w:ascii="Times New Roman" w:hAnsi="Times New Roman" w:eastAsia="Times New Roman" w:cs="Times New Roman"/>
                <w:b w:val="0"/>
                <w:bCs w:val="0"/>
                <w:sz w:val="20"/>
                <w:szCs w:val="20"/>
              </w:rPr>
              <w:t>~3–10 (est.)</w:t>
            </w:r>
          </w:p>
        </w:tc>
        <w:tc>
          <w:tcPr>
            <w:tcW w:w="144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41961188">
            <w:r>
              <w:rPr>
                <w:rFonts w:ascii="Times New Roman" w:hAnsi="Times New Roman" w:eastAsia="Times New Roman" w:cs="Times New Roman"/>
                <w:b w:val="0"/>
                <w:bCs w:val="0"/>
                <w:sz w:val="20"/>
                <w:szCs w:val="20"/>
              </w:rPr>
              <w:t>NO — NONE PUBLISHED</w:t>
            </w:r>
          </w:p>
        </w:tc>
        <w:tc>
          <w:tcPr>
            <w:tcW w:w="164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443CA58C">
            <w:r>
              <w:rPr>
                <w:rFonts w:ascii="Times New Roman" w:hAnsi="Times New Roman" w:eastAsia="Times New Roman" w:cs="Times New Roman"/>
                <w:b w:val="0"/>
                <w:bCs w:val="0"/>
                <w:sz w:val="20"/>
                <w:szCs w:val="20"/>
              </w:rPr>
              <w:t>NOT PUBLICLY STATED</w:t>
            </w:r>
          </w:p>
        </w:tc>
        <w:tc>
          <w:tcPr>
            <w:tcW w:w="22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161E22AE">
            <w:r>
              <w:rPr>
                <w:rFonts w:ascii="Times New Roman" w:hAnsi="Times New Roman" w:eastAsia="Times New Roman" w:cs="Times New Roman"/>
                <w:b w:val="0"/>
                <w:bCs w:val="0"/>
                <w:sz w:val="20"/>
                <w:szCs w:val="20"/>
              </w:rPr>
              <w:t>None announced (gas plants planned)</w:t>
            </w:r>
          </w:p>
        </w:tc>
        <w:tc>
          <w:tcPr>
            <w:tcW w:w="15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4F4087A2">
            <w:r>
              <w:rPr>
                <w:rFonts w:ascii="Times New Roman" w:hAnsi="Times New Roman" w:eastAsia="Times New Roman" w:cs="Times New Roman"/>
                <w:b w:val="0"/>
                <w:bCs w:val="0"/>
                <w:sz w:val="20"/>
                <w:szCs w:val="20"/>
              </w:rPr>
              <w:t>UNKNOWN — NOT DISCLOSED</w:t>
            </w:r>
          </w:p>
        </w:tc>
      </w:tr>
    </w:tbl>
    <w:p w14:paraId="7C5BE4CF">
      <w:pPr>
        <w:spacing w:before="80" w:after="360"/>
      </w:pPr>
      <w:r>
        <w:rPr>
          <w:rFonts w:ascii="Arial" w:hAnsi="Arial" w:eastAsia="Arial" w:cs="Arial"/>
          <w:b/>
          <w:bCs/>
          <w:i/>
          <w:iCs/>
          <w:color w:val="888888"/>
          <w:sz w:val="18"/>
          <w:szCs w:val="18"/>
        </w:rPr>
        <w:t xml:space="preserve">Source: </w:t>
      </w:r>
      <w:r>
        <w:rPr>
          <w:rFonts w:ascii="Arial" w:hAnsi="Arial" w:eastAsia="Arial" w:cs="Arial"/>
          <w:i/>
          <w:iCs/>
          <w:color w:val="888888"/>
          <w:sz w:val="18"/>
          <w:szCs w:val="18"/>
        </w:rPr>
        <w:t>Company sustainability reports (2025); IEA (2025); Introl Blog (January 2026); Fortune (March 2026); Greenpeace (November 2024); Author estimates for OpenAI and Anthropic.</w:t>
      </w:r>
    </w:p>
    <w:p w14:paraId="78DCB598">
      <w:pPr>
        <w:spacing w:before="480" w:after="120"/>
      </w:pPr>
      <w:r>
        <w:rPr>
          <w:rFonts w:ascii="Arial" w:hAnsi="Arial" w:eastAsia="Arial" w:cs="Arial"/>
          <w:b/>
          <w:bCs/>
          <w:color w:val="2C3E50"/>
          <w:sz w:val="22"/>
          <w:szCs w:val="22"/>
        </w:rPr>
        <w:t>Exhibit 6: Strategic Options Decision Matrix for OpenAI Board</w:t>
      </w:r>
    </w:p>
    <w:p w14:paraId="76C162C1">
      <w:pPr>
        <w:spacing w:before="0" w:after="160"/>
        <w:jc w:val="both"/>
      </w:pPr>
      <w:r>
        <w:rPr>
          <w:rFonts w:ascii="Times New Roman" w:hAnsi="Times New Roman" w:eastAsia="Times New Roman" w:cs="Times New Roman"/>
          <w:b w:val="0"/>
          <w:bCs w:val="0"/>
          <w:color w:val="888888"/>
          <w:sz w:val="24"/>
          <w:szCs w:val="24"/>
        </w:rPr>
        <w:t>Note: Scores are left blank for student analysis. Weights reflect the case authors' assessment of relative importance given OpenAI's mission and competitive context.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21"/>
        <w:gridCol w:w="918"/>
        <w:gridCol w:w="1897"/>
        <w:gridCol w:w="1910"/>
        <w:gridCol w:w="1914"/>
      </w:tblGrid>
      <w:tr w14:paraId="2B41C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154C4E9A">
            <w:r>
              <w:rPr>
                <w:rFonts w:ascii="Arial" w:hAnsi="Arial" w:eastAsia="Arial" w:cs="Arial"/>
                <w:b/>
                <w:bCs/>
                <w:color w:val="FFFFFF"/>
                <w:sz w:val="20"/>
                <w:szCs w:val="20"/>
              </w:rPr>
              <w:t>Evaluation Criterion</w:t>
            </w:r>
          </w:p>
        </w:tc>
        <w:tc>
          <w:tcPr>
            <w:tcW w:w="68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5629F87F">
            <w:r>
              <w:rPr>
                <w:rFonts w:ascii="Arial" w:hAnsi="Arial" w:eastAsia="Arial" w:cs="Arial"/>
                <w:b/>
                <w:bCs/>
                <w:color w:val="FFFFFF"/>
                <w:sz w:val="20"/>
                <w:szCs w:val="20"/>
              </w:rPr>
              <w:t>Weight</w:t>
            </w:r>
          </w:p>
        </w:tc>
        <w:tc>
          <w:tcPr>
            <w:tcW w:w="196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038203AE">
            <w:r>
              <w:rPr>
                <w:rFonts w:ascii="Arial" w:hAnsi="Arial" w:eastAsia="Arial" w:cs="Arial"/>
                <w:b/>
                <w:bCs/>
                <w:color w:val="FFFFFF"/>
                <w:sz w:val="20"/>
                <w:szCs w:val="20"/>
              </w:rPr>
              <w:t>Option A: Disclose &amp; Commit</w:t>
            </w:r>
          </w:p>
        </w:tc>
        <w:tc>
          <w:tcPr>
            <w:tcW w:w="196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2EE8AF6E">
            <w:r>
              <w:rPr>
                <w:rFonts w:ascii="Arial" w:hAnsi="Arial" w:eastAsia="Arial" w:cs="Arial"/>
                <w:b/>
                <w:bCs/>
                <w:color w:val="FFFFFF"/>
                <w:sz w:val="20"/>
                <w:szCs w:val="20"/>
              </w:rPr>
              <w:t>Option B: Efficiency-Led</w:t>
            </w:r>
          </w:p>
        </w:tc>
        <w:tc>
          <w:tcPr>
            <w:tcW w:w="196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6892397F">
            <w:r>
              <w:rPr>
                <w:rFonts w:ascii="Arial" w:hAnsi="Arial" w:eastAsia="Arial" w:cs="Arial"/>
                <w:b/>
                <w:bCs/>
                <w:color w:val="FFFFFF"/>
                <w:sz w:val="20"/>
                <w:szCs w:val="20"/>
              </w:rPr>
              <w:t>Option C: Regulatory Leadership</w:t>
            </w:r>
          </w:p>
        </w:tc>
      </w:tr>
      <w:tr w14:paraId="146E3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0751F8E">
            <w:r>
              <w:rPr>
                <w:rFonts w:ascii="Times New Roman" w:hAnsi="Times New Roman" w:eastAsia="Times New Roman" w:cs="Times New Roman"/>
                <w:b w:val="0"/>
                <w:bCs w:val="0"/>
                <w:sz w:val="20"/>
                <w:szCs w:val="20"/>
              </w:rPr>
              <w:t>Credibility with institutional investors / IPO readiness</w:t>
            </w:r>
          </w:p>
        </w:tc>
        <w:tc>
          <w:tcPr>
            <w:tcW w:w="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85C8898">
            <w:r>
              <w:rPr>
                <w:rFonts w:ascii="Times New Roman" w:hAnsi="Times New Roman" w:eastAsia="Times New Roman" w:cs="Times New Roman"/>
                <w:b w:val="0"/>
                <w:bCs w:val="0"/>
                <w:sz w:val="20"/>
                <w:szCs w:val="20"/>
              </w:rPr>
              <w:t>High</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2CEB9E9">
            <w:r>
              <w:rPr>
                <w:rFonts w:ascii="Times New Roman" w:hAnsi="Times New Roman" w:eastAsia="Times New Roman" w:cs="Times New Roman"/>
                <w:b w:val="0"/>
                <w:bCs w:val="0"/>
                <w:sz w:val="20"/>
                <w:szCs w:val="20"/>
              </w:rPr>
              <w:t>___/10</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CAE30C7">
            <w:r>
              <w:rPr>
                <w:rFonts w:ascii="Times New Roman" w:hAnsi="Times New Roman" w:eastAsia="Times New Roman" w:cs="Times New Roman"/>
                <w:b w:val="0"/>
                <w:bCs w:val="0"/>
                <w:sz w:val="20"/>
                <w:szCs w:val="20"/>
              </w:rPr>
              <w:t>___/10</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B3130CF">
            <w:r>
              <w:rPr>
                <w:rFonts w:ascii="Times New Roman" w:hAnsi="Times New Roman" w:eastAsia="Times New Roman" w:cs="Times New Roman"/>
                <w:b w:val="0"/>
                <w:bCs w:val="0"/>
                <w:sz w:val="20"/>
                <w:szCs w:val="20"/>
              </w:rPr>
              <w:t>___/10</w:t>
            </w:r>
          </w:p>
        </w:tc>
      </w:tr>
      <w:tr w14:paraId="6CE01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71AC476B">
            <w:r>
              <w:rPr>
                <w:rFonts w:ascii="Times New Roman" w:hAnsi="Times New Roman" w:eastAsia="Times New Roman" w:cs="Times New Roman"/>
                <w:b w:val="0"/>
                <w:bCs w:val="0"/>
                <w:sz w:val="20"/>
                <w:szCs w:val="20"/>
              </w:rPr>
              <w:t>Alignment with stated mission ("benefit humanity")</w:t>
            </w:r>
          </w:p>
        </w:tc>
        <w:tc>
          <w:tcPr>
            <w:tcW w:w="68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2DDE300E">
            <w:r>
              <w:rPr>
                <w:rFonts w:ascii="Times New Roman" w:hAnsi="Times New Roman" w:eastAsia="Times New Roman" w:cs="Times New Roman"/>
                <w:b w:val="0"/>
                <w:bCs w:val="0"/>
                <w:sz w:val="20"/>
                <w:szCs w:val="20"/>
              </w:rPr>
              <w:t>High</w:t>
            </w:r>
          </w:p>
        </w:tc>
        <w:tc>
          <w:tcPr>
            <w:tcW w:w="19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4979BFD8">
            <w:r>
              <w:rPr>
                <w:rFonts w:ascii="Times New Roman" w:hAnsi="Times New Roman" w:eastAsia="Times New Roman" w:cs="Times New Roman"/>
                <w:b w:val="0"/>
                <w:bCs w:val="0"/>
                <w:sz w:val="20"/>
                <w:szCs w:val="20"/>
              </w:rPr>
              <w:t>___/10</w:t>
            </w:r>
          </w:p>
        </w:tc>
        <w:tc>
          <w:tcPr>
            <w:tcW w:w="19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4BFB3656">
            <w:r>
              <w:rPr>
                <w:rFonts w:ascii="Times New Roman" w:hAnsi="Times New Roman" w:eastAsia="Times New Roman" w:cs="Times New Roman"/>
                <w:b w:val="0"/>
                <w:bCs w:val="0"/>
                <w:sz w:val="20"/>
                <w:szCs w:val="20"/>
              </w:rPr>
              <w:t>___/10</w:t>
            </w:r>
          </w:p>
        </w:tc>
        <w:tc>
          <w:tcPr>
            <w:tcW w:w="19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20C26AF8">
            <w:r>
              <w:rPr>
                <w:rFonts w:ascii="Times New Roman" w:hAnsi="Times New Roman" w:eastAsia="Times New Roman" w:cs="Times New Roman"/>
                <w:b w:val="0"/>
                <w:bCs w:val="0"/>
                <w:sz w:val="20"/>
                <w:szCs w:val="20"/>
              </w:rPr>
              <w:t>___/10</w:t>
            </w:r>
          </w:p>
        </w:tc>
      </w:tr>
      <w:tr w14:paraId="24196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7D08454">
            <w:r>
              <w:rPr>
                <w:rFonts w:ascii="Times New Roman" w:hAnsi="Times New Roman" w:eastAsia="Times New Roman" w:cs="Times New Roman"/>
                <w:b w:val="0"/>
                <w:bCs w:val="0"/>
                <w:sz w:val="20"/>
                <w:szCs w:val="20"/>
              </w:rPr>
              <w:t>Near-term financial cost / capital impact</w:t>
            </w:r>
          </w:p>
        </w:tc>
        <w:tc>
          <w:tcPr>
            <w:tcW w:w="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7D714E6">
            <w:r>
              <w:rPr>
                <w:rFonts w:ascii="Times New Roman" w:hAnsi="Times New Roman" w:eastAsia="Times New Roman" w:cs="Times New Roman"/>
                <w:b w:val="0"/>
                <w:bCs w:val="0"/>
                <w:sz w:val="20"/>
                <w:szCs w:val="20"/>
              </w:rPr>
              <w:t>High</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C21C5F1">
            <w:r>
              <w:rPr>
                <w:rFonts w:ascii="Times New Roman" w:hAnsi="Times New Roman" w:eastAsia="Times New Roman" w:cs="Times New Roman"/>
                <w:b w:val="0"/>
                <w:bCs w:val="0"/>
                <w:sz w:val="20"/>
                <w:szCs w:val="20"/>
              </w:rPr>
              <w:t>___/10</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C29ED8C">
            <w:r>
              <w:rPr>
                <w:rFonts w:ascii="Times New Roman" w:hAnsi="Times New Roman" w:eastAsia="Times New Roman" w:cs="Times New Roman"/>
                <w:b w:val="0"/>
                <w:bCs w:val="0"/>
                <w:sz w:val="20"/>
                <w:szCs w:val="20"/>
              </w:rPr>
              <w:t>___/10</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49228DD">
            <w:r>
              <w:rPr>
                <w:rFonts w:ascii="Times New Roman" w:hAnsi="Times New Roman" w:eastAsia="Times New Roman" w:cs="Times New Roman"/>
                <w:b w:val="0"/>
                <w:bCs w:val="0"/>
                <w:sz w:val="20"/>
                <w:szCs w:val="20"/>
              </w:rPr>
              <w:t>___/10</w:t>
            </w:r>
          </w:p>
        </w:tc>
      </w:tr>
      <w:tr w14:paraId="23C2A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5B7DCD40">
            <w:r>
              <w:rPr>
                <w:rFonts w:ascii="Times New Roman" w:hAnsi="Times New Roman" w:eastAsia="Times New Roman" w:cs="Times New Roman"/>
                <w:b w:val="0"/>
                <w:bCs w:val="0"/>
                <w:sz w:val="20"/>
                <w:szCs w:val="20"/>
              </w:rPr>
              <w:t>Competitive differentiation vs. Microsoft/Google</w:t>
            </w:r>
          </w:p>
        </w:tc>
        <w:tc>
          <w:tcPr>
            <w:tcW w:w="68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4BE74F80">
            <w:r>
              <w:rPr>
                <w:rFonts w:ascii="Times New Roman" w:hAnsi="Times New Roman" w:eastAsia="Times New Roman" w:cs="Times New Roman"/>
                <w:b w:val="0"/>
                <w:bCs w:val="0"/>
                <w:sz w:val="20"/>
                <w:szCs w:val="20"/>
              </w:rPr>
              <w:t>Medium</w:t>
            </w:r>
          </w:p>
        </w:tc>
        <w:tc>
          <w:tcPr>
            <w:tcW w:w="19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5FB7CDDC">
            <w:r>
              <w:rPr>
                <w:rFonts w:ascii="Times New Roman" w:hAnsi="Times New Roman" w:eastAsia="Times New Roman" w:cs="Times New Roman"/>
                <w:b w:val="0"/>
                <w:bCs w:val="0"/>
                <w:sz w:val="20"/>
                <w:szCs w:val="20"/>
              </w:rPr>
              <w:t>___/10</w:t>
            </w:r>
          </w:p>
        </w:tc>
        <w:tc>
          <w:tcPr>
            <w:tcW w:w="19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2C277B55">
            <w:r>
              <w:rPr>
                <w:rFonts w:ascii="Times New Roman" w:hAnsi="Times New Roman" w:eastAsia="Times New Roman" w:cs="Times New Roman"/>
                <w:b w:val="0"/>
                <w:bCs w:val="0"/>
                <w:sz w:val="20"/>
                <w:szCs w:val="20"/>
              </w:rPr>
              <w:t>___/10</w:t>
            </w:r>
          </w:p>
        </w:tc>
        <w:tc>
          <w:tcPr>
            <w:tcW w:w="19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656BB80C">
            <w:r>
              <w:rPr>
                <w:rFonts w:ascii="Times New Roman" w:hAnsi="Times New Roman" w:eastAsia="Times New Roman" w:cs="Times New Roman"/>
                <w:b w:val="0"/>
                <w:bCs w:val="0"/>
                <w:sz w:val="20"/>
                <w:szCs w:val="20"/>
              </w:rPr>
              <w:t>___/10</w:t>
            </w:r>
          </w:p>
        </w:tc>
      </w:tr>
      <w:tr w14:paraId="1C977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A8B4FCC">
            <w:r>
              <w:rPr>
                <w:rFonts w:ascii="Times New Roman" w:hAnsi="Times New Roman" w:eastAsia="Times New Roman" w:cs="Times New Roman"/>
                <w:b w:val="0"/>
                <w:bCs w:val="0"/>
                <w:sz w:val="20"/>
                <w:szCs w:val="20"/>
              </w:rPr>
              <w:t>Speed of carbon/energy impact (years to effect)</w:t>
            </w:r>
          </w:p>
        </w:tc>
        <w:tc>
          <w:tcPr>
            <w:tcW w:w="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14FF7EB">
            <w:r>
              <w:rPr>
                <w:rFonts w:ascii="Times New Roman" w:hAnsi="Times New Roman" w:eastAsia="Times New Roman" w:cs="Times New Roman"/>
                <w:b w:val="0"/>
                <w:bCs w:val="0"/>
                <w:sz w:val="20"/>
                <w:szCs w:val="20"/>
              </w:rPr>
              <w:t>Medium</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AFE790A">
            <w:r>
              <w:rPr>
                <w:rFonts w:ascii="Times New Roman" w:hAnsi="Times New Roman" w:eastAsia="Times New Roman" w:cs="Times New Roman"/>
                <w:b w:val="0"/>
                <w:bCs w:val="0"/>
                <w:sz w:val="20"/>
                <w:szCs w:val="20"/>
              </w:rPr>
              <w:t>___/10</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181F26F">
            <w:r>
              <w:rPr>
                <w:rFonts w:ascii="Times New Roman" w:hAnsi="Times New Roman" w:eastAsia="Times New Roman" w:cs="Times New Roman"/>
                <w:b w:val="0"/>
                <w:bCs w:val="0"/>
                <w:sz w:val="20"/>
                <w:szCs w:val="20"/>
              </w:rPr>
              <w:t>___/10</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95448D9">
            <w:r>
              <w:rPr>
                <w:rFonts w:ascii="Times New Roman" w:hAnsi="Times New Roman" w:eastAsia="Times New Roman" w:cs="Times New Roman"/>
                <w:b w:val="0"/>
                <w:bCs w:val="0"/>
                <w:sz w:val="20"/>
                <w:szCs w:val="20"/>
              </w:rPr>
              <w:t>___/10</w:t>
            </w:r>
          </w:p>
        </w:tc>
      </w:tr>
      <w:tr w14:paraId="50BDD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7006D089">
            <w:r>
              <w:rPr>
                <w:rFonts w:ascii="Times New Roman" w:hAnsi="Times New Roman" w:eastAsia="Times New Roman" w:cs="Times New Roman"/>
                <w:b w:val="0"/>
                <w:bCs w:val="0"/>
                <w:sz w:val="20"/>
                <w:szCs w:val="20"/>
              </w:rPr>
              <w:t>Regulatory risk mitigation (Senate, SEC, EU CSRD)</w:t>
            </w:r>
          </w:p>
        </w:tc>
        <w:tc>
          <w:tcPr>
            <w:tcW w:w="68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7BF5601A">
            <w:r>
              <w:rPr>
                <w:rFonts w:ascii="Times New Roman" w:hAnsi="Times New Roman" w:eastAsia="Times New Roman" w:cs="Times New Roman"/>
                <w:b w:val="0"/>
                <w:bCs w:val="0"/>
                <w:sz w:val="20"/>
                <w:szCs w:val="20"/>
              </w:rPr>
              <w:t>High</w:t>
            </w:r>
          </w:p>
        </w:tc>
        <w:tc>
          <w:tcPr>
            <w:tcW w:w="19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7A4D9B04">
            <w:r>
              <w:rPr>
                <w:rFonts w:ascii="Times New Roman" w:hAnsi="Times New Roman" w:eastAsia="Times New Roman" w:cs="Times New Roman"/>
                <w:b w:val="0"/>
                <w:bCs w:val="0"/>
                <w:sz w:val="20"/>
                <w:szCs w:val="20"/>
              </w:rPr>
              <w:t>___/10</w:t>
            </w:r>
          </w:p>
        </w:tc>
        <w:tc>
          <w:tcPr>
            <w:tcW w:w="19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73DDD3EB">
            <w:r>
              <w:rPr>
                <w:rFonts w:ascii="Times New Roman" w:hAnsi="Times New Roman" w:eastAsia="Times New Roman" w:cs="Times New Roman"/>
                <w:b w:val="0"/>
                <w:bCs w:val="0"/>
                <w:sz w:val="20"/>
                <w:szCs w:val="20"/>
              </w:rPr>
              <w:t>___/10</w:t>
            </w:r>
          </w:p>
        </w:tc>
        <w:tc>
          <w:tcPr>
            <w:tcW w:w="19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50925AF5">
            <w:r>
              <w:rPr>
                <w:rFonts w:ascii="Times New Roman" w:hAnsi="Times New Roman" w:eastAsia="Times New Roman" w:cs="Times New Roman"/>
                <w:b w:val="0"/>
                <w:bCs w:val="0"/>
                <w:sz w:val="20"/>
                <w:szCs w:val="20"/>
              </w:rPr>
              <w:t>___/10</w:t>
            </w:r>
          </w:p>
        </w:tc>
      </w:tr>
      <w:tr w14:paraId="71ADA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F382AAF">
            <w:r>
              <w:rPr>
                <w:rFonts w:ascii="Times New Roman" w:hAnsi="Times New Roman" w:eastAsia="Times New Roman" w:cs="Times New Roman"/>
                <w:b w:val="0"/>
                <w:bCs w:val="0"/>
                <w:sz w:val="20"/>
                <w:szCs w:val="20"/>
              </w:rPr>
              <w:t>Reputational benefit / public perception</w:t>
            </w:r>
          </w:p>
        </w:tc>
        <w:tc>
          <w:tcPr>
            <w:tcW w:w="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75B2903">
            <w:r>
              <w:rPr>
                <w:rFonts w:ascii="Times New Roman" w:hAnsi="Times New Roman" w:eastAsia="Times New Roman" w:cs="Times New Roman"/>
                <w:b w:val="0"/>
                <w:bCs w:val="0"/>
                <w:sz w:val="20"/>
                <w:szCs w:val="20"/>
              </w:rPr>
              <w:t>Medium</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353D2DE">
            <w:r>
              <w:rPr>
                <w:rFonts w:ascii="Times New Roman" w:hAnsi="Times New Roman" w:eastAsia="Times New Roman" w:cs="Times New Roman"/>
                <w:b w:val="0"/>
                <w:bCs w:val="0"/>
                <w:sz w:val="20"/>
                <w:szCs w:val="20"/>
              </w:rPr>
              <w:t>___/10</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3326F77">
            <w:r>
              <w:rPr>
                <w:rFonts w:ascii="Times New Roman" w:hAnsi="Times New Roman" w:eastAsia="Times New Roman" w:cs="Times New Roman"/>
                <w:b w:val="0"/>
                <w:bCs w:val="0"/>
                <w:sz w:val="20"/>
                <w:szCs w:val="20"/>
              </w:rPr>
              <w:t>___/10</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714F1E2">
            <w:r>
              <w:rPr>
                <w:rFonts w:ascii="Times New Roman" w:hAnsi="Times New Roman" w:eastAsia="Times New Roman" w:cs="Times New Roman"/>
                <w:b w:val="0"/>
                <w:bCs w:val="0"/>
                <w:sz w:val="20"/>
                <w:szCs w:val="20"/>
              </w:rPr>
              <w:t>___/10</w:t>
            </w:r>
          </w:p>
        </w:tc>
      </w:tr>
      <w:tr w14:paraId="7FEBF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679F3FB3">
            <w:r>
              <w:rPr>
                <w:rFonts w:ascii="Times New Roman" w:hAnsi="Times New Roman" w:eastAsia="Times New Roman" w:cs="Times New Roman"/>
                <w:b w:val="0"/>
                <w:bCs w:val="0"/>
                <w:sz w:val="20"/>
                <w:szCs w:val="20"/>
              </w:rPr>
              <w:t>Consistency with Stargate buildout timeline</w:t>
            </w:r>
          </w:p>
        </w:tc>
        <w:tc>
          <w:tcPr>
            <w:tcW w:w="68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4F5D0E5A">
            <w:r>
              <w:rPr>
                <w:rFonts w:ascii="Times New Roman" w:hAnsi="Times New Roman" w:eastAsia="Times New Roman" w:cs="Times New Roman"/>
                <w:b w:val="0"/>
                <w:bCs w:val="0"/>
                <w:sz w:val="20"/>
                <w:szCs w:val="20"/>
              </w:rPr>
              <w:t>Low</w:t>
            </w:r>
          </w:p>
        </w:tc>
        <w:tc>
          <w:tcPr>
            <w:tcW w:w="19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486FED73">
            <w:r>
              <w:rPr>
                <w:rFonts w:ascii="Times New Roman" w:hAnsi="Times New Roman" w:eastAsia="Times New Roman" w:cs="Times New Roman"/>
                <w:b w:val="0"/>
                <w:bCs w:val="0"/>
                <w:sz w:val="20"/>
                <w:szCs w:val="20"/>
              </w:rPr>
              <w:t>___/10</w:t>
            </w:r>
          </w:p>
        </w:tc>
        <w:tc>
          <w:tcPr>
            <w:tcW w:w="19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5489AF25">
            <w:r>
              <w:rPr>
                <w:rFonts w:ascii="Times New Roman" w:hAnsi="Times New Roman" w:eastAsia="Times New Roman" w:cs="Times New Roman"/>
                <w:b w:val="0"/>
                <w:bCs w:val="0"/>
                <w:sz w:val="20"/>
                <w:szCs w:val="20"/>
              </w:rPr>
              <w:t>___/10</w:t>
            </w:r>
          </w:p>
        </w:tc>
        <w:tc>
          <w:tcPr>
            <w:tcW w:w="19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3E43EE67">
            <w:r>
              <w:rPr>
                <w:rFonts w:ascii="Times New Roman" w:hAnsi="Times New Roman" w:eastAsia="Times New Roman" w:cs="Times New Roman"/>
                <w:b w:val="0"/>
                <w:bCs w:val="0"/>
                <w:sz w:val="20"/>
                <w:szCs w:val="20"/>
              </w:rPr>
              <w:t>___/10</w:t>
            </w:r>
          </w:p>
        </w:tc>
      </w:tr>
      <w:tr w14:paraId="13FF3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1AFE66B">
            <w:r>
              <w:rPr>
                <w:rFonts w:ascii="Times New Roman" w:hAnsi="Times New Roman" w:eastAsia="Times New Roman" w:cs="Times New Roman"/>
                <w:b/>
                <w:bCs/>
                <w:sz w:val="20"/>
                <w:szCs w:val="20"/>
              </w:rPr>
              <w:t>TOTAL WEIGHTED SCORE</w:t>
            </w:r>
          </w:p>
        </w:tc>
        <w:tc>
          <w:tcPr>
            <w:tcW w:w="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68B5C71">
            <w:r>
              <w:rPr>
                <w:rFonts w:ascii="Times New Roman" w:hAnsi="Times New Roman" w:eastAsia="Times New Roman" w:cs="Times New Roman"/>
                <w:b w:val="0"/>
                <w:bCs w:val="0"/>
                <w:sz w:val="20"/>
                <w:szCs w:val="20"/>
              </w:rPr>
              <w:t>—</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2AF19F9">
            <w:r>
              <w:rPr>
                <w:rFonts w:ascii="Times New Roman" w:hAnsi="Times New Roman" w:eastAsia="Times New Roman" w:cs="Times New Roman"/>
                <w:b w:val="0"/>
                <w:bCs w:val="0"/>
                <w:sz w:val="20"/>
                <w:szCs w:val="20"/>
              </w:rPr>
              <w:t>___</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CED8708">
            <w:r>
              <w:rPr>
                <w:rFonts w:ascii="Times New Roman" w:hAnsi="Times New Roman" w:eastAsia="Times New Roman" w:cs="Times New Roman"/>
                <w:b w:val="0"/>
                <w:bCs w:val="0"/>
                <w:sz w:val="20"/>
                <w:szCs w:val="20"/>
              </w:rPr>
              <w:t>___</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82ADDAC">
            <w:r>
              <w:rPr>
                <w:rFonts w:ascii="Times New Roman" w:hAnsi="Times New Roman" w:eastAsia="Times New Roman" w:cs="Times New Roman"/>
                <w:b w:val="0"/>
                <w:bCs w:val="0"/>
                <w:sz w:val="20"/>
                <w:szCs w:val="20"/>
              </w:rPr>
              <w:t>___</w:t>
            </w:r>
          </w:p>
        </w:tc>
      </w:tr>
    </w:tbl>
    <w:p w14:paraId="123781A3">
      <w:pPr>
        <w:spacing w:before="80" w:after="360"/>
      </w:pPr>
      <w:r>
        <w:rPr>
          <w:rFonts w:ascii="Arial" w:hAnsi="Arial" w:eastAsia="Arial" w:cs="Arial"/>
          <w:b/>
          <w:bCs/>
          <w:i/>
          <w:iCs/>
          <w:color w:val="888888"/>
          <w:sz w:val="18"/>
          <w:szCs w:val="18"/>
        </w:rPr>
        <w:t xml:space="preserve">Source: </w:t>
      </w:r>
      <w:r>
        <w:rPr>
          <w:rFonts w:ascii="Arial" w:hAnsi="Arial" w:eastAsia="Arial" w:cs="Arial"/>
          <w:i/>
          <w:iCs/>
          <w:color w:val="888888"/>
          <w:sz w:val="18"/>
          <w:szCs w:val="18"/>
        </w:rPr>
        <w:t>Author framework. Scoring and weighting to be completed by students in class preparation. No "correct" scores — the framework is designed to surface disagreement about values and priorities.</w:t>
      </w:r>
    </w:p>
    <w:p w14:paraId="476B8F8F">
      <w:pPr>
        <w:sectPr>
          <w:headerReference r:id="rId3" w:type="default"/>
          <w:footerReference r:id="rId4" w:type="default"/>
          <w:pgSz w:w="12240" w:h="15840"/>
          <w:pgMar w:top="1440" w:right="1440" w:bottom="1440" w:left="1440" w:header="708" w:footer="708" w:gutter="0"/>
          <w:cols w:space="720" w:num="1"/>
          <w:docGrid w:linePitch="360" w:charSpace="0"/>
        </w:sectPr>
      </w:pPr>
    </w:p>
    <w:p w14:paraId="0C2B5C4C">
      <w:pPr>
        <w:spacing w:before="0" w:after="0"/>
      </w:pPr>
      <w:r>
        <w:br w:type="page"/>
      </w:r>
    </w:p>
    <w:p w14:paraId="15E5DE1D">
      <w:pPr>
        <w:spacing w:before="400" w:after="60"/>
        <w:jc w:val="center"/>
      </w:pPr>
      <w:r>
        <w:rPr>
          <w:rFonts w:ascii="Arial" w:hAnsi="Arial" w:eastAsia="Arial" w:cs="Arial"/>
          <w:b/>
          <w:bCs/>
          <w:color w:val="1A1A2E"/>
          <w:sz w:val="28"/>
          <w:szCs w:val="28"/>
        </w:rPr>
        <w:t>EXECUTIVE SYNOPSIS</w:t>
      </w:r>
    </w:p>
    <w:p w14:paraId="7B8A90E6">
      <w:pPr>
        <w:spacing w:before="0" w:after="60"/>
        <w:jc w:val="center"/>
      </w:pPr>
      <w:r>
        <w:rPr>
          <w:rFonts w:ascii="Arial" w:hAnsi="Arial" w:eastAsia="Arial" w:cs="Arial"/>
          <w:b/>
          <w:bCs/>
          <w:color w:val="C0392B"/>
          <w:sz w:val="22"/>
          <w:szCs w:val="22"/>
        </w:rPr>
        <w:t>THE PRICE OF INTELLIGENCE: OPENAI AND THE ENERGY PARADOX</w:t>
      </w:r>
    </w:p>
    <w:p w14:paraId="7637A66A">
      <w:pPr>
        <w:spacing w:before="0" w:after="300"/>
        <w:jc w:val="center"/>
      </w:pPr>
      <w:r>
        <w:rPr>
          <w:rFonts w:ascii="Arial" w:hAnsi="Arial" w:eastAsia="Arial" w:cs="Arial"/>
          <w:i/>
          <w:iCs/>
          <w:color w:val="888888"/>
          <w:sz w:val="18"/>
          <w:szCs w:val="18"/>
        </w:rPr>
        <w:t>HBS-TEC-2026-02  |  18 pages + 6 Exhibits  |  March 2026</w:t>
      </w:r>
    </w:p>
    <w:p w14:paraId="0375B967">
      <w:pPr>
        <w:spacing w:before="0" w:after="100"/>
      </w:pPr>
      <w:r>
        <w:rPr>
          <w:rFonts w:ascii="Arial" w:hAnsi="Arial" w:eastAsia="Arial" w:cs="Arial"/>
          <w:b/>
          <w:bCs/>
          <w:color w:val="2C3E50"/>
          <w:sz w:val="22"/>
          <w:szCs w:val="22"/>
        </w:rPr>
        <w:t xml:space="preserve">SETTING: </w:t>
      </w:r>
      <w:r>
        <w:rPr>
          <w:rFonts w:ascii="Times New Roman" w:hAnsi="Times New Roman" w:eastAsia="Times New Roman" w:cs="Times New Roman"/>
          <w:sz w:val="22"/>
          <w:szCs w:val="22"/>
        </w:rPr>
        <w:t>OpenAI, Inc. — San Francisco and Abilene, Texas. March 2026.</w:t>
      </w:r>
    </w:p>
    <w:p w14:paraId="004409B5">
      <w:pPr>
        <w:spacing w:before="0" w:after="100"/>
      </w:pPr>
      <w:r>
        <w:rPr>
          <w:rFonts w:ascii="Arial" w:hAnsi="Arial" w:eastAsia="Arial" w:cs="Arial"/>
          <w:b/>
          <w:bCs/>
          <w:color w:val="2C3E50"/>
          <w:sz w:val="22"/>
          <w:szCs w:val="22"/>
        </w:rPr>
        <w:t xml:space="preserve">PROTAGONIST: </w:t>
      </w:r>
      <w:r>
        <w:rPr>
          <w:rFonts w:ascii="Times New Roman" w:hAnsi="Times New Roman" w:eastAsia="Times New Roman" w:cs="Times New Roman"/>
          <w:sz w:val="22"/>
          <w:szCs w:val="22"/>
        </w:rPr>
        <w:t>Sam Altman, CEO of OpenAI, and the OpenAI Board of Directors.</w:t>
      </w:r>
    </w:p>
    <w:p w14:paraId="59329903">
      <w:pPr>
        <w:spacing w:before="0" w:after="100"/>
      </w:pPr>
      <w:r>
        <w:rPr>
          <w:rFonts w:ascii="Arial" w:hAnsi="Arial" w:eastAsia="Arial" w:cs="Arial"/>
          <w:b/>
          <w:bCs/>
          <w:color w:val="2C3E50"/>
          <w:sz w:val="22"/>
          <w:szCs w:val="22"/>
        </w:rPr>
        <w:t xml:space="preserve">CENTRAL DILEMMA: </w:t>
      </w:r>
      <w:r>
        <w:rPr>
          <w:rFonts w:ascii="Times New Roman" w:hAnsi="Times New Roman" w:eastAsia="Times New Roman" w:cs="Times New Roman"/>
          <w:sz w:val="22"/>
          <w:szCs w:val="22"/>
        </w:rPr>
        <w:t>OpenAI has become the world's most visible AI company — 900 million weekly ChatGPT users, the largest private data center buildout in history, and a $300 billion valuation — without ever publishing a sustainability report, disclosing its total electricity consumption, or making a binding net-zero commitment. A formal U.S. Senate letter demanding accountability has arrived. Competitors have signed landmark nuclear deals and published detailed environmental disclosures. The board must decide how to respond — and in responding, must confront what "benefiting humanity" means when the technology consuming more electricity than many nations has no formal plan to account for that consumption.</w:t>
      </w:r>
    </w:p>
    <w:p w14:paraId="3B9B0A0C">
      <w:pPr>
        <w:spacing w:before="0" w:after="100"/>
      </w:pPr>
      <w:r>
        <w:rPr>
          <w:rFonts w:ascii="Arial" w:hAnsi="Arial" w:eastAsia="Arial" w:cs="Arial"/>
          <w:b/>
          <w:bCs/>
          <w:color w:val="2C3E50"/>
          <w:sz w:val="22"/>
          <w:szCs w:val="22"/>
        </w:rPr>
        <w:t xml:space="preserve">CASE TYPE: </w:t>
      </w:r>
      <w:r>
        <w:rPr>
          <w:rFonts w:ascii="Times New Roman" w:hAnsi="Times New Roman" w:eastAsia="Times New Roman" w:cs="Times New Roman"/>
          <w:sz w:val="22"/>
          <w:szCs w:val="22"/>
        </w:rPr>
        <w:t>Decision Case (Type 1) with strong Evaluation Case elements — students must assess both what OpenAI should do and whether prior choices were defensible.</w:t>
      </w:r>
    </w:p>
    <w:p w14:paraId="07A73930">
      <w:pPr>
        <w:spacing w:before="0" w:after="100"/>
      </w:pPr>
      <w:r>
        <w:rPr>
          <w:rFonts w:ascii="Arial" w:hAnsi="Arial" w:eastAsia="Arial" w:cs="Arial"/>
          <w:b/>
          <w:bCs/>
          <w:color w:val="2C3E50"/>
          <w:sz w:val="22"/>
          <w:szCs w:val="22"/>
        </w:rPr>
        <w:t xml:space="preserve">DOMAIN: </w:t>
      </w:r>
      <w:r>
        <w:rPr>
          <w:rFonts w:ascii="Times New Roman" w:hAnsi="Times New Roman" w:eastAsia="Times New Roman" w:cs="Times New Roman"/>
          <w:sz w:val="22"/>
          <w:szCs w:val="22"/>
        </w:rPr>
        <w:t>Technology Strategy / AI Ethics / Corporate Governance / Sustainability / Regulatory Affairs.</w:t>
      </w:r>
    </w:p>
    <w:p w14:paraId="67FBAB40">
      <w:pPr>
        <w:spacing w:before="0" w:after="100"/>
      </w:pPr>
      <w:r>
        <w:rPr>
          <w:rFonts w:ascii="Arial" w:hAnsi="Arial" w:eastAsia="Arial" w:cs="Arial"/>
          <w:b/>
          <w:bCs/>
          <w:color w:val="2C3E50"/>
          <w:sz w:val="22"/>
          <w:szCs w:val="22"/>
        </w:rPr>
        <w:t xml:space="preserve">LEARNING OBJECTIVES: </w:t>
      </w:r>
      <w:r>
        <w:rPr>
          <w:rFonts w:ascii="Times New Roman" w:hAnsi="Times New Roman" w:eastAsia="Times New Roman" w:cs="Times New Roman"/>
          <w:sz w:val="22"/>
          <w:szCs w:val="22"/>
        </w:rPr>
        <w:t>(1) Analyze the gap between corporate mission statements and operational accountability, using real data; (2) Evaluate sustainability disclosure as a strategic and governance choice, not merely a compliance function; (3) Apply competitive analysis to assess whether OpenAI's disclosure gap is a liability or a defensible position; (4) Distinguish between RECs, nuclear PPAs, and physical decarbonization as energy strategies; (5) Assess the role of regulatory pressure in shaping voluntary corporate action.</w:t>
      </w:r>
    </w:p>
    <w:p w14:paraId="5C3A142D">
      <w:pPr>
        <w:spacing w:before="0" w:after="100"/>
      </w:pPr>
      <w:r>
        <w:rPr>
          <w:rFonts w:ascii="Arial" w:hAnsi="Arial" w:eastAsia="Arial" w:cs="Arial"/>
          <w:b/>
          <w:bCs/>
          <w:color w:val="2C3E50"/>
          <w:sz w:val="22"/>
          <w:szCs w:val="22"/>
        </w:rPr>
        <w:t xml:space="preserve">SUGGESTED COURSES: </w:t>
      </w:r>
      <w:r>
        <w:rPr>
          <w:rFonts w:ascii="Times New Roman" w:hAnsi="Times New Roman" w:eastAsia="Times New Roman" w:cs="Times New Roman"/>
          <w:sz w:val="22"/>
          <w:szCs w:val="22"/>
        </w:rPr>
        <w:t>Strategic Management (MBA Year 1 and 2); Technology Strategy; Corporate Sustainability and ESG; AI Strategy and Governance; Business Ethics; Energy and Climate Policy; Executive Education programs on Digital Transformation and Corporate Responsibility.</w:t>
      </w:r>
    </w:p>
    <w:p w14:paraId="16B43DE2">
      <w:pPr>
        <w:spacing w:before="0" w:after="80"/>
      </w:pPr>
      <w:r>
        <w:rPr>
          <w:rFonts w:ascii="Arial" w:hAnsi="Arial" w:eastAsia="Arial" w:cs="Arial"/>
          <w:b/>
          <w:bCs/>
          <w:color w:val="2C3E50"/>
          <w:sz w:val="22"/>
          <w:szCs w:val="22"/>
        </w:rPr>
        <w:t xml:space="preserve">TEACHING NOTE: </w:t>
      </w:r>
      <w:r>
        <w:rPr>
          <w:rFonts w:ascii="Times New Roman" w:hAnsi="Times New Roman" w:eastAsia="Times New Roman" w:cs="Times New Roman"/>
          <w:sz w:val="22"/>
          <w:szCs w:val="22"/>
        </w:rPr>
        <w:t>Included as a separate confidential section. 90-minute board plan with full discussion guide, model answers, and quantitative analysis scaffold.</w:t>
      </w:r>
    </w:p>
    <w:p w14:paraId="6ABD0001">
      <w:pPr>
        <w:sectPr>
          <w:headerReference r:id="rId5" w:type="default"/>
          <w:footerReference r:id="rId6" w:type="default"/>
          <w:pgSz w:w="12240" w:h="15840"/>
          <w:pgMar w:top="1440" w:right="1440" w:bottom="1440" w:left="1440" w:header="708" w:footer="708" w:gutter="0"/>
          <w:cols w:space="720" w:num="1"/>
          <w:docGrid w:linePitch="360" w:charSpace="0"/>
        </w:sectPr>
      </w:pPr>
    </w:p>
    <w:p w14:paraId="02DA5D98">
      <w:pPr>
        <w:spacing w:before="0" w:after="0"/>
      </w:pPr>
      <w:r>
        <w:br w:type="page"/>
      </w:r>
    </w:p>
    <w:p w14:paraId="38D02688">
      <w:pPr>
        <w:spacing w:before="0" w:after="80"/>
        <w:jc w:val="center"/>
      </w:pPr>
      <w:r>
        <w:rPr>
          <w:rFonts w:ascii="Arial" w:hAnsi="Arial" w:eastAsia="Arial" w:cs="Arial"/>
          <w:b/>
          <w:bCs/>
          <w:color w:val="E74C3C"/>
          <w:sz w:val="28"/>
          <w:szCs w:val="28"/>
        </w:rPr>
        <w:t>⚠  TEACHING NOTE — STRICTLY CONFIDENTIAL</w:t>
      </w:r>
    </w:p>
    <w:p w14:paraId="6C082501">
      <w:pPr>
        <w:spacing w:before="0" w:after="40"/>
        <w:jc w:val="center"/>
      </w:pPr>
      <w:r>
        <w:rPr>
          <w:rFonts w:ascii="Arial" w:hAnsi="Arial" w:eastAsia="Arial" w:cs="Arial"/>
          <w:color w:val="888888"/>
          <w:sz w:val="20"/>
          <w:szCs w:val="20"/>
        </w:rPr>
        <w:t>NOT FOR DISTRIBUTION TO STUDENTS</w:t>
      </w:r>
    </w:p>
    <w:p w14:paraId="0F1955D6">
      <w:pPr>
        <w:spacing w:before="0" w:after="300"/>
        <w:jc w:val="center"/>
      </w:pPr>
      <w:r>
        <w:rPr>
          <w:rFonts w:ascii="Arial" w:hAnsi="Arial" w:eastAsia="Arial" w:cs="Arial"/>
          <w:i/>
          <w:iCs/>
          <w:color w:val="888888"/>
          <w:sz w:val="18"/>
          <w:szCs w:val="18"/>
        </w:rPr>
        <w:t>Case: THE PRICE OF INTELLIGENCE: OPENAI AND THE ENERGY PARADOX  |  HBS-TEC-2026-02</w:t>
      </w:r>
    </w:p>
    <w:p w14:paraId="172BA1B0">
      <w:pPr>
        <w:pBdr>
          <w:bottom w:val="single" w:color="C0392B" w:sz="6" w:space="4"/>
        </w:pBdr>
        <w:spacing w:before="420" w:after="140"/>
      </w:pPr>
      <w:r>
        <w:rPr>
          <w:rFonts w:ascii="Arial" w:hAnsi="Arial" w:eastAsia="Arial" w:cs="Arial"/>
          <w:b/>
          <w:bCs/>
          <w:color w:val="1A1A2E"/>
          <w:sz w:val="30"/>
          <w:szCs w:val="30"/>
        </w:rPr>
        <w:t>CASE OVERVIEW AND PEDAGOGICAL DISTINCTIVE</w:t>
      </w:r>
    </w:p>
    <w:p w14:paraId="3EFB1F77">
      <w:pPr>
        <w:spacing w:before="0" w:after="160"/>
        <w:jc w:val="both"/>
      </w:pPr>
      <w:r>
        <w:rPr>
          <w:rFonts w:ascii="Times New Roman" w:hAnsi="Times New Roman" w:eastAsia="Times New Roman" w:cs="Times New Roman"/>
          <w:b w:val="0"/>
          <w:bCs w:val="0"/>
          <w:color w:val="000000"/>
          <w:sz w:val="24"/>
          <w:szCs w:val="24"/>
        </w:rPr>
        <w:t>This is a Decision Case set in March 2026 at a real company — OpenAI — facing a real, documented accountability gap: the world's most prominent AI company has no sustainability report, no formal carbon disclosure, and no binding energy commitment, despite operating infrastructure that could require electricity equivalent to a medium-sized nation's consumption by 2030. A formal U.S. Senate letter has arrived, making the situation public and forcing a board-level decision.</w:t>
      </w:r>
    </w:p>
    <w:p w14:paraId="238EADF0">
      <w:pPr>
        <w:spacing w:before="0" w:after="160"/>
        <w:jc w:val="both"/>
      </w:pPr>
      <w:r>
        <w:rPr>
          <w:rFonts w:ascii="Times New Roman" w:hAnsi="Times New Roman" w:eastAsia="Times New Roman" w:cs="Times New Roman"/>
          <w:b w:val="0"/>
          <w:bCs w:val="0"/>
          <w:color w:val="000000"/>
          <w:sz w:val="24"/>
          <w:szCs w:val="24"/>
        </w:rPr>
        <w:t>What makes this case unusual and powerful: the protagonist is real, the stakes are current, and the data — including Exhibit 2's energy cost trajectory and Exhibit 5's competitive comparison — are drawn from public sources. Students cannot dismiss the problem as hypothetical. The case forces them to grapple with the gap between stated mission ("ensuring that artificial general intelligence benefits all of humanity") and operational accountability.</w:t>
      </w:r>
    </w:p>
    <w:p w14:paraId="284A578A">
      <w:pPr>
        <w:spacing w:before="0" w:after="160"/>
        <w:jc w:val="both"/>
      </w:pPr>
      <w:r>
        <w:rPr>
          <w:rFonts w:ascii="Times New Roman" w:hAnsi="Times New Roman" w:eastAsia="Times New Roman" w:cs="Times New Roman"/>
          <w:b w:val="0"/>
          <w:bCs w:val="0"/>
          <w:color w:val="000000"/>
          <w:sz w:val="24"/>
          <w:szCs w:val="24"/>
        </w:rPr>
        <w:t>The case is intentionally designed to avoid an obvious "right answer." Option A (disclose and commit) appears virtuous but requires acknowledging a historical gap that could embarrass the company. Option B (efficiency-led) defers accountability in favor of technical optimism. Option C (regulatory leadership) is bold but risks being perceived as deflection. Students who dig into Exhibit 6's blank scoring matrix will find that the choice depends heavily on which stakeholders and which time horizon the board prioritizes.</w:t>
      </w:r>
    </w:p>
    <w:p w14:paraId="7B2BCA96">
      <w:pPr>
        <w:pBdr>
          <w:bottom w:val="single" w:color="C0392B" w:sz="6" w:space="4"/>
        </w:pBdr>
        <w:spacing w:before="420" w:after="140"/>
      </w:pPr>
      <w:r>
        <w:rPr>
          <w:rFonts w:ascii="Arial" w:hAnsi="Arial" w:eastAsia="Arial" w:cs="Arial"/>
          <w:b/>
          <w:bCs/>
          <w:color w:val="1A1A2E"/>
          <w:sz w:val="30"/>
          <w:szCs w:val="30"/>
        </w:rPr>
        <w:t>LEARNING OBJECTIVES</w:t>
      </w:r>
    </w:p>
    <w:p w14:paraId="29B61A34">
      <w:pPr>
        <w:spacing w:before="0" w:after="160"/>
        <w:jc w:val="both"/>
      </w:pPr>
      <w:r>
        <w:rPr>
          <w:rFonts w:ascii="Times New Roman" w:hAnsi="Times New Roman" w:eastAsia="Times New Roman" w:cs="Times New Roman"/>
          <w:b w:val="0"/>
          <w:bCs w:val="0"/>
          <w:color w:val="000000"/>
          <w:sz w:val="24"/>
          <w:szCs w:val="24"/>
        </w:rPr>
        <w:t>1. Analyze the gap between an AI company's stated mission and its operational environmental accountability, using publicly available quantitative evidence.</w:t>
      </w:r>
    </w:p>
    <w:p w14:paraId="7EAB0962">
      <w:pPr>
        <w:spacing w:before="0" w:after="160"/>
        <w:jc w:val="both"/>
      </w:pPr>
      <w:r>
        <w:rPr>
          <w:rFonts w:ascii="Times New Roman" w:hAnsi="Times New Roman" w:eastAsia="Times New Roman" w:cs="Times New Roman"/>
          <w:b w:val="0"/>
          <w:bCs w:val="0"/>
          <w:color w:val="000000"/>
          <w:sz w:val="24"/>
          <w:szCs w:val="24"/>
        </w:rPr>
        <w:t>2. Evaluate sustainability disclosure as a strategic choice — with competitive, regulatory, and governance dimensions — rather than a compliance checkbox.</w:t>
      </w:r>
    </w:p>
    <w:p w14:paraId="299F03AF">
      <w:pPr>
        <w:spacing w:before="0" w:after="160"/>
        <w:jc w:val="both"/>
      </w:pPr>
      <w:r>
        <w:rPr>
          <w:rFonts w:ascii="Times New Roman" w:hAnsi="Times New Roman" w:eastAsia="Times New Roman" w:cs="Times New Roman"/>
          <w:b w:val="0"/>
          <w:bCs w:val="0"/>
          <w:color w:val="000000"/>
          <w:sz w:val="24"/>
          <w:szCs w:val="24"/>
        </w:rPr>
        <w:t>3. Apply competitive analysis (Exhibit 5) to assess whether OpenAI's disclosure gap is a material vulnerability or a defensible strategic deferral.</w:t>
      </w:r>
    </w:p>
    <w:p w14:paraId="6B3AC265">
      <w:pPr>
        <w:spacing w:before="0" w:after="160"/>
        <w:jc w:val="both"/>
      </w:pPr>
      <w:r>
        <w:rPr>
          <w:rFonts w:ascii="Times New Roman" w:hAnsi="Times New Roman" w:eastAsia="Times New Roman" w:cs="Times New Roman"/>
          <w:b w:val="0"/>
          <w:bCs w:val="0"/>
          <w:color w:val="000000"/>
          <w:sz w:val="24"/>
          <w:szCs w:val="24"/>
        </w:rPr>
        <w:t>4. Distinguish rigorously between RECs, physical renewable energy, nuclear power purchase agreements, and gas-based generation — and understand why this distinction matters to institutional investors and regulators.</w:t>
      </w:r>
    </w:p>
    <w:p w14:paraId="33D3FB15">
      <w:pPr>
        <w:spacing w:before="0" w:after="160"/>
        <w:jc w:val="both"/>
      </w:pPr>
      <w:r>
        <w:rPr>
          <w:rFonts w:ascii="Times New Roman" w:hAnsi="Times New Roman" w:eastAsia="Times New Roman" w:cs="Times New Roman"/>
          <w:b w:val="0"/>
          <w:bCs w:val="0"/>
          <w:color w:val="000000"/>
          <w:sz w:val="24"/>
          <w:szCs w:val="24"/>
        </w:rPr>
        <w:t>5. Design a board recommendation for a specific, time-bounded action plan with stakeholder mapping and implementation risk analysis.</w:t>
      </w:r>
    </w:p>
    <w:p w14:paraId="684184E4">
      <w:pPr>
        <w:pBdr>
          <w:bottom w:val="single" w:color="C0392B" w:sz="6" w:space="4"/>
        </w:pBdr>
        <w:spacing w:before="420" w:after="140"/>
      </w:pPr>
      <w:r>
        <w:rPr>
          <w:rFonts w:ascii="Arial" w:hAnsi="Arial" w:eastAsia="Arial" w:cs="Arial"/>
          <w:b/>
          <w:bCs/>
          <w:color w:val="1A1A2E"/>
          <w:sz w:val="30"/>
          <w:szCs w:val="30"/>
        </w:rPr>
        <w:t>ADVANCE PREPARATION QUESTIONS (Distribute to Students Before Class)</w:t>
      </w:r>
    </w:p>
    <w:p w14:paraId="10BC280A">
      <w:pPr>
        <w:spacing w:before="0" w:after="160"/>
        <w:jc w:val="both"/>
      </w:pPr>
      <w:r>
        <w:rPr>
          <w:rFonts w:ascii="Times New Roman" w:hAnsi="Times New Roman" w:eastAsia="Times New Roman" w:cs="Times New Roman"/>
          <w:b w:val="0"/>
          <w:bCs w:val="0"/>
          <w:color w:val="000000"/>
          <w:sz w:val="24"/>
          <w:szCs w:val="24"/>
        </w:rPr>
        <w:t>1. Based on Exhibits 1 and 2, what is your best estimate of OpenAI's total electricity bill in FY2025? What percentage of its revenue does this represent, and what does that imply for the company's path to profitability?</w:t>
      </w:r>
    </w:p>
    <w:p w14:paraId="1993EB5B">
      <w:pPr>
        <w:spacing w:before="0" w:after="160"/>
        <w:jc w:val="both"/>
      </w:pPr>
      <w:r>
        <w:rPr>
          <w:rFonts w:ascii="Times New Roman" w:hAnsi="Times New Roman" w:eastAsia="Times New Roman" w:cs="Times New Roman"/>
          <w:b w:val="0"/>
          <w:bCs w:val="0"/>
          <w:color w:val="000000"/>
          <w:sz w:val="24"/>
          <w:szCs w:val="24"/>
        </w:rPr>
        <w:t>2. Review Exhibit 5. OpenAI's competitors — Microsoft, Google, Amazon, Meta — have all published sustainability reports and made binding clean energy commitments. OpenAI has not. Is this a serious strategic vulnerability, or a defensible choice for a loss-making private company? What changes when OpenAI eventually goes public?</w:t>
      </w:r>
    </w:p>
    <w:p w14:paraId="5292BF86">
      <w:pPr>
        <w:spacing w:before="0" w:after="160"/>
        <w:jc w:val="both"/>
      </w:pPr>
      <w:r>
        <w:rPr>
          <w:rFonts w:ascii="Times New Roman" w:hAnsi="Times New Roman" w:eastAsia="Times New Roman" w:cs="Times New Roman"/>
          <w:b w:val="0"/>
          <w:bCs w:val="0"/>
          <w:color w:val="000000"/>
          <w:sz w:val="24"/>
          <w:szCs w:val="24"/>
        </w:rPr>
        <w:t>3. Sam Altman's per-query energy disclosure (0.34 Wh) focuses on individual query impact. Using the data in Exhibit 2, aggregate this to an annual figure. Does the per-query framing change your assessment of OpenAI's environmental responsibility?</w:t>
      </w:r>
    </w:p>
    <w:p w14:paraId="5FA289F8">
      <w:pPr>
        <w:spacing w:before="0" w:after="160"/>
        <w:jc w:val="both"/>
      </w:pPr>
      <w:r>
        <w:rPr>
          <w:rFonts w:ascii="Times New Roman" w:hAnsi="Times New Roman" w:eastAsia="Times New Roman" w:cs="Times New Roman"/>
          <w:b w:val="0"/>
          <w:bCs w:val="0"/>
          <w:color w:val="000000"/>
          <w:sz w:val="24"/>
          <w:szCs w:val="24"/>
        </w:rPr>
        <w:t>4. Which of the three options would you recommend to the OpenAI board? Be specific: What is the first action you would take in the next 30 days, who owns it, and what does success look like at 90 days and 12 months?</w:t>
      </w:r>
    </w:p>
    <w:p w14:paraId="0CF7D032">
      <w:pPr>
        <w:pBdr>
          <w:bottom w:val="single" w:color="C0392B" w:sz="6" w:space="4"/>
        </w:pBdr>
        <w:spacing w:before="420" w:after="140"/>
      </w:pPr>
      <w:r>
        <w:rPr>
          <w:rFonts w:ascii="Arial" w:hAnsi="Arial" w:eastAsia="Arial" w:cs="Arial"/>
          <w:b/>
          <w:bCs/>
          <w:color w:val="1A1A2E"/>
          <w:sz w:val="30"/>
          <w:szCs w:val="30"/>
        </w:rPr>
        <w:t>90-MINUTE BOARD PLAN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7"/>
        <w:gridCol w:w="1063"/>
        <w:gridCol w:w="1980"/>
        <w:gridCol w:w="2163"/>
        <w:gridCol w:w="3447"/>
      </w:tblGrid>
      <w:tr w14:paraId="19A05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6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0A2AE4E6">
            <w:r>
              <w:rPr>
                <w:rFonts w:ascii="Arial" w:hAnsi="Arial" w:eastAsia="Arial" w:cs="Arial"/>
                <w:b/>
                <w:bCs/>
                <w:color w:val="FFFFFF"/>
                <w:sz w:val="20"/>
                <w:szCs w:val="20"/>
              </w:rPr>
              <w:t>Time</w:t>
            </w:r>
          </w:p>
        </w:tc>
        <w:tc>
          <w:tcPr>
            <w:tcW w:w="68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0759F63A">
            <w:r>
              <w:rPr>
                <w:rFonts w:ascii="Arial" w:hAnsi="Arial" w:eastAsia="Arial" w:cs="Arial"/>
                <w:b/>
                <w:bCs/>
                <w:color w:val="FFFFFF"/>
                <w:sz w:val="20"/>
                <w:szCs w:val="20"/>
              </w:rPr>
              <w:t>Duration</w:t>
            </w:r>
          </w:p>
        </w:tc>
        <w:tc>
          <w:tcPr>
            <w:tcW w:w="220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2FA38ECA">
            <w:r>
              <w:rPr>
                <w:rFonts w:ascii="Arial" w:hAnsi="Arial" w:eastAsia="Arial" w:cs="Arial"/>
                <w:b/>
                <w:bCs/>
                <w:color w:val="FFFFFF"/>
                <w:sz w:val="20"/>
                <w:szCs w:val="20"/>
              </w:rPr>
              <w:t>Activity</w:t>
            </w:r>
          </w:p>
        </w:tc>
        <w:tc>
          <w:tcPr>
            <w:tcW w:w="104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4DC0A275">
            <w:r>
              <w:rPr>
                <w:rFonts w:ascii="Arial" w:hAnsi="Arial" w:eastAsia="Arial" w:cs="Arial"/>
                <w:b/>
                <w:bCs/>
                <w:color w:val="FFFFFF"/>
                <w:sz w:val="20"/>
                <w:szCs w:val="20"/>
              </w:rPr>
              <w:t>Board Pasture</w:t>
            </w:r>
          </w:p>
        </w:tc>
        <w:tc>
          <w:tcPr>
            <w:tcW w:w="4880" w:type="dxa"/>
            <w:tcBorders>
              <w:top w:val="single" w:color="CCCCCC" w:sz="0" w:space="0"/>
              <w:left w:val="single" w:color="CCCCCC" w:sz="0" w:space="0"/>
              <w:bottom w:val="single" w:color="CCCCCC" w:sz="0" w:space="0"/>
              <w:right w:val="single" w:color="CCCCCC" w:sz="0" w:space="0"/>
            </w:tcBorders>
            <w:shd w:val="clear" w:color="auto" w:fill="1A1A2E"/>
            <w:tcMar>
              <w:top w:w="80" w:type="dxa"/>
              <w:left w:w="120" w:type="dxa"/>
              <w:bottom w:w="80" w:type="dxa"/>
              <w:right w:w="120" w:type="dxa"/>
            </w:tcMar>
          </w:tcPr>
          <w:p w14:paraId="2D39103D">
            <w:r>
              <w:rPr>
                <w:rFonts w:ascii="Arial" w:hAnsi="Arial" w:eastAsia="Arial" w:cs="Arial"/>
                <w:b/>
                <w:bCs/>
                <w:color w:val="FFFFFF"/>
                <w:sz w:val="20"/>
                <w:szCs w:val="20"/>
              </w:rPr>
              <w:t>Key Instructor Move</w:t>
            </w:r>
          </w:p>
        </w:tc>
      </w:tr>
      <w:tr w14:paraId="1C4EA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302EDA8">
            <w:r>
              <w:rPr>
                <w:rFonts w:ascii="Times New Roman" w:hAnsi="Times New Roman" w:eastAsia="Times New Roman" w:cs="Times New Roman"/>
                <w:b w:val="0"/>
                <w:bCs w:val="0"/>
                <w:sz w:val="20"/>
                <w:szCs w:val="20"/>
              </w:rPr>
              <w:t>0:00</w:t>
            </w:r>
          </w:p>
        </w:tc>
        <w:tc>
          <w:tcPr>
            <w:tcW w:w="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D2832DD">
            <w:r>
              <w:rPr>
                <w:rFonts w:ascii="Times New Roman" w:hAnsi="Times New Roman" w:eastAsia="Times New Roman" w:cs="Times New Roman"/>
                <w:b w:val="0"/>
                <w:bCs w:val="0"/>
                <w:sz w:val="20"/>
                <w:szCs w:val="20"/>
              </w:rPr>
              <w:t>5 min</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EBFAFB5">
            <w:r>
              <w:rPr>
                <w:rFonts w:ascii="Times New Roman" w:hAnsi="Times New Roman" w:eastAsia="Times New Roman" w:cs="Times New Roman"/>
                <w:b w:val="0"/>
                <w:bCs w:val="0"/>
                <w:sz w:val="20"/>
                <w:szCs w:val="20"/>
              </w:rPr>
              <w:t>Cold open: "You are Sam Altman. It is the morning after the Senate letter. What is your first call — and to whom?"</w:t>
            </w:r>
          </w:p>
        </w:tc>
        <w:tc>
          <w:tcPr>
            <w:tcW w:w="10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7C70DF3">
            <w:r>
              <w:rPr>
                <w:rFonts w:ascii="Times New Roman" w:hAnsi="Times New Roman" w:eastAsia="Times New Roman" w:cs="Times New Roman"/>
                <w:b w:val="0"/>
                <w:bCs w:val="0"/>
                <w:sz w:val="20"/>
                <w:szCs w:val="20"/>
              </w:rPr>
              <w:t>SITUATION</w:t>
            </w:r>
          </w:p>
        </w:tc>
        <w:tc>
          <w:tcPr>
            <w:tcW w:w="48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2815C5C">
            <w:r>
              <w:rPr>
                <w:rFonts w:ascii="Times New Roman" w:hAnsi="Times New Roman" w:eastAsia="Times New Roman" w:cs="Times New Roman"/>
                <w:b w:val="0"/>
                <w:bCs w:val="0"/>
                <w:sz w:val="20"/>
                <w:szCs w:val="20"/>
              </w:rPr>
              <w:t>Avoid correction; build the pressure map: investors, regulators, press, employees</w:t>
            </w:r>
          </w:p>
        </w:tc>
      </w:tr>
      <w:tr w14:paraId="5A410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2F4EB6E7">
            <w:r>
              <w:rPr>
                <w:rFonts w:ascii="Times New Roman" w:hAnsi="Times New Roman" w:eastAsia="Times New Roman" w:cs="Times New Roman"/>
                <w:b w:val="0"/>
                <w:bCs w:val="0"/>
                <w:sz w:val="20"/>
                <w:szCs w:val="20"/>
              </w:rPr>
              <w:t>0:05</w:t>
            </w:r>
          </w:p>
        </w:tc>
        <w:tc>
          <w:tcPr>
            <w:tcW w:w="68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51B79A0E">
            <w:r>
              <w:rPr>
                <w:rFonts w:ascii="Times New Roman" w:hAnsi="Times New Roman" w:eastAsia="Times New Roman" w:cs="Times New Roman"/>
                <w:b w:val="0"/>
                <w:bCs w:val="0"/>
                <w:sz w:val="20"/>
                <w:szCs w:val="20"/>
              </w:rPr>
              <w:t>15 min</w:t>
            </w:r>
          </w:p>
        </w:tc>
        <w:tc>
          <w:tcPr>
            <w:tcW w:w="22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64C1DA26">
            <w:r>
              <w:rPr>
                <w:rFonts w:ascii="Times New Roman" w:hAnsi="Times New Roman" w:eastAsia="Times New Roman" w:cs="Times New Roman"/>
                <w:b w:val="0"/>
                <w:bCs w:val="0"/>
                <w:sz w:val="20"/>
                <w:szCs w:val="20"/>
              </w:rPr>
              <w:t>Situation analysis: What do we actually know about OpenAI's energy footprint?</w:t>
            </w:r>
          </w:p>
        </w:tc>
        <w:tc>
          <w:tcPr>
            <w:tcW w:w="104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11A9836E">
            <w:r>
              <w:rPr>
                <w:rFonts w:ascii="Times New Roman" w:hAnsi="Times New Roman" w:eastAsia="Times New Roman" w:cs="Times New Roman"/>
                <w:b w:val="0"/>
                <w:bCs w:val="0"/>
                <w:sz w:val="20"/>
                <w:szCs w:val="20"/>
              </w:rPr>
              <w:t>DATA</w:t>
            </w:r>
          </w:p>
        </w:tc>
        <w:tc>
          <w:tcPr>
            <w:tcW w:w="488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35C0E634">
            <w:r>
              <w:rPr>
                <w:rFonts w:ascii="Times New Roman" w:hAnsi="Times New Roman" w:eastAsia="Times New Roman" w:cs="Times New Roman"/>
                <w:b w:val="0"/>
                <w:bCs w:val="0"/>
                <w:sz w:val="20"/>
                <w:szCs w:val="20"/>
              </w:rPr>
              <w:t>Drive to Exhibit 2: force students to do the aggregation math live. "What does 0.34 Wh × 2.5 billion add up to?" Surface the gap between per-query framing and aggregate reality</w:t>
            </w:r>
          </w:p>
        </w:tc>
      </w:tr>
      <w:tr w14:paraId="3EA41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6F14520">
            <w:r>
              <w:rPr>
                <w:rFonts w:ascii="Times New Roman" w:hAnsi="Times New Roman" w:eastAsia="Times New Roman" w:cs="Times New Roman"/>
                <w:b w:val="0"/>
                <w:bCs w:val="0"/>
                <w:sz w:val="20"/>
                <w:szCs w:val="20"/>
              </w:rPr>
              <w:t>0:20</w:t>
            </w:r>
          </w:p>
        </w:tc>
        <w:tc>
          <w:tcPr>
            <w:tcW w:w="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A1B6546">
            <w:r>
              <w:rPr>
                <w:rFonts w:ascii="Times New Roman" w:hAnsi="Times New Roman" w:eastAsia="Times New Roman" w:cs="Times New Roman"/>
                <w:b w:val="0"/>
                <w:bCs w:val="0"/>
                <w:sz w:val="20"/>
                <w:szCs w:val="20"/>
              </w:rPr>
              <w:t>15 min</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1CF6243">
            <w:r>
              <w:rPr>
                <w:rFonts w:ascii="Times New Roman" w:hAnsi="Times New Roman" w:eastAsia="Times New Roman" w:cs="Times New Roman"/>
                <w:b w:val="0"/>
                <w:bCs w:val="0"/>
                <w:sz w:val="20"/>
                <w:szCs w:val="20"/>
              </w:rPr>
              <w:t>Competitive context: Why have Microsoft/Google made nuclear deals? Is this PR or strategy?</w:t>
            </w:r>
          </w:p>
        </w:tc>
        <w:tc>
          <w:tcPr>
            <w:tcW w:w="10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15BD859">
            <w:r>
              <w:rPr>
                <w:rFonts w:ascii="Times New Roman" w:hAnsi="Times New Roman" w:eastAsia="Times New Roman" w:cs="Times New Roman"/>
                <w:b w:val="0"/>
                <w:bCs w:val="0"/>
                <w:sz w:val="20"/>
                <w:szCs w:val="20"/>
              </w:rPr>
              <w:t>COMPETITION</w:t>
            </w:r>
          </w:p>
        </w:tc>
        <w:tc>
          <w:tcPr>
            <w:tcW w:w="48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42B0558">
            <w:r>
              <w:rPr>
                <w:rFonts w:ascii="Times New Roman" w:hAnsi="Times New Roman" w:eastAsia="Times New Roman" w:cs="Times New Roman"/>
                <w:b w:val="0"/>
                <w:bCs w:val="0"/>
                <w:sz w:val="20"/>
                <w:szCs w:val="20"/>
              </w:rPr>
              <w:t>Use Exhibit 5. Ask: "What does OpenAI have that Microsoft doesn't — and what does Microsoft have that OpenAI desperately needs right now?" The answer: OpenAI has the brand; Microsoft has the balance sheet and the clean energy deals.</w:t>
            </w:r>
          </w:p>
        </w:tc>
      </w:tr>
      <w:tr w14:paraId="457D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7200F199">
            <w:r>
              <w:rPr>
                <w:rFonts w:ascii="Times New Roman" w:hAnsi="Times New Roman" w:eastAsia="Times New Roman" w:cs="Times New Roman"/>
                <w:b w:val="0"/>
                <w:bCs w:val="0"/>
                <w:sz w:val="20"/>
                <w:szCs w:val="20"/>
              </w:rPr>
              <w:t>0:35</w:t>
            </w:r>
          </w:p>
        </w:tc>
        <w:tc>
          <w:tcPr>
            <w:tcW w:w="68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48850E4B">
            <w:r>
              <w:rPr>
                <w:rFonts w:ascii="Times New Roman" w:hAnsi="Times New Roman" w:eastAsia="Times New Roman" w:cs="Times New Roman"/>
                <w:b w:val="0"/>
                <w:bCs w:val="0"/>
                <w:sz w:val="20"/>
                <w:szCs w:val="20"/>
              </w:rPr>
              <w:t>5 min</w:t>
            </w:r>
          </w:p>
        </w:tc>
        <w:tc>
          <w:tcPr>
            <w:tcW w:w="22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5EB56BD4">
            <w:r>
              <w:rPr>
                <w:rFonts w:ascii="Times New Roman" w:hAnsi="Times New Roman" w:eastAsia="Times New Roman" w:cs="Times New Roman"/>
                <w:b w:val="0"/>
                <w:bCs w:val="0"/>
                <w:sz w:val="20"/>
                <w:szCs w:val="20"/>
              </w:rPr>
              <w:t>The mission question: Does "benefit humanity" include a responsibility to disclose environmental impact?</w:t>
            </w:r>
          </w:p>
        </w:tc>
        <w:tc>
          <w:tcPr>
            <w:tcW w:w="104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796CDCE1">
            <w:r>
              <w:rPr>
                <w:rFonts w:ascii="Times New Roman" w:hAnsi="Times New Roman" w:eastAsia="Times New Roman" w:cs="Times New Roman"/>
                <w:b w:val="0"/>
                <w:bCs w:val="0"/>
                <w:sz w:val="20"/>
                <w:szCs w:val="20"/>
              </w:rPr>
              <w:t>ETHICS</w:t>
            </w:r>
          </w:p>
        </w:tc>
        <w:tc>
          <w:tcPr>
            <w:tcW w:w="488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663F39A4">
            <w:r>
              <w:rPr>
                <w:rFonts w:ascii="Times New Roman" w:hAnsi="Times New Roman" w:eastAsia="Times New Roman" w:cs="Times New Roman"/>
                <w:b w:val="0"/>
                <w:bCs w:val="0"/>
                <w:sz w:val="20"/>
                <w:szCs w:val="20"/>
              </w:rPr>
              <w:t>One pointed question to room: "If OpenAI were a pharmaceutical company consuming this much of a scarce resource, would we expect disclosure?" Short, sharp, move on.</w:t>
            </w:r>
          </w:p>
        </w:tc>
      </w:tr>
      <w:tr w14:paraId="74F3A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F8576D7">
            <w:r>
              <w:rPr>
                <w:rFonts w:ascii="Times New Roman" w:hAnsi="Times New Roman" w:eastAsia="Times New Roman" w:cs="Times New Roman"/>
                <w:b w:val="0"/>
                <w:bCs w:val="0"/>
                <w:sz w:val="20"/>
                <w:szCs w:val="20"/>
              </w:rPr>
              <w:t>0:40</w:t>
            </w:r>
          </w:p>
        </w:tc>
        <w:tc>
          <w:tcPr>
            <w:tcW w:w="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0DB03B8">
            <w:r>
              <w:rPr>
                <w:rFonts w:ascii="Times New Roman" w:hAnsi="Times New Roman" w:eastAsia="Times New Roman" w:cs="Times New Roman"/>
                <w:b w:val="0"/>
                <w:bCs w:val="0"/>
                <w:sz w:val="20"/>
                <w:szCs w:val="20"/>
              </w:rPr>
              <w:t>20 min</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0A14CA5">
            <w:r>
              <w:rPr>
                <w:rFonts w:ascii="Times New Roman" w:hAnsi="Times New Roman" w:eastAsia="Times New Roman" w:cs="Times New Roman"/>
                <w:b w:val="0"/>
                <w:bCs w:val="0"/>
                <w:sz w:val="20"/>
                <w:szCs w:val="20"/>
              </w:rPr>
              <w:t>Option evaluation: Which option should the board choose?</w:t>
            </w:r>
          </w:p>
        </w:tc>
        <w:tc>
          <w:tcPr>
            <w:tcW w:w="10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8461B59">
            <w:r>
              <w:rPr>
                <w:rFonts w:ascii="Times New Roman" w:hAnsi="Times New Roman" w:eastAsia="Times New Roman" w:cs="Times New Roman"/>
                <w:b w:val="0"/>
                <w:bCs w:val="0"/>
                <w:sz w:val="20"/>
                <w:szCs w:val="20"/>
              </w:rPr>
              <w:t>OPTIONS</w:t>
            </w:r>
          </w:p>
        </w:tc>
        <w:tc>
          <w:tcPr>
            <w:tcW w:w="48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599F1B4">
            <w:r>
              <w:rPr>
                <w:rFonts w:ascii="Times New Roman" w:hAnsi="Times New Roman" w:eastAsia="Times New Roman" w:cs="Times New Roman"/>
                <w:b w:val="0"/>
                <w:bCs w:val="0"/>
                <w:sz w:val="20"/>
                <w:szCs w:val="20"/>
              </w:rPr>
              <w:t>Three-way divide: assign options, 3 minutes to prepare a 90-second pitch. Then structured debate. Push: "What's your first-30-day action?" and "What does this cost in actual dollars?"</w:t>
            </w:r>
          </w:p>
        </w:tc>
      </w:tr>
      <w:tr w14:paraId="42FA0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5103B1BB">
            <w:r>
              <w:rPr>
                <w:rFonts w:ascii="Times New Roman" w:hAnsi="Times New Roman" w:eastAsia="Times New Roman" w:cs="Times New Roman"/>
                <w:b w:val="0"/>
                <w:bCs w:val="0"/>
                <w:sz w:val="20"/>
                <w:szCs w:val="20"/>
              </w:rPr>
              <w:t>1:00</w:t>
            </w:r>
          </w:p>
        </w:tc>
        <w:tc>
          <w:tcPr>
            <w:tcW w:w="68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09FE2DF2">
            <w:r>
              <w:rPr>
                <w:rFonts w:ascii="Times New Roman" w:hAnsi="Times New Roman" w:eastAsia="Times New Roman" w:cs="Times New Roman"/>
                <w:b w:val="0"/>
                <w:bCs w:val="0"/>
                <w:sz w:val="20"/>
                <w:szCs w:val="20"/>
              </w:rPr>
              <w:t>12 min</w:t>
            </w:r>
          </w:p>
        </w:tc>
        <w:tc>
          <w:tcPr>
            <w:tcW w:w="22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4B3D09CE">
            <w:r>
              <w:rPr>
                <w:rFonts w:ascii="Times New Roman" w:hAnsi="Times New Roman" w:eastAsia="Times New Roman" w:cs="Times New Roman"/>
                <w:b w:val="0"/>
                <w:bCs w:val="0"/>
                <w:sz w:val="20"/>
                <w:szCs w:val="20"/>
              </w:rPr>
              <w:t>Stress test: What if DeepSeek-style efficiency gains make the energy problem self-correcting?</w:t>
            </w:r>
          </w:p>
        </w:tc>
        <w:tc>
          <w:tcPr>
            <w:tcW w:w="104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5A20DBD4">
            <w:r>
              <w:rPr>
                <w:rFonts w:ascii="Times New Roman" w:hAnsi="Times New Roman" w:eastAsia="Times New Roman" w:cs="Times New Roman"/>
                <w:b w:val="0"/>
                <w:bCs w:val="0"/>
                <w:sz w:val="20"/>
                <w:szCs w:val="20"/>
              </w:rPr>
              <w:t>CHALLENGE</w:t>
            </w:r>
          </w:p>
        </w:tc>
        <w:tc>
          <w:tcPr>
            <w:tcW w:w="488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47D2D76C">
            <w:r>
              <w:rPr>
                <w:rFonts w:ascii="Times New Roman" w:hAnsi="Times New Roman" w:eastAsia="Times New Roman" w:cs="Times New Roman"/>
                <w:b w:val="0"/>
                <w:bCs w:val="0"/>
                <w:sz w:val="20"/>
                <w:szCs w:val="20"/>
              </w:rPr>
              <w:t>Introduce the counter-argument from Option B: "If we can cut energy per query by 80% in 3 years, does the Senate letter matter?" Force students to assess probability and timeline.</w:t>
            </w:r>
          </w:p>
        </w:tc>
      </w:tr>
      <w:tr w14:paraId="261F0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BD2E34A">
            <w:r>
              <w:rPr>
                <w:rFonts w:ascii="Times New Roman" w:hAnsi="Times New Roman" w:eastAsia="Times New Roman" w:cs="Times New Roman"/>
                <w:b w:val="0"/>
                <w:bCs w:val="0"/>
                <w:sz w:val="20"/>
                <w:szCs w:val="20"/>
              </w:rPr>
              <w:t>1:12</w:t>
            </w:r>
          </w:p>
        </w:tc>
        <w:tc>
          <w:tcPr>
            <w:tcW w:w="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FAEDB17">
            <w:r>
              <w:rPr>
                <w:rFonts w:ascii="Times New Roman" w:hAnsi="Times New Roman" w:eastAsia="Times New Roman" w:cs="Times New Roman"/>
                <w:b w:val="0"/>
                <w:bCs w:val="0"/>
                <w:sz w:val="20"/>
                <w:szCs w:val="20"/>
              </w:rPr>
              <w:t>8 min</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3AC96BF">
            <w:r>
              <w:rPr>
                <w:rFonts w:ascii="Times New Roman" w:hAnsi="Times New Roman" w:eastAsia="Times New Roman" w:cs="Times New Roman"/>
                <w:b w:val="0"/>
                <w:bCs w:val="0"/>
                <w:sz w:val="20"/>
                <w:szCs w:val="20"/>
              </w:rPr>
              <w:t>Synthesis: What recommendation would you make?</w:t>
            </w:r>
          </w:p>
        </w:tc>
        <w:tc>
          <w:tcPr>
            <w:tcW w:w="10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FAECB2C">
            <w:r>
              <w:rPr>
                <w:rFonts w:ascii="Times New Roman" w:hAnsi="Times New Roman" w:eastAsia="Times New Roman" w:cs="Times New Roman"/>
                <w:b w:val="0"/>
                <w:bCs w:val="0"/>
                <w:sz w:val="20"/>
                <w:szCs w:val="20"/>
              </w:rPr>
              <w:t>RECOMMENDATION</w:t>
            </w:r>
          </w:p>
        </w:tc>
        <w:tc>
          <w:tcPr>
            <w:tcW w:w="48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B487BDF">
            <w:r>
              <w:rPr>
                <w:rFonts w:ascii="Times New Roman" w:hAnsi="Times New Roman" w:eastAsia="Times New Roman" w:cs="Times New Roman"/>
                <w:b w:val="0"/>
                <w:bCs w:val="0"/>
                <w:sz w:val="20"/>
                <w:szCs w:val="20"/>
              </w:rPr>
              <w:t>Cold-call 2–3 students who haven't spoken. Look for hybrid approaches. Ask: "What's the one thing you would NOT do?" often reveals more than what they would.</w:t>
            </w:r>
          </w:p>
        </w:tc>
      </w:tr>
      <w:tr w14:paraId="33C70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3EB58380">
            <w:r>
              <w:rPr>
                <w:rFonts w:ascii="Times New Roman" w:hAnsi="Times New Roman" w:eastAsia="Times New Roman" w:cs="Times New Roman"/>
                <w:b w:val="0"/>
                <w:bCs w:val="0"/>
                <w:sz w:val="20"/>
                <w:szCs w:val="20"/>
              </w:rPr>
              <w:t>1:20</w:t>
            </w:r>
          </w:p>
        </w:tc>
        <w:tc>
          <w:tcPr>
            <w:tcW w:w="68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3E77E291">
            <w:r>
              <w:rPr>
                <w:rFonts w:ascii="Times New Roman" w:hAnsi="Times New Roman" w:eastAsia="Times New Roman" w:cs="Times New Roman"/>
                <w:b w:val="0"/>
                <w:bCs w:val="0"/>
                <w:sz w:val="20"/>
                <w:szCs w:val="20"/>
              </w:rPr>
              <w:t>10 min</w:t>
            </w:r>
          </w:p>
        </w:tc>
        <w:tc>
          <w:tcPr>
            <w:tcW w:w="22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6656BEB6">
            <w:r>
              <w:rPr>
                <w:rFonts w:ascii="Times New Roman" w:hAnsi="Times New Roman" w:eastAsia="Times New Roman" w:cs="Times New Roman"/>
                <w:b w:val="0"/>
                <w:bCs w:val="0"/>
                <w:sz w:val="20"/>
                <w:szCs w:val="20"/>
              </w:rPr>
              <w:t>Debrief: What does this case reveal about the relationship between AI capability and accountability?</w:t>
            </w:r>
          </w:p>
        </w:tc>
        <w:tc>
          <w:tcPr>
            <w:tcW w:w="104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42323481">
            <w:r>
              <w:rPr>
                <w:rFonts w:ascii="Times New Roman" w:hAnsi="Times New Roman" w:eastAsia="Times New Roman" w:cs="Times New Roman"/>
                <w:b w:val="0"/>
                <w:bCs w:val="0"/>
                <w:sz w:val="20"/>
                <w:szCs w:val="20"/>
              </w:rPr>
              <w:t>TAKEAWAYS</w:t>
            </w:r>
          </w:p>
        </w:tc>
        <w:tc>
          <w:tcPr>
            <w:tcW w:w="488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20" w:type="dxa"/>
              <w:bottom w:w="60" w:type="dxa"/>
              <w:right w:w="120" w:type="dxa"/>
            </w:tcMar>
          </w:tcPr>
          <w:p w14:paraId="2CBF9D0A">
            <w:r>
              <w:rPr>
                <w:rFonts w:ascii="Times New Roman" w:hAnsi="Times New Roman" w:eastAsia="Times New Roman" w:cs="Times New Roman"/>
                <w:b w:val="0"/>
                <w:bCs w:val="0"/>
                <w:sz w:val="20"/>
                <w:szCs w:val="20"/>
              </w:rPr>
              <w:t>Board three principles. End on open question: "If the 250-gigawatt target is real, who should decide whether that's acceptable — and how?"</w:t>
            </w:r>
          </w:p>
        </w:tc>
      </w:tr>
    </w:tbl>
    <w:p w14:paraId="550C4D79">
      <w:pPr>
        <w:pBdr>
          <w:bottom w:val="single" w:color="C0392B" w:sz="6" w:space="4"/>
        </w:pBdr>
        <w:spacing w:before="420" w:after="140"/>
      </w:pPr>
      <w:r>
        <w:rPr>
          <w:rFonts w:ascii="Arial" w:hAnsi="Arial" w:eastAsia="Arial" w:cs="Arial"/>
          <w:b/>
          <w:bCs/>
          <w:color w:val="1A1A2E"/>
          <w:sz w:val="30"/>
          <w:szCs w:val="30"/>
        </w:rPr>
        <w:t>DISCUSSION QUESTIONS WITH MODEL ANSWERS</w:t>
      </w:r>
    </w:p>
    <w:p w14:paraId="0327CE2D">
      <w:pPr>
        <w:spacing w:before="280" w:after="80"/>
      </w:pPr>
      <w:r>
        <w:rPr>
          <w:rFonts w:ascii="Arial" w:hAnsi="Arial" w:eastAsia="Arial" w:cs="Arial"/>
          <w:b/>
          <w:bCs/>
          <w:color w:val="2C3E50"/>
          <w:sz w:val="24"/>
          <w:szCs w:val="24"/>
        </w:rPr>
        <w:t>Question 1 (Opening): "What is OpenAI's actual problem — and is it one problem or three?"</w:t>
      </w:r>
    </w:p>
    <w:p w14:paraId="7FAD9784">
      <w:pPr>
        <w:spacing w:before="0" w:after="160"/>
        <w:jc w:val="both"/>
      </w:pPr>
      <w:r>
        <w:rPr>
          <w:rFonts w:ascii="Times New Roman" w:hAnsi="Times New Roman" w:eastAsia="Times New Roman" w:cs="Times New Roman"/>
          <w:b w:val="0"/>
          <w:bCs w:val="0"/>
          <w:color w:val="000000"/>
          <w:sz w:val="24"/>
          <w:szCs w:val="24"/>
        </w:rPr>
        <w:t>A+ Answer: Student correctly identifies three overlapping problems: (a) an information problem — no one, including OpenAI's board, has a complete picture of total electricity consumption and carbon footprint; (b) a governance problem — the company has made public claims about AI's climate benefits without accountability structures to back them up; (c) a competitive problem — rivals have locked in clean energy supply that will provide long-run cost advantages and regulatory resilience that OpenAI lacks. Student notes that these three problems have different owners and different solution timelines.</w:t>
      </w:r>
    </w:p>
    <w:p w14:paraId="678B0B6E">
      <w:pPr>
        <w:spacing w:before="0" w:after="160"/>
        <w:jc w:val="both"/>
      </w:pPr>
      <w:r>
        <w:rPr>
          <w:rFonts w:ascii="Times New Roman" w:hAnsi="Times New Roman" w:eastAsia="Times New Roman" w:cs="Times New Roman"/>
          <w:b w:val="0"/>
          <w:bCs w:val="0"/>
          <w:color w:val="000000"/>
          <w:sz w:val="24"/>
          <w:szCs w:val="24"/>
        </w:rPr>
        <w:t>B Answer: Student identifies the reputational problem (the Senate letter, bad press) but frames it primarily as a communications challenge. Does not surface the structural gap between OpenAI's mission and its operational choices.</w:t>
      </w:r>
    </w:p>
    <w:p w14:paraId="6ABF0243">
      <w:pPr>
        <w:spacing w:before="0" w:after="160"/>
        <w:jc w:val="both"/>
      </w:pPr>
      <w:r>
        <w:rPr>
          <w:rFonts w:ascii="Times New Roman" w:hAnsi="Times New Roman" w:eastAsia="Times New Roman" w:cs="Times New Roman"/>
          <w:b w:val="0"/>
          <w:bCs w:val="0"/>
          <w:color w:val="000000"/>
          <w:sz w:val="24"/>
          <w:szCs w:val="24"/>
        </w:rPr>
        <w:t>Common Wrong Answer: "This is just politics — OpenAI is private and doesn't have to disclose anything." Redirect: "That's true today. What changes when OpenAI files for an IPO? What will the SEC require? What will institutional investors demand?" Also: "What does the EU's CSRD require from companies operating in Europe — including API customers?"</w:t>
      </w:r>
    </w:p>
    <w:p w14:paraId="2157E535">
      <w:pPr>
        <w:spacing w:before="0" w:after="160"/>
        <w:jc w:val="both"/>
      </w:pPr>
      <w:r>
        <w:rPr>
          <w:rFonts w:ascii="Times New Roman" w:hAnsi="Times New Roman" w:eastAsia="Times New Roman" w:cs="Times New Roman"/>
          <w:b w:val="0"/>
          <w:bCs w:val="0"/>
          <w:color w:val="000000"/>
          <w:sz w:val="24"/>
          <w:szCs w:val="24"/>
        </w:rPr>
        <w:t>Follow-up probes: "Where is the 3 AM number in Exhibit 2?" (Energy cost as % of revenue, approaching 4–7% and rising fast — students who notice this see the profitability implications before anyone else.) / "If OpenAI were a public company today, which of these three problems would shareholders care most about?"</w:t>
      </w:r>
    </w:p>
    <w:p w14:paraId="43AB11BB">
      <w:pPr>
        <w:spacing w:before="280" w:after="80"/>
      </w:pPr>
      <w:r>
        <w:rPr>
          <w:rFonts w:ascii="Arial" w:hAnsi="Arial" w:eastAsia="Arial" w:cs="Arial"/>
          <w:b/>
          <w:bCs/>
          <w:color w:val="2C3E50"/>
          <w:sz w:val="24"/>
          <w:szCs w:val="24"/>
        </w:rPr>
        <w:t>Question 2 (Quantitative): "Using Exhibit 2, what is OpenAI's electricity bill — and what does that imply for the business model?"</w:t>
      </w:r>
    </w:p>
    <w:p w14:paraId="2A2D04F3">
      <w:pPr>
        <w:spacing w:before="0" w:after="160"/>
        <w:jc w:val="both"/>
      </w:pPr>
      <w:r>
        <w:rPr>
          <w:rFonts w:ascii="Times New Roman" w:hAnsi="Times New Roman" w:eastAsia="Times New Roman" w:cs="Times New Roman"/>
          <w:b w:val="0"/>
          <w:bCs w:val="0"/>
          <w:color w:val="000000"/>
          <w:sz w:val="24"/>
          <w:szCs w:val="24"/>
        </w:rPr>
        <w:t>A+ Answer: Student builds from the 0.34 Wh/query figure × 2.5 billion daily queries = 850 MWh/day = ~310 GWh/year for inference alone. At $0.14/kWh, this is ~$43M/year for ChatGPT inference. But Exhibit 2 shows total estimated electricity including training at ~2,810 GWh for FY2025 — implying a total energy bill of ~$393M. Against $10B in revenue, this is ~4%. But against $5B in losses, it is a significant variable cost. Student notes that the Stargate projections in FY2030 (52,000+ GWh) would imply an energy bill exceeding $7B — larger than OpenAI's entire 2025 revenue. This is the central financial tension of the case.</w:t>
      </w:r>
    </w:p>
    <w:p w14:paraId="4DD6D65F">
      <w:pPr>
        <w:spacing w:before="0" w:after="160"/>
        <w:jc w:val="both"/>
      </w:pPr>
      <w:r>
        <w:rPr>
          <w:rFonts w:ascii="Times New Roman" w:hAnsi="Times New Roman" w:eastAsia="Times New Roman" w:cs="Times New Roman"/>
          <w:b w:val="0"/>
          <w:bCs w:val="0"/>
          <w:color w:val="000000"/>
          <w:sz w:val="24"/>
          <w:szCs w:val="24"/>
        </w:rPr>
        <w:t>B Answer: Student calculates the inference cost correctly but does not scale to include training or project forward to Stargate. Misses the "energy cost exceeds today's revenue" implication of the 2030 scenario.</w:t>
      </w:r>
    </w:p>
    <w:p w14:paraId="1C4C26B4">
      <w:pPr>
        <w:spacing w:before="0" w:after="160"/>
        <w:jc w:val="both"/>
      </w:pPr>
      <w:r>
        <w:rPr>
          <w:rFonts w:ascii="Times New Roman" w:hAnsi="Times New Roman" w:eastAsia="Times New Roman" w:cs="Times New Roman"/>
          <w:b w:val="0"/>
          <w:bCs w:val="0"/>
          <w:color w:val="000000"/>
          <w:sz w:val="24"/>
          <w:szCs w:val="24"/>
        </w:rPr>
        <w:t>Common Wrong Answer: Student uses 2.9 Wh (the Schneider Electric figure) instead of Altman's 0.34 Wh and gets a much larger number. This is a teaching moment: the range of estimates (0.34 to 2.9 Wh) is itself data — it represents the information vacuum OpenAI has created by not disclosing.</w:t>
      </w:r>
    </w:p>
    <w:p w14:paraId="4128D16B">
      <w:pPr>
        <w:spacing w:before="280" w:after="80"/>
      </w:pPr>
      <w:r>
        <w:rPr>
          <w:rFonts w:ascii="Arial" w:hAnsi="Arial" w:eastAsia="Arial" w:cs="Arial"/>
          <w:b/>
          <w:bCs/>
          <w:color w:val="2C3E50"/>
          <w:sz w:val="24"/>
          <w:szCs w:val="24"/>
        </w:rPr>
        <w:t>Question 3 (Strategic): "Microsoft is OpenAI's infrastructure partner and has made nuclear deals. Doesn't that solve OpenAI's energy problem by proxy?"</w:t>
      </w:r>
    </w:p>
    <w:p w14:paraId="28BCCE9D">
      <w:pPr>
        <w:spacing w:before="0" w:after="160"/>
        <w:jc w:val="both"/>
      </w:pPr>
      <w:r>
        <w:rPr>
          <w:rFonts w:ascii="Times New Roman" w:hAnsi="Times New Roman" w:eastAsia="Times New Roman" w:cs="Times New Roman"/>
          <w:b w:val="0"/>
          <w:bCs w:val="0"/>
          <w:color w:val="000000"/>
          <w:sz w:val="24"/>
          <w:szCs w:val="24"/>
        </w:rPr>
        <w:t>A+ Answer: Student recognizes that this is a critical and underexamined question. Microsoft's Three Mile Island deal covers Microsoft's own Scope 2 emissions — not necessarily OpenAI's. When OpenAI runs compute on Azure, the Scope 2 emissions belong to OpenAI (under GHG Protocol rules), and OpenAI has no agreement with Microsoft that those specific electrons come from the nuclear source. Furthermore, OpenAI's Stargate buildout is explicitly moving toward owned or leased infrastructure — not Azure — precisely to reduce its dependence on Microsoft. The Stargate gas plant plans demonstrate that OpenAI's owned infrastructure will be powered by fossil fuels, not by Microsoft's nuclear deals. Finally, student notes that relying on a partner's sustainability record as a substitute for your own is not a defensible position for a company with OpenAI's profile.</w:t>
      </w:r>
    </w:p>
    <w:p w14:paraId="6AC6395D">
      <w:pPr>
        <w:spacing w:before="0" w:after="160"/>
        <w:jc w:val="both"/>
      </w:pPr>
      <w:r>
        <w:rPr>
          <w:rFonts w:ascii="Times New Roman" w:hAnsi="Times New Roman" w:eastAsia="Times New Roman" w:cs="Times New Roman"/>
          <w:b w:val="0"/>
          <w:bCs w:val="0"/>
          <w:color w:val="000000"/>
          <w:sz w:val="24"/>
          <w:szCs w:val="24"/>
        </w:rPr>
        <w:t>B Answer: "Microsoft has clean energy, so OpenAI benefits from that." Does not distinguish between Microsoft's Scope 2 accounting and OpenAI's, or between Azure workloads and Stargate-owned infrastructure.</w:t>
      </w:r>
    </w:p>
    <w:p w14:paraId="0263220D">
      <w:pPr>
        <w:pBdr>
          <w:bottom w:val="single" w:color="C0392B" w:sz="6" w:space="4"/>
        </w:pBdr>
        <w:spacing w:before="420" w:after="140"/>
      </w:pPr>
      <w:r>
        <w:rPr>
          <w:rFonts w:ascii="Arial" w:hAnsi="Arial" w:eastAsia="Arial" w:cs="Arial"/>
          <w:b/>
          <w:bCs/>
          <w:color w:val="1A1A2E"/>
          <w:sz w:val="30"/>
          <w:szCs w:val="30"/>
        </w:rPr>
        <w:t>ANALYTICAL FRAMEWORK APPLICATION</w:t>
      </w:r>
    </w:p>
    <w:p w14:paraId="7A4861C0">
      <w:pPr>
        <w:spacing w:before="280" w:after="80"/>
      </w:pPr>
      <w:r>
        <w:rPr>
          <w:rFonts w:ascii="Arial" w:hAnsi="Arial" w:eastAsia="Arial" w:cs="Arial"/>
          <w:b/>
          <w:bCs/>
          <w:color w:val="2C3E50"/>
          <w:sz w:val="24"/>
          <w:szCs w:val="24"/>
        </w:rPr>
        <w:t>Stakeholder Theory (Freeman)</w:t>
      </w:r>
    </w:p>
    <w:p w14:paraId="7BC06BA8">
      <w:pPr>
        <w:spacing w:before="0" w:after="160"/>
        <w:jc w:val="both"/>
      </w:pPr>
      <w:r>
        <w:rPr>
          <w:rFonts w:ascii="Times New Roman" w:hAnsi="Times New Roman" w:eastAsia="Times New Roman" w:cs="Times New Roman"/>
          <w:b w:val="0"/>
          <w:bCs w:val="0"/>
          <w:color w:val="000000"/>
          <w:sz w:val="24"/>
          <w:szCs w:val="24"/>
        </w:rPr>
        <w:t>Map OpenAI's relevant stakeholders for this decision: (1) Institutional investors — approaching IPO, increasingly requiring ESG disclosure; (2) Enterprise customers — subject to their own Scope 3 reporting obligations under EU CSRD; (3) Individual ChatGPT users — largely unaware of energy implications, but sensitive to perception of AI as "harmful"; (4) Communities near data centers — experiencing electricity price increases, local air quality impacts from gas generation; (5) Regulators — SEC climate disclosure rules, EU AI Act energy provisions, Senate inquiry; (6) Employees — several founders departed over mission concerns; talent market increasingly values environmental responsibility; (7) Future AI researchers and safety-focused organizations — watching whether OpenAI's commercial expansion undermines its stated public-benefit mission. Each stakeholder group implies a different weighting of the three options. The board must decide which stakeholders it is most accountable to — and whether those are the same stakeholders it is most responsible to.</w:t>
      </w:r>
    </w:p>
    <w:p w14:paraId="572ADD92">
      <w:pPr>
        <w:spacing w:before="280" w:after="80"/>
      </w:pPr>
      <w:r>
        <w:rPr>
          <w:rFonts w:ascii="Arial" w:hAnsi="Arial" w:eastAsia="Arial" w:cs="Arial"/>
          <w:b/>
          <w:bCs/>
          <w:color w:val="2C3E50"/>
          <w:sz w:val="24"/>
          <w:szCs w:val="24"/>
        </w:rPr>
        <w:t>The "Mission Alignment" Test</w:t>
      </w:r>
    </w:p>
    <w:p w14:paraId="6E58802B">
      <w:pPr>
        <w:spacing w:before="0" w:after="160"/>
        <w:jc w:val="both"/>
      </w:pPr>
      <w:r>
        <w:rPr>
          <w:rFonts w:ascii="Times New Roman" w:hAnsi="Times New Roman" w:eastAsia="Times New Roman" w:cs="Times New Roman"/>
          <w:b w:val="0"/>
          <w:bCs w:val="0"/>
          <w:color w:val="000000"/>
          <w:sz w:val="24"/>
          <w:szCs w:val="24"/>
        </w:rPr>
        <w:t>A useful analytical tool for this case: ask whether each option passes a "mission alignment test." OpenAI's stated mission is "ensuring that artificial general intelligence benefits all of humanity." Test each option: Does Option A (disclose and commit) benefit all of humanity? Arguably yes — accurate information enables better collective decision-making about AI's resource use. Does Option B (efficiency-led) benefit all of humanity? Yes if efficiency gains are real and shared; no if it is a deferral that allows continued damage while the efficiency case matures. Does Option C (regulatory leadership) benefit all of humanity? Potentially most directly — mandatory industry-wide standards create systemic accountability rather than competitive advantage. Students who apply this test often find that Option C scores highest on mission alignment but lowest on near-term competitive interest — which itself is a productive tension to surface.</w:t>
      </w:r>
    </w:p>
    <w:p w14:paraId="34A1D8DA">
      <w:pPr>
        <w:pBdr>
          <w:bottom w:val="single" w:color="C0392B" w:sz="6" w:space="4"/>
        </w:pBdr>
        <w:spacing w:before="420" w:after="140"/>
      </w:pPr>
      <w:r>
        <w:rPr>
          <w:rFonts w:ascii="Arial" w:hAnsi="Arial" w:eastAsia="Arial" w:cs="Arial"/>
          <w:b/>
          <w:bCs/>
          <w:color w:val="1A1A2E"/>
          <w:sz w:val="30"/>
          <w:szCs w:val="30"/>
        </w:rPr>
        <w:t>QUANTITATIVE ANALYSIS GUIDE</w:t>
      </w:r>
    </w:p>
    <w:p w14:paraId="7AA966C2">
      <w:pPr>
        <w:spacing w:before="0" w:after="160"/>
        <w:jc w:val="both"/>
      </w:pPr>
      <w:r>
        <w:rPr>
          <w:rFonts w:ascii="Times New Roman" w:hAnsi="Times New Roman" w:eastAsia="Times New Roman" w:cs="Times New Roman"/>
          <w:b w:val="0"/>
          <w:bCs w:val="0"/>
          <w:color w:val="000000"/>
          <w:sz w:val="24"/>
          <w:szCs w:val="24"/>
        </w:rPr>
        <w:t>Key calculation — The "250 GW number": Altman's internal September 2025 memo targeted 250 gigawatts of compute capacity by 2033. At typical data center Power Usage Effectiveness (PUE) of 1.3, 250 GW of compute requires approximately 325 GW of total power draw. At 8,760 hours per year, this implies approximately 2,847 TWh of annual electricity — equivalent to India's 2024 total electricity consumption of approximately 2,400 TWh. At $0.10/kWh (assuming scale discounts), this is an annual electricity cost of approximately $285 billion. This is not a sustainable cost structure for a company with $10 billion in revenue. Students who reach this conclusion independently — it is not stated in the case — will understand why energy cost is not merely a sustainability issue but an existential business model question.</w:t>
      </w:r>
    </w:p>
    <w:p w14:paraId="3371E198">
      <w:pPr>
        <w:spacing w:before="0" w:after="160"/>
        <w:jc w:val="both"/>
      </w:pPr>
      <w:r>
        <w:rPr>
          <w:rFonts w:ascii="Times New Roman" w:hAnsi="Times New Roman" w:eastAsia="Times New Roman" w:cs="Times New Roman"/>
          <w:b w:val="0"/>
          <w:bCs w:val="0"/>
          <w:color w:val="000000"/>
          <w:sz w:val="24"/>
          <w:szCs w:val="24"/>
        </w:rPr>
        <w:t>Key calculation — The REC gap: If OpenAI claimed its Azure workloads were covered by Microsoft's REC purchases, but Stargate sites are powered by 13 GW of gas generation, what is the resulting carbon footprint? At a typical U.S. natural gas generation carbon intensity of approximately 490 grams CO₂ per kWh, 13 GW operating at 80% capacity factor produces approximately: 13,000 MW × 8,760 hrs × 0.80 × 0.49 kg CO₂/kWh ≈ 44.7 million metric tons of CO₂ per year. For reference, ExxonMobil's annual Scope 1 and 2 emissions are approximately 110 million metric tons. Altman's 250 GW target, if powered by gas, would emit approximately twice ExxonMobil's current output.</w:t>
      </w:r>
    </w:p>
    <w:p w14:paraId="6A744269">
      <w:pPr>
        <w:pBdr>
          <w:bottom w:val="single" w:color="C0392B" w:sz="6" w:space="4"/>
        </w:pBdr>
        <w:spacing w:before="420" w:after="140"/>
      </w:pPr>
      <w:r>
        <w:rPr>
          <w:rFonts w:ascii="Arial" w:hAnsi="Arial" w:eastAsia="Arial" w:cs="Arial"/>
          <w:b/>
          <w:bCs/>
          <w:color w:val="1A1A2E"/>
          <w:sz w:val="30"/>
          <w:szCs w:val="30"/>
        </w:rPr>
        <w:t>WHAT ACTUALLY HAPPENED (INSTRUCTOR EPILOGUE — TO BE UPDATED AS EVENTS DEVELOP)</w:t>
      </w:r>
    </w:p>
    <w:p w14:paraId="66DB1538">
      <w:pPr>
        <w:spacing w:before="0" w:after="160"/>
        <w:jc w:val="both"/>
      </w:pPr>
      <w:r>
        <w:rPr>
          <w:rFonts w:ascii="Times New Roman" w:hAnsi="Times New Roman" w:eastAsia="Times New Roman" w:cs="Times New Roman"/>
          <w:b w:val="0"/>
          <w:bCs w:val="0"/>
          <w:color w:val="000000"/>
          <w:sz w:val="24"/>
          <w:szCs w:val="24"/>
        </w:rPr>
        <w:t>As of March 2026, when this case was written, OpenAI had not publicly responded to Senator Whitehouse's letter. No sustainability report had been published. The Stargate buildout was continuing, with financing challenges noted by multiple news outlets. The company had, however, engaged informally with renewable energy providers for some Stargate sites, and there were unconfirmed reports of preliminary discussions with at least one nuclear operator.</w:t>
      </w:r>
    </w:p>
    <w:p w14:paraId="5234B143">
      <w:pPr>
        <w:spacing w:before="0" w:after="160"/>
        <w:jc w:val="both"/>
      </w:pPr>
      <w:r>
        <w:rPr>
          <w:rFonts w:ascii="Times New Roman" w:hAnsi="Times New Roman" w:eastAsia="Times New Roman" w:cs="Times New Roman"/>
          <w:b w:val="0"/>
          <w:bCs w:val="0"/>
          <w:color w:val="000000"/>
          <w:sz w:val="24"/>
          <w:szCs w:val="24"/>
        </w:rPr>
        <w:t>Instructors should update this section before teaching the case, as the situation is evolving rapidly. Check: (1) Has OpenAI published any energy disclosure? (2) Has it signed a clean energy deal comparable to those of Microsoft or Google? (3) Has the SEC issued guidance requiring OpenAI-scale private companies to disclose climate risk? (4) Has a Stargate facility become operational — and what is its energy source?</w:t>
      </w:r>
    </w:p>
    <w:p w14:paraId="139913F5">
      <w:pPr>
        <w:spacing w:before="0" w:after="160"/>
        <w:jc w:val="both"/>
      </w:pPr>
      <w:r>
        <w:rPr>
          <w:rFonts w:ascii="Times New Roman" w:hAnsi="Times New Roman" w:eastAsia="Times New Roman" w:cs="Times New Roman"/>
          <w:b w:val="0"/>
          <w:bCs w:val="0"/>
          <w:color w:val="000000"/>
          <w:sz w:val="24"/>
          <w:szCs w:val="24"/>
        </w:rPr>
        <w:t>Suggested debrief question regardless of what has actually happened: "Did OpenAI's response (whatever it was) address the three problems identified at the opening of class — the information problem, the governance problem, and the competitive problem? Or did it address only one?" This question almost always produces rich discussion regardless of the actual outcome.</w:t>
      </w:r>
    </w:p>
    <w:p w14:paraId="5AA41FB8">
      <w:pPr>
        <w:pBdr>
          <w:bottom w:val="single" w:color="C0392B" w:sz="6" w:space="4"/>
        </w:pBdr>
        <w:spacing w:before="420" w:after="140"/>
      </w:pPr>
      <w:r>
        <w:rPr>
          <w:rFonts w:ascii="Arial" w:hAnsi="Arial" w:eastAsia="Arial" w:cs="Arial"/>
          <w:b/>
          <w:bCs/>
          <w:color w:val="1A1A2E"/>
          <w:sz w:val="30"/>
          <w:szCs w:val="30"/>
        </w:rPr>
        <w:t>SUPPLEMENTARY MATERIALS</w:t>
      </w:r>
    </w:p>
    <w:p w14:paraId="755010D7">
      <w:pPr>
        <w:spacing w:before="0" w:after="160"/>
        <w:jc w:val="both"/>
      </w:pPr>
      <w:r>
        <w:rPr>
          <w:rFonts w:ascii="Times New Roman" w:hAnsi="Times New Roman" w:eastAsia="Times New Roman" w:cs="Times New Roman"/>
          <w:b w:val="0"/>
          <w:bCs w:val="0"/>
          <w:color w:val="000000"/>
          <w:sz w:val="24"/>
          <w:szCs w:val="24"/>
        </w:rPr>
        <w:t>Required: Sam Altman, "The Gentle Singularity" (June 2025) — the only primary-source energy disclosure from OpenAI. Available at Sam Altman's personal blog. Assign for students to read before class and bring the 0.34 Wh figure with them.</w:t>
      </w:r>
    </w:p>
    <w:p w14:paraId="04624A68">
      <w:pPr>
        <w:spacing w:before="0" w:after="160"/>
        <w:jc w:val="both"/>
      </w:pPr>
      <w:r>
        <w:rPr>
          <w:rFonts w:ascii="Times New Roman" w:hAnsi="Times New Roman" w:eastAsia="Times New Roman" w:cs="Times New Roman"/>
          <w:b w:val="0"/>
          <w:bCs w:val="0"/>
          <w:color w:val="000000"/>
          <w:sz w:val="24"/>
          <w:szCs w:val="24"/>
        </w:rPr>
        <w:t>Recommended: IEA Energy and AI Report, Executive Summary (2025) — freely available at iea.org. The empirical foundation for the case's energy projections.</w:t>
      </w:r>
    </w:p>
    <w:p w14:paraId="7A7B0EC2">
      <w:pPr>
        <w:spacing w:before="0" w:after="160"/>
        <w:jc w:val="both"/>
      </w:pPr>
      <w:r>
        <w:rPr>
          <w:rFonts w:ascii="Times New Roman" w:hAnsi="Times New Roman" w:eastAsia="Times New Roman" w:cs="Times New Roman"/>
          <w:b w:val="0"/>
          <w:bCs w:val="0"/>
          <w:color w:val="000000"/>
          <w:sz w:val="24"/>
          <w:szCs w:val="24"/>
        </w:rPr>
        <w:t>Recommended: U.S. Senate EPW Committee Letter to Sam Altman (March 13, 2026) — publicly available on the Committee's website. The primary document at the center of the case's decision point. Reading it before class makes the stakes concrete.</w:t>
      </w:r>
    </w:p>
    <w:p w14:paraId="52869CB7">
      <w:pPr>
        <w:spacing w:before="0" w:after="160"/>
        <w:jc w:val="both"/>
      </w:pPr>
      <w:r>
        <w:rPr>
          <w:rFonts w:ascii="Times New Roman" w:hAnsi="Times New Roman" w:eastAsia="Times New Roman" w:cs="Times New Roman"/>
          <w:b w:val="0"/>
          <w:bCs w:val="0"/>
          <w:color w:val="000000"/>
          <w:sz w:val="24"/>
          <w:szCs w:val="24"/>
        </w:rPr>
        <w:t>Companion case: "Microsoft's Three Mile Island Deal: Nuclear Power and the AI Arms Race" — pairs well for a session on energy strategy as competitive advantage. Enables direct comparison of how two companies occupying the same AI ecosystem made fundamentally different energy choices.</w:t>
      </w:r>
    </w:p>
    <w:p w14:paraId="472C73BB">
      <w:pPr>
        <w:spacing w:before="0" w:after="160"/>
        <w:jc w:val="both"/>
      </w:pPr>
      <w:r>
        <w:rPr>
          <w:rFonts w:ascii="Times New Roman" w:hAnsi="Times New Roman" w:eastAsia="Times New Roman" w:cs="Times New Roman"/>
          <w:b w:val="0"/>
          <w:bCs w:val="0"/>
          <w:color w:val="000000"/>
          <w:sz w:val="24"/>
          <w:szCs w:val="24"/>
        </w:rPr>
        <w:t>Optional: Karen Hao, Empire of AI (2025) — a reported account of OpenAI's internal culture and governance history. Chapters on the 2023 board crisis provide context for why governance accountability — including environmental accountability — is a recurring challenge at this particular organization.</w:t>
      </w:r>
    </w:p>
    <w:sectPr>
      <w:headerReference r:id="rId7" w:type="default"/>
      <w:footerReference r:id="rId8"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8950C">
    <w:pPr>
      <w:pBdr>
        <w:top w:val="single" w:color="CCCCCC" w:sz="2" w:space="4"/>
      </w:pBdr>
      <w:spacing w:before="80" w:after="0"/>
      <w:jc w:val="center"/>
    </w:pPr>
    <w:r>
      <w:rPr>
        <w:rFonts w:ascii="Arial" w:hAnsi="Arial" w:eastAsia="Arial" w:cs="Arial"/>
        <w:color w:val="888888"/>
        <w:sz w:val="16"/>
        <w:szCs w:val="16"/>
      </w:rPr>
      <w:t xml:space="preserve">Copyright © 2026 Harvard Business School Publishing. For educational use only. Not for reproduction or distribution.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56852">
    <w:pPr>
      <w:pBdr>
        <w:top w:val="single" w:color="CCCCCC" w:sz="2" w:space="4"/>
      </w:pBdr>
      <w:spacing w:before="80" w:after="0"/>
      <w:jc w:val="center"/>
    </w:pPr>
    <w:r>
      <w:rPr>
        <w:rFonts w:ascii="Arial" w:hAnsi="Arial" w:eastAsia="Arial" w:cs="Arial"/>
        <w:color w:val="888888"/>
        <w:sz w:val="16"/>
        <w:szCs w:val="16"/>
      </w:rPr>
      <w:t xml:space="preserve">Copyright © 2026 Harvard Business School Publishing. For educational use only. Not for reproduction or distribution.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3E159">
    <w:pPr>
      <w:pBdr>
        <w:top w:val="single" w:color="CCCCCC" w:sz="2" w:space="4"/>
      </w:pBdr>
      <w:spacing w:before="80" w:after="0"/>
      <w:jc w:val="center"/>
    </w:pPr>
    <w:r>
      <w:rPr>
        <w:rFonts w:ascii="Arial" w:hAnsi="Arial" w:eastAsia="Arial" w:cs="Arial"/>
        <w:color w:val="888888"/>
        <w:sz w:val="16"/>
        <w:szCs w:val="16"/>
      </w:rPr>
      <w:t xml:space="preserve">Copyright © 2026 Harvard Business School Publishing. For educational use only. Not for reproduction or distribution.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5B95E">
    <w:pPr>
      <w:pBdr>
        <w:bottom w:val="single" w:color="CCCCCC" w:sz="4" w:space="4"/>
      </w:pBdr>
      <w:spacing w:before="0" w:after="80"/>
    </w:pPr>
    <w:r>
      <w:rPr>
        <w:rFonts w:ascii="Arial" w:hAnsi="Arial" w:eastAsia="Arial" w:cs="Arial"/>
        <w:b/>
        <w:bCs/>
        <w:color w:val="C0392B"/>
        <w:sz w:val="18"/>
        <w:szCs w:val="18"/>
      </w:rPr>
      <w:t xml:space="preserve">CASE NO: HBS-TEC-2026-02   </w:t>
    </w:r>
    <w:r>
      <w:rPr>
        <w:rFonts w:ascii="Arial" w:hAnsi="Arial" w:eastAsia="Arial" w:cs="Arial"/>
        <w:color w:val="888888"/>
        <w:sz w:val="17"/>
        <w:szCs w:val="17"/>
      </w:rPr>
      <w:t>THE PRICE OF INTELLIGENCE: OPENAI AND THE ENERGY PARADOX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4AA7E">
    <w:pPr>
      <w:pBdr>
        <w:bottom w:val="single" w:color="CCCCCC" w:sz="4" w:space="4"/>
      </w:pBdr>
      <w:spacing w:before="0" w:after="80"/>
    </w:pPr>
    <w:r>
      <w:rPr>
        <w:rFonts w:ascii="Arial" w:hAnsi="Arial" w:eastAsia="Arial" w:cs="Arial"/>
        <w:b/>
        <w:bCs/>
        <w:color w:val="C0392B"/>
        <w:sz w:val="18"/>
        <w:szCs w:val="18"/>
      </w:rPr>
      <w:t xml:space="preserve">CASE NO: HBS-TEC-2026-02   </w:t>
    </w:r>
    <w:r>
      <w:rPr>
        <w:rFonts w:ascii="Arial" w:hAnsi="Arial" w:eastAsia="Arial" w:cs="Arial"/>
        <w:color w:val="888888"/>
        <w:sz w:val="17"/>
        <w:szCs w:val="17"/>
      </w:rPr>
      <w:t>THE PRICE OF INTELLIGENCE: OPENAI AND THE ENERGY PARADOX</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97863">
    <w:pPr>
      <w:pBdr>
        <w:bottom w:val="single" w:color="E74C3C" w:sz="4" w:space="4"/>
      </w:pBdr>
      <w:spacing w:before="0" w:after="80"/>
      <w:jc w:val="center"/>
    </w:pPr>
    <w:r>
      <w:rPr>
        <w:rFonts w:ascii="Arial" w:hAnsi="Arial" w:eastAsia="Arial" w:cs="Arial"/>
        <w:b/>
        <w:bCs/>
        <w:color w:val="E74C3C"/>
        <w:sz w:val="18"/>
        <w:szCs w:val="18"/>
      </w:rPr>
      <w:t>⚠  TEACHING NOTE — STRICTLY CONFIDENTIAL — NOT FOR STUDENT DISTRIBUTION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ACE551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endnote reference"/>
    <w:semiHidden/>
    <w:unhideWhenUsed/>
    <w:qFormat/>
    <w:uiPriority w:val="99"/>
    <w:rPr>
      <w:vertAlign w:val="superscript"/>
    </w:rPr>
  </w:style>
  <w:style w:type="paragraph" w:styleId="12">
    <w:name w:val="endnote text"/>
    <w:link w:val="19"/>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5">
    <w:name w:val="Hyperlink"/>
    <w:unhideWhenUsed/>
    <w:qFormat/>
    <w:uiPriority w:val="99"/>
    <w:rPr>
      <w:color w:val="0563C1"/>
      <w:u w:val="single"/>
    </w:rPr>
  </w:style>
  <w:style w:type="paragraph" w:styleId="16">
    <w:name w:val="Title"/>
    <w:qFormat/>
    <w:uiPriority w:val="0"/>
    <w:rPr>
      <w:rFonts w:ascii="Times New Roman" w:hAnsi="Times New Roman" w:eastAsia="Times New Roman" w:cs="Times New Roman"/>
      <w:color w:val="000000"/>
      <w:sz w:val="56"/>
      <w:szCs w:val="56"/>
    </w:rPr>
  </w:style>
  <w:style w:type="paragraph" w:styleId="17">
    <w:name w:val="List Paragraph"/>
    <w:qFormat/>
    <w:uiPriority w:val="0"/>
    <w:rPr>
      <w:rFonts w:ascii="Times New Roman" w:hAnsi="Times New Roman" w:eastAsia="Times New Roman" w:cs="Times New Roman"/>
      <w:color w:val="000000"/>
      <w:sz w:val="24"/>
      <w:szCs w:val="24"/>
    </w:rPr>
  </w:style>
  <w:style w:type="character" w:customStyle="1" w:styleId="18">
    <w:name w:val="Footnote Text Char"/>
    <w:link w:val="14"/>
    <w:semiHidden/>
    <w:unhideWhenUsed/>
    <w:uiPriority w:val="99"/>
    <w:rPr>
      <w:sz w:val="20"/>
      <w:szCs w:val="20"/>
    </w:rPr>
  </w:style>
  <w:style w:type="character" w:customStyle="1" w:styleId="19">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4251</Words>
  <Characters>24173</Characters>
  <TotalTime>2</TotalTime>
  <ScaleCrop>false</ScaleCrop>
  <LinksUpToDate>false</LinksUpToDate>
  <CharactersWithSpaces>28348</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2026-05-03T04:09:00Z</dcterms:created>
  <dc:creator>Un-named</dc:creator>
  <cp:lastModifiedBy>Dr. Debasis Pahi</cp:lastModifiedBy>
  <dcterms:modified xsi:type="dcterms:W3CDTF">2026-05-03T04:15:42Z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eyJoZGlkIjoiYjc1MDJlYWZjMjUwMmY5Y2FkZGM3MGYyNjc5NTc4ZGYiLCJ1c2VySWQiOiI1Njc1NjUxNDc0MDQifQ==</vt:lpwstr>
  </property>
  <property fmtid="{D5CDD505-2E9C-101B-9397-08002B2CF9AE}" pid="3" name="KSOProductBuildVer">
    <vt:lpwstr>1033-12.1.0.25862</vt:lpwstr>
  </property>
  <property fmtid="{D5CDD505-2E9C-101B-9397-08002B2CF9AE}" pid="4" name="ICV">
    <vt:lpwstr>52EF3EFFC7CE45D4AE8E16734FE76383_12</vt:lpwstr>
  </property>
</Properties>
</file>