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t xml:space="preserve"/>
      </w:r>
    </w:p>
    <w:p>
      <w:pPr>
        <w:spacing w:after="80" w:before="0"/>
      </w:pPr>
      <w:r>
        <w:t xml:space="preserve"/>
      </w:r>
    </w:p>
    <w:p>
      <w:pPr>
        <w:spacing w:after="80" w:before="0"/>
      </w:pPr>
      <w:r>
        <w:t xml:space="preserve"/>
      </w:r>
    </w:p>
    <w:p>
      <w:pPr>
        <w:spacing w:after="80" w:before="0"/>
      </w:pPr>
      <w:r>
        <w:t xml:space="preserve"/>
      </w:r>
    </w:p>
    <w:p>
      <w:pPr>
        <w:spacing w:after="80" w:before="0"/>
        <w:jc w:val="center"/>
      </w:pPr>
      <w:r>
        <w:rPr>
          <w:rFonts w:ascii="Arial" w:cs="Arial" w:eastAsia="Arial" w:hAnsi="Arial"/>
          <w:b/>
          <w:bCs/>
          <w:color w:val="C0392B"/>
          <w:sz w:val="22"/>
          <w:szCs w:val="22"/>
        </w:rPr>
        <w:t xml:space="preserve">HBS-9-724-OPENAI</w:t>
      </w:r>
    </w:p>
    <w:p>
      <w:pPr>
        <w:spacing w:after="80" w:before="0"/>
      </w:pPr>
      <w:r>
        <w:t xml:space="preserve"/>
      </w:r>
    </w:p>
    <w:p>
      <w:pPr>
        <w:spacing w:after="80" w:before="0"/>
      </w:pPr>
      <w:r>
        <w:t xml:space="preserve"/>
      </w:r>
    </w:p>
    <w:p>
      <w:pPr>
        <w:spacing w:after="240" w:before="0"/>
        <w:jc w:val="center"/>
      </w:pPr>
      <w:r>
        <w:rPr>
          <w:rFonts w:ascii="Arial" w:cs="Arial" w:eastAsia="Arial" w:hAnsi="Arial"/>
          <w:b/>
          <w:bCs/>
          <w:color w:val="1A1A2E"/>
          <w:sz w:val="72"/>
          <w:szCs w:val="72"/>
        </w:rPr>
        <w:t xml:space="preserve">OPENAI: THE FIVE-DAY COUP</w:t>
      </w:r>
    </w:p>
    <w:p>
      <w:pPr>
        <w:spacing w:after="480" w:before="0"/>
        <w:jc w:val="center"/>
      </w:pPr>
      <w:r>
        <w:rPr>
          <w:rFonts w:ascii="Arial" w:cs="Arial" w:eastAsia="Arial" w:hAnsi="Arial"/>
          <w:color w:val="2C3E50"/>
          <w:sz w:val="36"/>
          <w:szCs w:val="36"/>
        </w:rPr>
        <w:t xml:space="preserve">When Humanity's Watchdog Becomes a Weapon</w:t>
      </w:r>
    </w:p>
    <w:p>
      <w:pPr>
        <w:spacing w:after="80" w:before="0"/>
      </w:pPr>
      <w:r>
        <w:t xml:space="preserve"/>
      </w:r>
    </w:p>
    <w:p>
      <w:pPr>
        <w:spacing w:after="80" w:before="0"/>
      </w:pPr>
      <w:r>
        <w:t xml:space="preserve"/>
      </w:r>
    </w:p>
    <w:p>
      <w:pPr>
        <w:spacing w:after="80" w:before="0"/>
      </w:pPr>
      <w:r>
        <w:t xml:space="preserve"/>
      </w:r>
    </w:p>
    <w:p>
      <w:pPr>
        <w:spacing w:after="120" w:before="0"/>
        <w:jc w:val="center"/>
      </w:pPr>
      <w:r>
        <w:rPr>
          <w:rFonts w:ascii="Times New Roman" w:cs="Times New Roman" w:eastAsia="Times New Roman" w:hAnsi="Times New Roman"/>
          <w:i/>
          <w:iCs/>
          <w:color w:val="888888"/>
          <w:sz w:val="22"/>
          <w:szCs w:val="22"/>
        </w:rPr>
        <w:t xml:space="preserve">Prepared as a basis for class discussion rather than to illustrate either</w:t>
      </w:r>
    </w:p>
    <w:p>
      <w:pPr>
        <w:spacing w:after="480" w:before="0"/>
        <w:jc w:val="center"/>
      </w:pPr>
      <w:r>
        <w:rPr>
          <w:rFonts w:ascii="Times New Roman" w:cs="Times New Roman" w:eastAsia="Times New Roman" w:hAnsi="Times New Roman"/>
          <w:i/>
          <w:iCs/>
          <w:color w:val="888888"/>
          <w:sz w:val="22"/>
          <w:szCs w:val="22"/>
        </w:rPr>
        <w:t xml:space="preserve">effective or ineffective handling of a governance situation.</w:t>
      </w:r>
    </w:p>
    <w:p>
      <w:pPr>
        <w:spacing w:after="80" w:before="0"/>
      </w:pPr>
      <w:r>
        <w:t xml:space="preserve"/>
      </w:r>
    </w:p>
    <w:p>
      <w:pPr>
        <w:spacing w:after="80" w:before="0"/>
      </w:pPr>
      <w:r>
        <w:t xml:space="preserve"/>
      </w:r>
    </w:p>
    <w:p>
      <w:pPr>
        <w:spacing w:after="80" w:before="0"/>
      </w:pPr>
      <w:r>
        <w:t xml:space="preserve"/>
      </w:r>
    </w:p>
    <w:p>
      <w:pPr>
        <w:spacing w:after="80" w:before="0"/>
        <w:jc w:val="center"/>
      </w:pPr>
      <w:r>
        <w:rPr>
          <w:rFonts w:ascii="Arial" w:cs="Arial" w:eastAsia="Arial" w:hAnsi="Arial"/>
          <w:color w:val="2C3E50"/>
          <w:sz w:val="22"/>
          <w:szCs w:val="22"/>
        </w:rPr>
        <w:t xml:space="preserve">Harvard Business School Case Study Series</w:t>
      </w:r>
    </w:p>
    <w:p>
      <w:pPr>
        <w:spacing w:after="80" w:before="0"/>
        <w:jc w:val="center"/>
      </w:pPr>
      <w:r>
        <w:rPr>
          <w:rFonts w:ascii="Arial" w:cs="Arial" w:eastAsia="Arial" w:hAnsi="Arial"/>
          <w:color w:val="888888"/>
          <w:sz w:val="20"/>
          <w:szCs w:val="20"/>
        </w:rPr>
        <w:t xml:space="preserve">Technology, Innovation &amp; Entrepreneurship  |  Ethics &amp; Governance</w:t>
      </w:r>
    </w:p>
    <w:p>
      <w:pPr>
        <w:spacing w:after="80" w:before="0"/>
        <w:jc w:val="center"/>
      </w:pPr>
      <w:r>
        <w:rPr>
          <w:rFonts w:ascii="Arial" w:cs="Arial" w:eastAsia="Arial" w:hAnsi="Arial"/>
          <w:color w:val="888888"/>
          <w:sz w:val="20"/>
          <w:szCs w:val="20"/>
        </w:rPr>
        <w:t xml:space="preserve">November 2023 / Updated 2025</w:t>
      </w:r>
    </w:p>
    <w:p>
      <w:pPr>
        <w:spacing w:after="80" w:before="0"/>
      </w:pPr>
      <w:r>
        <w:t xml:space="preserve"/>
      </w:r>
    </w:p>
    <w:p>
      <w:pPr>
        <w:spacing w:after="80" w:before="0"/>
      </w:pPr>
      <w:r>
        <w:t xml:space="preserve"/>
      </w:r>
    </w:p>
    <w:p>
      <w:pPr>
        <w:spacing w:after="80" w:before="0"/>
        <w:jc w:val="center"/>
      </w:pPr>
      <w:r>
        <w:rPr>
          <w:rFonts w:ascii="Arial" w:cs="Arial" w:eastAsia="Arial" w:hAnsi="Arial"/>
          <w:color w:val="888888"/>
          <w:sz w:val="18"/>
          <w:szCs w:val="18"/>
        </w:rPr>
        <w:t xml:space="preserve">Copyright © 2025. All rights reserved. Not for commercial use or distribution.</w:t>
      </w:r>
    </w:p>
    <w:p>
      <w:pPr>
        <w:sectPr>
          <w:pgSz w:w="12240" w:h="15840" w:orient="portrait"/>
          <w:pgMar w:top="1440" w:right="1440" w:bottom="1440" w:left="1440" w:header="708" w:footer="708" w:gutter="0"/>
          <w:pgNumType/>
          <w:docGrid w:linePitch="360"/>
        </w:sectPr>
      </w:pPr>
    </w:p>
    <w:p>
      <w:pPr>
        <w:pBdr>
          <w:bottom w:val="single" w:color="C0392B" w:sz="4" w:space="4"/>
        </w:pBdr>
        <w:spacing w:after="120" w:before="360"/>
      </w:pPr>
      <w:r>
        <w:rPr>
          <w:rFonts w:ascii="Arial" w:cs="Arial" w:eastAsia="Arial" w:hAnsi="Arial"/>
          <w:b/>
          <w:bCs/>
          <w:color w:val="1A1A2E"/>
          <w:sz w:val="28"/>
          <w:szCs w:val="28"/>
        </w:rPr>
        <w:t xml:space="preserve">THE LONGEST WEEKEND</w:t>
      </w:r>
    </w:p>
    <w:p>
      <w:pPr>
        <w:spacing w:after="160" w:before="0" w:line="276" w:lineRule="auto"/>
        <w:ind w:firstLine="0"/>
        <w:jc w:val="both"/>
      </w:pPr>
      <w:r>
        <w:rPr>
          <w:rFonts w:ascii="Times New Roman" w:cs="Times New Roman" w:eastAsia="Times New Roman" w:hAnsi="Times New Roman"/>
          <w:sz w:val="24"/>
          <w:szCs w:val="24"/>
        </w:rPr>
        <w:t xml:space="preserve">At 12:17 p.m. on Friday, November 17, 2023, Sam Altman, Chief Executive Officer of OpenAI, received a calendar invite from Ilya Sutskever, the company's co-founder and Chief Scientist. The meeting was scheduled for noon. The invite arrived 17 minutes after the meeting had already started.</w:t>
      </w:r>
    </w:p>
    <w:p>
      <w:pPr>
        <w:spacing w:after="160" w:before="0" w:line="276" w:lineRule="auto"/>
        <w:ind w:firstLine="0"/>
        <w:jc w:val="both"/>
      </w:pPr>
      <w:r>
        <w:rPr>
          <w:rFonts w:ascii="Times New Roman" w:cs="Times New Roman" w:eastAsia="Times New Roman" w:hAnsi="Times New Roman"/>
          <w:sz w:val="24"/>
          <w:szCs w:val="24"/>
        </w:rPr>
        <w:t xml:space="preserve">Altman joined the Google Meet call to find four faces staring back at him: Sutskever, board members Adam D'Angelo, Tasha McCauley, and Helen Toner. Greg Brockman, OpenAI's President and Altman's closest ally, had been removed from the board minutes earlier in a separate call. Within minutes, Altman was told he was fired. The official statement, posted simultaneously to OpenAI's website, was five sentences long. Its operative clause read: "The board no longer has confidence in his ability to continue leading OpenAI." The reason given: Altman had not been "consistently candid" with the board.</w:t>
      </w:r>
    </w:p>
    <w:p>
      <w:pPr>
        <w:spacing w:after="160" w:before="0" w:line="276" w:lineRule="auto"/>
        <w:ind w:firstLine="0"/>
        <w:jc w:val="both"/>
      </w:pPr>
      <w:r>
        <w:rPr>
          <w:rFonts w:ascii="Times New Roman" w:cs="Times New Roman" w:eastAsia="Times New Roman" w:hAnsi="Times New Roman"/>
          <w:sz w:val="24"/>
          <w:szCs w:val="24"/>
        </w:rPr>
        <w:t xml:space="preserve">The call lasted less than 15 minutes.</w:t>
      </w:r>
    </w:p>
    <w:p>
      <w:pPr>
        <w:spacing w:after="160" w:before="0" w:line="276" w:lineRule="auto"/>
        <w:ind w:firstLine="0"/>
        <w:jc w:val="both"/>
      </w:pPr>
      <w:r>
        <w:rPr>
          <w:rFonts w:ascii="Times New Roman" w:cs="Times New Roman" w:eastAsia="Times New Roman" w:hAnsi="Times New Roman"/>
          <w:sz w:val="24"/>
          <w:szCs w:val="24"/>
        </w:rPr>
        <w:t xml:space="preserve">What followed was among the most extraordinary corporate upheavals in the history of Silicon Valley — a 117-hour crisis that would expose deep fault lines in how the world's most consequential AI company was governed, who it served, and whether any institution could realistically keep the development of artificial general intelligence (AGI) in check. By the time it was over, the board that fired Altman was itself gone. The CEO was back. And the question of who, if anyone, was truly watching over OpenAI — and by extension, the development of the most transformative technology in human history — remained profoundly, perhaps permanently, unsettled.</w:t>
      </w:r>
    </w:p>
    <w:p>
      <w:pPr>
        <w:spacing w:after="160" w:before="0" w:line="276" w:lineRule="auto"/>
        <w:ind w:firstLine="0"/>
        <w:jc w:val="both"/>
      </w:pPr>
      <w:r>
        <w:rPr>
          <w:rFonts w:ascii="Times New Roman" w:cs="Times New Roman" w:eastAsia="Times New Roman" w:hAnsi="Times New Roman"/>
          <w:sz w:val="24"/>
          <w:szCs w:val="24"/>
        </w:rPr>
        <w:t xml:space="preserve">As Altman left the call, OpenAI's Chief Technology Officer Mira Murati received her own message: she would serve as interim CEO while a replacement search began. She had not been consulted. Across San Francisco, Microsoft CEO Satya Nadella — whose company had committed $13 billion to OpenAI in a bet that would define Microsoft's next decade — learned of the firing from a news alert, like everyone else.</w:t>
      </w:r>
    </w:p>
    <w:p>
      <w:pPr>
        <w:spacing w:after="160" w:before="0" w:line="276" w:lineRule="auto"/>
        <w:ind w:firstLine="0"/>
        <w:jc w:val="both"/>
      </w:pPr>
      <w:r>
        <w:rPr>
          <w:rFonts w:ascii="Times New Roman" w:cs="Times New Roman" w:eastAsia="Times New Roman" w:hAnsi="Times New Roman"/>
          <w:sz w:val="24"/>
          <w:szCs w:val="24"/>
        </w:rPr>
        <w:t xml:space="preserve">The board had just pulled the trigger on the riskiest governance decision in corporate history. Now, with the world watching, each party had to decide what to do next.</w:t>
      </w:r>
    </w:p>
    <w:p>
      <w:pPr>
        <w:spacing w:after="80" w:before="0"/>
      </w:pPr>
      <w:r>
        <w:t xml:space="preserve"/>
      </w:r>
    </w:p>
    <w:p>
      <w:pPr>
        <w:pBdr>
          <w:bottom w:val="single" w:color="C0392B" w:sz="4" w:space="4"/>
        </w:pBdr>
        <w:spacing w:after="120" w:before="360"/>
      </w:pPr>
      <w:r>
        <w:rPr>
          <w:rFonts w:ascii="Arial" w:cs="Arial" w:eastAsia="Arial" w:hAnsi="Arial"/>
          <w:b/>
          <w:bCs/>
          <w:color w:val="1A1A2E"/>
          <w:sz w:val="28"/>
          <w:szCs w:val="28"/>
        </w:rPr>
        <w:t xml:space="preserve">OPENAI: A COMPANY BUILT ON A CONTRADICTION</w:t>
      </w:r>
    </w:p>
    <w:p>
      <w:pPr>
        <w:spacing w:after="80" w:before="240"/>
      </w:pPr>
      <w:r>
        <w:rPr>
          <w:rFonts w:ascii="Arial" w:cs="Arial" w:eastAsia="Arial" w:hAnsi="Arial"/>
          <w:b/>
          <w:bCs/>
          <w:color w:val="2C3E50"/>
          <w:sz w:val="24"/>
          <w:szCs w:val="24"/>
        </w:rPr>
        <w:t xml:space="preserve">Founding and Mission</w:t>
      </w:r>
    </w:p>
    <w:p>
      <w:pPr>
        <w:spacing w:after="160" w:before="0" w:line="276" w:lineRule="auto"/>
        <w:ind w:firstLine="0"/>
        <w:jc w:val="both"/>
      </w:pPr>
      <w:r>
        <w:rPr>
          <w:rFonts w:ascii="Times New Roman" w:cs="Times New Roman" w:eastAsia="Times New Roman" w:hAnsi="Times New Roman"/>
          <w:sz w:val="24"/>
          <w:szCs w:val="24"/>
        </w:rPr>
        <w:t xml:space="preserve">OpenAI was incorporated in December 2015 as a nonprofit research laboratory. Its founding announcement stated an ambition that was either visionary or delusional, depending on one's perspective: the company would "develop artificial general intelligence for the benefit of humanity." AGI — AI systems capable of matching or surpassing human cognitive performance across virtually all domains — was a technology that most serious researchers believed was decades away, if achievable at all.</w:t>
      </w:r>
    </w:p>
    <w:p>
      <w:pPr>
        <w:spacing w:after="160" w:before="0" w:line="276" w:lineRule="auto"/>
        <w:ind w:firstLine="0"/>
        <w:jc w:val="both"/>
      </w:pPr>
      <w:r>
        <w:rPr>
          <w:rFonts w:ascii="Times New Roman" w:cs="Times New Roman" w:eastAsia="Times New Roman" w:hAnsi="Times New Roman"/>
          <w:sz w:val="24"/>
          <w:szCs w:val="24"/>
        </w:rPr>
        <w:t xml:space="preserve">The founders who signed onto this mission included Elon Musk, Sam Altman, Greg Brockman, Ilya Sutskever, Wojciech Zaremba, and John Schulman. Their initial capitalization came from Musk and other Silicon Valley benefactors, who committed approximately $1 billion over time. The nonprofit structure was deliberate and ideological: by insulating the organization from profit motives, they believed they could pursue AGI development in a way that prioritized safety over speed.</w:t>
      </w:r>
    </w:p>
    <w:p>
      <w:pPr>
        <w:spacing w:after="160" w:before="0" w:line="276" w:lineRule="auto"/>
        <w:ind w:firstLine="0"/>
        <w:jc w:val="both"/>
      </w:pPr>
      <w:r>
        <w:rPr>
          <w:rFonts w:ascii="Times New Roman" w:cs="Times New Roman" w:eastAsia="Times New Roman" w:hAnsi="Times New Roman"/>
          <w:sz w:val="24"/>
          <w:szCs w:val="24"/>
        </w:rPr>
        <w:t xml:space="preserve">The founding documents reflected this intent. OpenAI's charter stated that the company's "primary fiduciary duty is to humanity." If another organization were to achieve AGI first in a way that was dangerous, OpenAI would be permitted to abandon its safety constraints to prevent catastrophe. The logic was quintessentially Silicon Valley: we will build the thing most likely to destroy the world, because if we don't, someone worse will.</w:t>
      </w:r>
    </w:p>
    <w:p>
      <w:pPr>
        <w:spacing w:after="80" w:before="240"/>
      </w:pPr>
      <w:r>
        <w:rPr>
          <w:rFonts w:ascii="Arial" w:cs="Arial" w:eastAsia="Arial" w:hAnsi="Arial"/>
          <w:b/>
          <w:bCs/>
          <w:color w:val="2C3E50"/>
          <w:sz w:val="24"/>
          <w:szCs w:val="24"/>
        </w:rPr>
        <w:t xml:space="preserve">The Structural Compromise: The Capped-Profit Subsidiary</w:t>
      </w:r>
    </w:p>
    <w:p>
      <w:pPr>
        <w:spacing w:after="160" w:before="0" w:line="276" w:lineRule="auto"/>
        <w:ind w:firstLine="0"/>
        <w:jc w:val="both"/>
      </w:pPr>
      <w:r>
        <w:rPr>
          <w:rFonts w:ascii="Times New Roman" w:cs="Times New Roman" w:eastAsia="Times New Roman" w:hAnsi="Times New Roman"/>
          <w:sz w:val="24"/>
          <w:szCs w:val="24"/>
        </w:rPr>
        <w:t xml:space="preserve">By 2019, the nonprofit structure had hit a wall. Training large language models required computational resources that cost hundreds of millions of dollars. No philanthropic budget could sustain that trajectory. The solution was a "capped-profit" subsidiary: a for-profit entity, OpenAI LP, in which investors could receive returns — but capped at 100 times their investment. Everything above that cap would flow back to the nonprofit parent.</w:t>
      </w:r>
    </w:p>
    <w:p>
      <w:pPr>
        <w:spacing w:after="160" w:before="0" w:line="276" w:lineRule="auto"/>
        <w:ind w:firstLine="0"/>
        <w:jc w:val="both"/>
      </w:pPr>
      <w:r>
        <w:rPr>
          <w:rFonts w:ascii="Times New Roman" w:cs="Times New Roman" w:eastAsia="Times New Roman" w:hAnsi="Times New Roman"/>
          <w:sz w:val="24"/>
          <w:szCs w:val="24"/>
        </w:rPr>
        <w:t xml:space="preserve">The structure was innovative but legally untested. The nonprofit, OpenAI Inc., would retain formal governance authority. Its board would oversee the for-profit subsidiary's activities and hold ultimate power — including the power to fire the CEO. The board's stated fiduciary duty remained not to shareholders, but to humanity.</w:t>
      </w:r>
    </w:p>
    <w:p>
      <w:pPr>
        <w:spacing w:after="160" w:before="0" w:line="276" w:lineRule="auto"/>
        <w:ind w:firstLine="0"/>
        <w:jc w:val="both"/>
      </w:pPr>
      <w:r>
        <w:rPr>
          <w:rFonts w:ascii="Times New Roman" w:cs="Times New Roman" w:eastAsia="Times New Roman" w:hAnsi="Times New Roman"/>
          <w:sz w:val="24"/>
          <w:szCs w:val="24"/>
        </w:rPr>
        <w:t xml:space="preserve">Critics pointed to the obvious tension immediately. A nonprofit board with fiduciary duty to humanity was now governing a for-profit enterprise that had raised over $10 billion from investors expecting returns. The capped-profit structure limited upside on paper but did nothing to change the day-to-day operational incentives: ship products, grow revenue, beat competitors. (See Exhibit 1 for a timeline of OpenAI's key structural milestones and financial history.)</w:t>
      </w:r>
    </w:p>
    <w:p>
      <w:pPr>
        <w:spacing w:after="160" w:before="0" w:line="276" w:lineRule="auto"/>
        <w:ind w:firstLine="0"/>
        <w:jc w:val="both"/>
      </w:pPr>
      <w:r>
        <w:rPr>
          <w:rFonts w:ascii="Times New Roman" w:cs="Times New Roman" w:eastAsia="Times New Roman" w:hAnsi="Times New Roman"/>
          <w:sz w:val="24"/>
          <w:szCs w:val="24"/>
        </w:rPr>
        <w:t xml:space="preserve">Microsoft's $13 billion investment, made in tranches between 2019 and 2023, gave it exclusive access to OpenAI's technology through Azure and a 49% stake in the for-profit subsidiary. Microsoft did not hold a board seat. But as the largest investor, its interests were impossible to ignore.</w:t>
      </w:r>
    </w:p>
    <w:p>
      <w:pPr>
        <w:spacing w:after="80" w:before="240"/>
      </w:pPr>
      <w:r>
        <w:rPr>
          <w:rFonts w:ascii="Arial" w:cs="Arial" w:eastAsia="Arial" w:hAnsi="Arial"/>
          <w:b/>
          <w:bCs/>
          <w:color w:val="2C3E50"/>
          <w:sz w:val="24"/>
          <w:szCs w:val="24"/>
        </w:rPr>
        <w:t xml:space="preserve">Sam Altman: The Indispensable CEO</w:t>
      </w:r>
    </w:p>
    <w:p>
      <w:pPr>
        <w:spacing w:after="160" w:before="0" w:line="276" w:lineRule="auto"/>
        <w:ind w:firstLine="0"/>
        <w:jc w:val="both"/>
      </w:pPr>
      <w:r>
        <w:rPr>
          <w:rFonts w:ascii="Times New Roman" w:cs="Times New Roman" w:eastAsia="Times New Roman" w:hAnsi="Times New Roman"/>
          <w:sz w:val="24"/>
          <w:szCs w:val="24"/>
        </w:rPr>
        <w:t xml:space="preserve">Sam Altman joined OpenAI as CEO in 2019, arriving from Y Combinator, where he had served as president. At 37 years old, Altman had built a reputation as one of Silicon Valley's most effective operators — a person who could translate technical vision into commercial reality and attract the talent and capital to pursue it. He held no equity in OpenAI.</w:t>
      </w:r>
    </w:p>
    <w:p>
      <w:pPr>
        <w:spacing w:after="160" w:before="0" w:line="276" w:lineRule="auto"/>
        <w:ind w:firstLine="0"/>
        <w:jc w:val="both"/>
      </w:pPr>
      <w:r>
        <w:rPr>
          <w:rFonts w:ascii="Times New Roman" w:cs="Times New Roman" w:eastAsia="Times New Roman" w:hAnsi="Times New Roman"/>
          <w:sz w:val="24"/>
          <w:szCs w:val="24"/>
        </w:rPr>
        <w:t xml:space="preserve">Under Altman's leadership, OpenAI's trajectory changed dramatically. The release of ChatGPT in November 2022 — a conversational AI product that attracted one million users in five days and 100 million within two months — was arguably the most consequential product launch in the history of the software industry. It ignited a global AI race, forcing Google, Meta, Amazon, and dozens of startups to accelerate their own AI development on timelines they had not anticipated.</w:t>
      </w:r>
    </w:p>
    <w:p>
      <w:pPr>
        <w:spacing w:after="160" w:before="0" w:line="276" w:lineRule="auto"/>
        <w:ind w:firstLine="0"/>
        <w:jc w:val="both"/>
      </w:pPr>
      <w:r>
        <w:rPr>
          <w:rFonts w:ascii="Times New Roman" w:cs="Times New Roman" w:eastAsia="Times New Roman" w:hAnsi="Times New Roman"/>
          <w:sz w:val="24"/>
          <w:szCs w:val="24"/>
        </w:rPr>
        <w:t xml:space="preserve">By late 2023, OpenAI had approximately 770 employees, annual revenues approaching $2 billion, and a valuation — in a secondary market transaction — that implied a worth of approximately $86 billion. The company had become the most closely watched startup in the world. (See Exhibit 1.)</w:t>
      </w:r>
    </w:p>
    <w:p>
      <w:pPr>
        <w:spacing w:after="160" w:before="0" w:line="276" w:lineRule="auto"/>
        <w:ind w:firstLine="0"/>
        <w:jc w:val="both"/>
      </w:pPr>
      <w:r>
        <w:rPr>
          <w:rFonts w:ascii="Times New Roman" w:cs="Times New Roman" w:eastAsia="Times New Roman" w:hAnsi="Times New Roman"/>
          <w:sz w:val="24"/>
          <w:szCs w:val="24"/>
        </w:rPr>
        <w:t xml:space="preserve">Altman was the public face of this transformation. He testified before the U.S. Senate, met with heads of state, and delivered a product roadmap to investors that would have seemed fantastical two years earlier. His relationship with the board, however, was more complicated.</w:t>
      </w:r>
    </w:p>
    <w:p>
      <w:pPr>
        <w:spacing w:after="80" w:before="0"/>
      </w:pPr>
      <w:r>
        <w:t xml:space="preserve"/>
      </w:r>
    </w:p>
    <w:p>
      <w:pPr>
        <w:pBdr>
          <w:bottom w:val="single" w:color="C0392B" w:sz="4" w:space="4"/>
        </w:pBdr>
        <w:spacing w:after="120" w:before="360"/>
      </w:pPr>
      <w:r>
        <w:rPr>
          <w:rFonts w:ascii="Arial" w:cs="Arial" w:eastAsia="Arial" w:hAnsi="Arial"/>
          <w:b/>
          <w:bCs/>
          <w:color w:val="1A1A2E"/>
          <w:sz w:val="28"/>
          <w:szCs w:val="28"/>
        </w:rPr>
        <w:t xml:space="preserve">THE WATCHDOGS: OPENAI'S NONPROFIT BOARD</w:t>
      </w:r>
    </w:p>
    <w:p>
      <w:pPr>
        <w:spacing w:after="160" w:before="0" w:line="276" w:lineRule="auto"/>
        <w:ind w:firstLine="0"/>
        <w:jc w:val="both"/>
      </w:pPr>
      <w:r>
        <w:rPr>
          <w:rFonts w:ascii="Times New Roman" w:cs="Times New Roman" w:eastAsia="Times New Roman" w:hAnsi="Times New Roman"/>
          <w:sz w:val="24"/>
          <w:szCs w:val="24"/>
        </w:rPr>
        <w:t xml:space="preserve">The OpenAI board that fired Altman on November 17, 2023, consisted of six members. Altman and Brockman held seats as insiders. The four independent members — Ilya Sutskever (Chief Scientist), Adam D'Angelo (CEO of Quora), Tasha McCauley (technology entrepreneur and geopolitical risk specialist), and Helen Toner (director of strategy at Georgetown's Center for Security and Emerging Technology) — were chosen for their credibility in AI safety circles, not their governance experience.</w:t>
      </w:r>
    </w:p>
    <w:p>
      <w:pPr>
        <w:spacing w:after="160" w:before="0" w:line="276" w:lineRule="auto"/>
        <w:ind w:firstLine="0"/>
        <w:jc w:val="both"/>
      </w:pPr>
      <w:r>
        <w:rPr>
          <w:rFonts w:ascii="Times New Roman" w:cs="Times New Roman" w:eastAsia="Times New Roman" w:hAnsi="Times New Roman"/>
          <w:sz w:val="24"/>
          <w:szCs w:val="24"/>
        </w:rPr>
        <w:t xml:space="preserve">None of the four independent board members had traditional corporate board backgrounds. None had managed a company at OpenAI's scale. They held their positions not because they were fiduciaries in the conventional sense, but because they were believed to take seriously the question that OpenAI existed to answer: what happens if AGI goes wrong?</w:t>
      </w:r>
    </w:p>
    <w:p>
      <w:pPr>
        <w:spacing w:after="80" w:before="240"/>
      </w:pPr>
      <w:r>
        <w:rPr>
          <w:rFonts w:ascii="Arial" w:cs="Arial" w:eastAsia="Arial" w:hAnsi="Arial"/>
          <w:b/>
          <w:bCs/>
          <w:color w:val="2C3E50"/>
          <w:sz w:val="24"/>
          <w:szCs w:val="24"/>
        </w:rPr>
        <w:t xml:space="preserve">The Tension: Safety vs. Speed</w:t>
      </w:r>
    </w:p>
    <w:p>
      <w:pPr>
        <w:spacing w:after="160" w:before="0" w:line="276" w:lineRule="auto"/>
        <w:ind w:firstLine="0"/>
        <w:jc w:val="both"/>
      </w:pPr>
      <w:r>
        <w:rPr>
          <w:rFonts w:ascii="Times New Roman" w:cs="Times New Roman" w:eastAsia="Times New Roman" w:hAnsi="Times New Roman"/>
          <w:sz w:val="24"/>
          <w:szCs w:val="24"/>
        </w:rPr>
        <w:t xml:space="preserve">In September 2023, Helen Toner co-authored a paper for Georgetown's Center for Security and Emerging Technology that praised Anthropic — an AI safety company founded by former OpenAI employees — for its approach to AI safety, while implicitly criticizing OpenAI. The paper was published without advance notice to Altman. He learned about it, according to subsequent reporting, when he read it. He told the board he felt it created a conflict of interest and asked Toner to resign. She refused.</w:t>
      </w:r>
    </w:p>
    <w:p>
      <w:pPr>
        <w:spacing w:after="160" w:before="0" w:line="276" w:lineRule="auto"/>
        <w:ind w:firstLine="0"/>
        <w:jc w:val="both"/>
      </w:pPr>
      <w:r>
        <w:rPr>
          <w:rFonts w:ascii="Times New Roman" w:cs="Times New Roman" w:eastAsia="Times New Roman" w:hAnsi="Times New Roman"/>
          <w:sz w:val="24"/>
          <w:szCs w:val="24"/>
        </w:rPr>
        <w:t xml:space="preserve">Internal tensions had been building for months. Current and former employees described a culture in which safety concerns were subordinated to product velocity. Jan Leike, who would later resign as head of the superalignment team in May 2024, wrote in a public post that the company's "safety culture and processes have taken a backseat to shiny products." Executives had reportedly documented specific incidents in which Altman had, in their view, provided inaccurate information — to the board, to regulators, and to internal teams — about safety processes, product timelines, and his personal business dealings.</w:t>
      </w:r>
    </w:p>
    <w:p>
      <w:pPr>
        <w:spacing w:after="160" w:before="0" w:line="276" w:lineRule="auto"/>
        <w:ind w:firstLine="0"/>
        <w:jc w:val="both"/>
      </w:pPr>
      <w:r>
        <w:rPr>
          <w:rFonts w:ascii="Times New Roman" w:cs="Times New Roman" w:eastAsia="Times New Roman" w:hAnsi="Times New Roman"/>
          <w:sz w:val="24"/>
          <w:szCs w:val="24"/>
        </w:rPr>
        <w:t xml:space="preserve">The board's stated reason for the firing — that Altman was not "consistently candid" — was carefully chosen. It was vague enough to be legally defensible and specific enough to suggest a pattern of behavior, not a single incident. According to reporting by the Wall Street Journal, OpenAI executives had compiled dozens of examples of Altman's allegedly misleading statements, supported by screenshots. The board had also received reports from two executives of psychological abuse.</w:t>
      </w:r>
    </w:p>
    <w:p>
      <w:pPr>
        <w:spacing w:after="160" w:before="0" w:line="276" w:lineRule="auto"/>
        <w:ind w:firstLine="0"/>
        <w:jc w:val="both"/>
      </w:pPr>
      <w:r>
        <w:rPr>
          <w:rFonts w:ascii="Times New Roman" w:cs="Times New Roman" w:eastAsia="Times New Roman" w:hAnsi="Times New Roman"/>
          <w:sz w:val="24"/>
          <w:szCs w:val="24"/>
        </w:rPr>
        <w:t xml:space="preserve">What the board did not adequately model was the response from the rest of OpenAI.</w:t>
      </w:r>
    </w:p>
    <w:p>
      <w:pPr>
        <w:spacing w:after="80" w:before="0"/>
      </w:pPr>
      <w:r>
        <w:t xml:space="preserve"/>
      </w:r>
    </w:p>
    <w:p>
      <w:pPr>
        <w:pBdr>
          <w:bottom w:val="single" w:color="C0392B" w:sz="4" w:space="4"/>
        </w:pBdr>
        <w:spacing w:after="120" w:before="360"/>
      </w:pPr>
      <w:r>
        <w:rPr>
          <w:rFonts w:ascii="Arial" w:cs="Arial" w:eastAsia="Arial" w:hAnsi="Arial"/>
          <w:b/>
          <w:bCs/>
          <w:color w:val="1A1A2E"/>
          <w:sz w:val="28"/>
          <w:szCs w:val="28"/>
        </w:rPr>
        <w:t xml:space="preserve">117 HOURS: THE SEQUENCE OF EVENTS</w:t>
      </w:r>
    </w:p>
    <w:p>
      <w:pPr>
        <w:spacing w:after="80" w:before="240"/>
      </w:pPr>
      <w:r>
        <w:rPr>
          <w:rFonts w:ascii="Arial" w:cs="Arial" w:eastAsia="Arial" w:hAnsi="Arial"/>
          <w:b/>
          <w:bCs/>
          <w:color w:val="2C3E50"/>
          <w:sz w:val="24"/>
          <w:szCs w:val="24"/>
        </w:rPr>
        <w:t xml:space="preserve">Friday, November 17: The Firing</w:t>
      </w:r>
    </w:p>
    <w:p>
      <w:pPr>
        <w:spacing w:after="160" w:before="0" w:line="276" w:lineRule="auto"/>
        <w:ind w:firstLine="0"/>
        <w:jc w:val="both"/>
      </w:pPr>
      <w:r>
        <w:rPr>
          <w:rFonts w:ascii="Times New Roman" w:cs="Times New Roman" w:eastAsia="Times New Roman" w:hAnsi="Times New Roman"/>
          <w:sz w:val="24"/>
          <w:szCs w:val="24"/>
        </w:rPr>
        <w:t xml:space="preserve">Within hours of the announcement, Altman had retained legal counsel. Brockman, stripped of his board seat and told his role was being "eliminated," resigned by day's end. Satya Nadella and Microsoft's legal team began working the phones. The company's most senior technical staff — people who had spent years on research projects that were central to OpenAI's competitive position — began texting each other.</w:t>
      </w:r>
    </w:p>
    <w:p>
      <w:pPr>
        <w:spacing w:after="160" w:before="0" w:line="276" w:lineRule="auto"/>
        <w:ind w:firstLine="0"/>
        <w:jc w:val="both"/>
      </w:pPr>
      <w:r>
        <w:rPr>
          <w:rFonts w:ascii="Times New Roman" w:cs="Times New Roman" w:eastAsia="Times New Roman" w:hAnsi="Times New Roman"/>
          <w:sz w:val="24"/>
          <w:szCs w:val="24"/>
        </w:rPr>
        <w:t xml:space="preserve">The board announced Mira Murati as interim CEO and began a search for a permanent replacement. They retained Emilio Pardo-Villalón, a managing partner at Hoffman &amp; Samson, to lead the search. The search was supposed to be confidential. It was not.</w:t>
      </w:r>
    </w:p>
    <w:p>
      <w:pPr>
        <w:spacing w:after="80" w:before="240"/>
      </w:pPr>
      <w:r>
        <w:rPr>
          <w:rFonts w:ascii="Arial" w:cs="Arial" w:eastAsia="Arial" w:hAnsi="Arial"/>
          <w:b/>
          <w:bCs/>
          <w:color w:val="2C3E50"/>
          <w:sz w:val="24"/>
          <w:szCs w:val="24"/>
        </w:rPr>
        <w:t xml:space="preserve">Saturday–Sunday: The Employee Revolt</w:t>
      </w:r>
    </w:p>
    <w:p>
      <w:pPr>
        <w:spacing w:after="160" w:before="0" w:line="276" w:lineRule="auto"/>
        <w:ind w:firstLine="0"/>
        <w:jc w:val="both"/>
      </w:pPr>
      <w:r>
        <w:rPr>
          <w:rFonts w:ascii="Times New Roman" w:cs="Times New Roman" w:eastAsia="Times New Roman" w:hAnsi="Times New Roman"/>
          <w:sz w:val="24"/>
          <w:szCs w:val="24"/>
        </w:rPr>
        <w:t xml:space="preserve">By Saturday evening, a letter was circulating internally. Its signatories threatened to resign and follow Altman to Microsoft — where Nadella had publicly offered him and Brockman positions and promised jobs to any OpenAI employee who wanted to come — unless the board resigned and reinstated Altman. The letter grew. By Sunday, 745 of OpenAI's 770 employees had signed it. Among the signatories: Ilya Sutskever, who had been one of the four votes to fire Altman, and who wrote publicly that he "regretted" his participation in the board's actions.</w:t>
      </w:r>
    </w:p>
    <w:p>
      <w:pPr>
        <w:spacing w:after="160" w:before="0" w:line="276" w:lineRule="auto"/>
        <w:ind w:firstLine="0"/>
        <w:jc w:val="both"/>
      </w:pPr>
      <w:r>
        <w:rPr>
          <w:rFonts w:ascii="Times New Roman" w:cs="Times New Roman" w:eastAsia="Times New Roman" w:hAnsi="Times New Roman"/>
          <w:sz w:val="24"/>
          <w:szCs w:val="24"/>
        </w:rPr>
        <w:t xml:space="preserve">The letter crystallized a dynamic that the board had failed to anticipate: in a company where the core asset is human capital — specifically, the knowledge, relationships, and judgment of a small number of extraordinarily talented people — a governance decision that alienates those people is not just a leadership change. It is an existential threat.</w:t>
      </w:r>
    </w:p>
    <w:p>
      <w:pPr>
        <w:spacing w:after="80" w:before="240"/>
      </w:pPr>
      <w:r>
        <w:rPr>
          <w:rFonts w:ascii="Arial" w:cs="Arial" w:eastAsia="Arial" w:hAnsi="Arial"/>
          <w:b/>
          <w:bCs/>
          <w:color w:val="2C3E50"/>
          <w:sz w:val="24"/>
          <w:szCs w:val="24"/>
        </w:rPr>
        <w:t xml:space="preserve">Monday–Tuesday: Negotiations and Collapse</w:t>
      </w:r>
    </w:p>
    <w:p>
      <w:pPr>
        <w:spacing w:after="160" w:before="0" w:line="276" w:lineRule="auto"/>
        <w:ind w:firstLine="0"/>
        <w:jc w:val="both"/>
      </w:pPr>
      <w:r>
        <w:rPr>
          <w:rFonts w:ascii="Times New Roman" w:cs="Times New Roman" w:eastAsia="Times New Roman" w:hAnsi="Times New Roman"/>
          <w:sz w:val="24"/>
          <w:szCs w:val="24"/>
        </w:rPr>
        <w:t xml:space="preserve">Negotiations between Altman's representatives, the board, and Microsoft lawyers ran through the weekend into Monday. Altman reportedly came close to a reinstatement agreement multiple times. The board, with diminishing leverage and a search process that had already collapsed — the two replacement candidates they approached declined — faced a binary choice: reinstate Altman or watch the company dissolve into Microsoft in a matter of days.</w:t>
      </w:r>
    </w:p>
    <w:p>
      <w:pPr>
        <w:spacing w:after="160" w:before="0" w:line="276" w:lineRule="auto"/>
        <w:ind w:firstLine="0"/>
        <w:jc w:val="both"/>
      </w:pPr>
      <w:r>
        <w:rPr>
          <w:rFonts w:ascii="Times New Roman" w:cs="Times New Roman" w:eastAsia="Times New Roman" w:hAnsi="Times New Roman"/>
          <w:sz w:val="24"/>
          <w:szCs w:val="24"/>
        </w:rPr>
        <w:t xml:space="preserve">On Tuesday, November 21 — 117 hours after the Google Meet call — Altman was reinstated as CEO. The terms: the board that fired him was gone. D'Angelo remained as the sole continuity member. A new board took shape: Bret Taylor, former co-CEO of Salesforce, as chairman; economist Lawrence Summers; and D'Angelo. An independent investigation of Altman's conduct would be conducted by the law firm WilmerHale. (It concluded in March 2024 that his behavior "did not mandate removal.")</w:t>
      </w:r>
    </w:p>
    <w:p>
      <w:pPr>
        <w:spacing w:after="160" w:before="0" w:line="276" w:lineRule="auto"/>
        <w:ind w:firstLine="0"/>
        <w:jc w:val="both"/>
      </w:pPr>
      <w:r>
        <w:rPr>
          <w:rFonts w:ascii="Times New Roman" w:cs="Times New Roman" w:eastAsia="Times New Roman" w:hAnsi="Times New Roman"/>
          <w:sz w:val="24"/>
          <w:szCs w:val="24"/>
        </w:rPr>
        <w:t xml:space="preserve">The board's five-day attempt to exercise its unique constitutional authority — the authority granted by the nonprofit charter to prioritize humanity over shareholders, over employees, over commercial momentum — had ended in total failure. Or had it? (See Exhibit 3 for a stakeholder map of the crisis.)</w:t>
      </w:r>
    </w:p>
    <w:p>
      <w:pPr>
        <w:spacing w:after="80" w:before="0"/>
      </w:pPr>
      <w:r>
        <w:t xml:space="preserve"/>
      </w:r>
    </w:p>
    <w:p>
      <w:pPr>
        <w:pBdr>
          <w:bottom w:val="single" w:color="C0392B" w:sz="4" w:space="4"/>
        </w:pBdr>
        <w:spacing w:after="120" w:before="360"/>
      </w:pPr>
      <w:r>
        <w:rPr>
          <w:rFonts w:ascii="Arial" w:cs="Arial" w:eastAsia="Arial" w:hAnsi="Arial"/>
          <w:b/>
          <w:bCs/>
          <w:color w:val="1A1A2E"/>
          <w:sz w:val="28"/>
          <w:szCs w:val="28"/>
        </w:rPr>
        <w:t xml:space="preserve">THE AFTERMATH: WHAT THE CRISIS REVEALED</w:t>
      </w:r>
    </w:p>
    <w:p>
      <w:pPr>
        <w:spacing w:after="80" w:before="240"/>
      </w:pPr>
      <w:r>
        <w:rPr>
          <w:rFonts w:ascii="Arial" w:cs="Arial" w:eastAsia="Arial" w:hAnsi="Arial"/>
          <w:b/>
          <w:bCs/>
          <w:color w:val="2C3E50"/>
          <w:sz w:val="24"/>
          <w:szCs w:val="24"/>
        </w:rPr>
        <w:t xml:space="preserve">The For-Profit Conversion Debate</w:t>
      </w:r>
    </w:p>
    <w:p>
      <w:pPr>
        <w:spacing w:after="160" w:before="0" w:line="276" w:lineRule="auto"/>
        <w:ind w:firstLine="0"/>
        <w:jc w:val="both"/>
      </w:pPr>
      <w:r>
        <w:rPr>
          <w:rFonts w:ascii="Times New Roman" w:cs="Times New Roman" w:eastAsia="Times New Roman" w:hAnsi="Times New Roman"/>
          <w:sz w:val="24"/>
          <w:szCs w:val="24"/>
        </w:rPr>
        <w:t xml:space="preserve">The November 2023 crisis accelerated a conversation that had been developing for over a year: OpenAI's existing structure could not survive as a serious commercial enterprise. Investors — including those in a $6.6 billion round closed in October 2023 — had inserted clauses requiring the company to convert to a fully for-profit structure within two years or face clawbacks. The board's 5-day tenure had demonstrated, in the most visceral possible way, that a nonprofit board of six people with fiduciary duty to humanity could not, as a practical matter, govern a $86 billion technology company in a competitive arms race.</w:t>
      </w:r>
    </w:p>
    <w:p>
      <w:pPr>
        <w:spacing w:after="160" w:before="0" w:line="276" w:lineRule="auto"/>
        <w:ind w:firstLine="0"/>
        <w:jc w:val="both"/>
      </w:pPr>
      <w:r>
        <w:rPr>
          <w:rFonts w:ascii="Times New Roman" w:cs="Times New Roman" w:eastAsia="Times New Roman" w:hAnsi="Times New Roman"/>
          <w:sz w:val="24"/>
          <w:szCs w:val="24"/>
        </w:rPr>
        <w:t xml:space="preserve">By 2025, OpenAI had reached annual revenues of approximately $20 billion and a valuation of $300 billion. Sam Altman announced a restructuring: OpenAI would become a public benefit corporation, with the nonprofit retaining a 26% stake valued at $130 billion and special governance rights. Microsoft would hold approximately 27%. The remaining stake would be distributed to employees and investors. California and Delaware attorneys general approved the deal with conditions, including the creation of an independent Safety and Security Committee reporting to the nonprofit board.</w:t>
      </w:r>
    </w:p>
    <w:p>
      <w:pPr>
        <w:spacing w:after="160" w:before="0" w:line="276" w:lineRule="auto"/>
        <w:ind w:firstLine="0"/>
        <w:jc w:val="both"/>
      </w:pPr>
      <w:r>
        <w:rPr>
          <w:rFonts w:ascii="Times New Roman" w:cs="Times New Roman" w:eastAsia="Times New Roman" w:hAnsi="Times New Roman"/>
          <w:sz w:val="24"/>
          <w:szCs w:val="24"/>
        </w:rPr>
        <w:t xml:space="preserve">The restructuring was, depending on one's view, either the pragmatic resolution of an impossible structural tension or the final defeat of the original mission. Critics called it, in the words of AI commentator Zvi Mowshowitz, "the largest theft in human history." Supporters argued that a nonprofit unable to raise capital could not build safe AGI — that underfunded idealism was itself a safety risk.</w:t>
      </w:r>
    </w:p>
    <w:p>
      <w:pPr>
        <w:spacing w:after="80" w:before="240"/>
      </w:pPr>
      <w:r>
        <w:rPr>
          <w:rFonts w:ascii="Arial" w:cs="Arial" w:eastAsia="Arial" w:hAnsi="Arial"/>
          <w:b/>
          <w:bCs/>
          <w:color w:val="2C3E50"/>
          <w:sz w:val="24"/>
          <w:szCs w:val="24"/>
        </w:rPr>
        <w:t xml:space="preserve">The Musk Lawsuit: A Trial in Progress</w:t>
      </w:r>
    </w:p>
    <w:p>
      <w:pPr>
        <w:spacing w:after="160" w:before="0" w:line="276" w:lineRule="auto"/>
        <w:ind w:firstLine="0"/>
        <w:jc w:val="both"/>
      </w:pPr>
      <w:r>
        <w:rPr>
          <w:rFonts w:ascii="Times New Roman" w:cs="Times New Roman" w:eastAsia="Times New Roman" w:hAnsi="Times New Roman"/>
          <w:sz w:val="24"/>
          <w:szCs w:val="24"/>
        </w:rPr>
        <w:t xml:space="preserve">Elon Musk, who had co-founded OpenAI and contributed approximately $38 million in its early years, filed a lawsuit in 2024 alleging that Altman and Brockman had induced him to donate on the understanding that OpenAI would remain a nonprofit dedicated to open-source AI development. Musk's legal team argued that the for-profit conversion constituted a breach of charitable trust and theft of charitable assets. They were seeking $134 billion in damages and the removal of Altman and Brockman from their roles. The trial commenced in Oakland, California in April 2026. (See Exhibit 2 for OpenAI's financial summary, 2021–2025.)</w:t>
      </w:r>
    </w:p>
    <w:p>
      <w:pPr>
        <w:spacing w:after="160" w:before="0" w:line="276" w:lineRule="auto"/>
        <w:ind w:firstLine="0"/>
        <w:jc w:val="both"/>
      </w:pPr>
      <w:r>
        <w:rPr>
          <w:rFonts w:ascii="Times New Roman" w:cs="Times New Roman" w:eastAsia="Times New Roman" w:hAnsi="Times New Roman"/>
          <w:sz w:val="24"/>
          <w:szCs w:val="24"/>
        </w:rPr>
        <w:t xml:space="preserve">The trial's implications extended beyond OpenAI. If Musk prevailed, any AI lab founded as a charity that pivoted into a commercial enterprise would face legal scrutiny. OpenAI's planned IPO — targeted for late 2026 at a potential $1 trillion valuation — would be severely disrupted. Microsoft's investment, and by extension its AI strategy, would be at risk. The broader question of whether mission-driven institutions could compete in the AI race without abandoning their missions would receive an answer in a California courtroom.</w:t>
      </w:r>
    </w:p>
    <w:p>
      <w:pPr>
        <w:spacing w:after="80" w:before="240"/>
      </w:pPr>
      <w:r>
        <w:rPr>
          <w:rFonts w:ascii="Arial" w:cs="Arial" w:eastAsia="Arial" w:hAnsi="Arial"/>
          <w:b/>
          <w:bCs/>
          <w:color w:val="2C3E50"/>
          <w:sz w:val="24"/>
          <w:szCs w:val="24"/>
        </w:rPr>
        <w:t xml:space="preserve">The Safety Leadership Exodus</w:t>
      </w:r>
    </w:p>
    <w:p>
      <w:pPr>
        <w:spacing w:after="160" w:before="0" w:line="276" w:lineRule="auto"/>
        <w:ind w:firstLine="0"/>
        <w:jc w:val="both"/>
      </w:pPr>
      <w:r>
        <w:rPr>
          <w:rFonts w:ascii="Times New Roman" w:cs="Times New Roman" w:eastAsia="Times New Roman" w:hAnsi="Times New Roman"/>
          <w:sz w:val="24"/>
          <w:szCs w:val="24"/>
        </w:rPr>
        <w:t xml:space="preserve">Between May and December 2024, OpenAI lost four of its most senior safety researchers. Ilya Sutskever, who had built the company's technical foundation and voted to fire Altman, departed to found Safe Superintelligence Inc. Jan Leike, head of superalignment, resigned with a public statement accusing the company of subordinating safety to product velocity. Paul Christiano and others followed. The superalignment team — tasked with ensuring that superintelligent AI would remain aligned with human values — was disbanded.</w:t>
      </w:r>
    </w:p>
    <w:p>
      <w:pPr>
        <w:spacing w:after="160" w:before="0" w:line="276" w:lineRule="auto"/>
        <w:ind w:firstLine="0"/>
        <w:jc w:val="both"/>
      </w:pPr>
      <w:r>
        <w:rPr>
          <w:rFonts w:ascii="Times New Roman" w:cs="Times New Roman" w:eastAsia="Times New Roman" w:hAnsi="Times New Roman"/>
          <w:sz w:val="24"/>
          <w:szCs w:val="24"/>
        </w:rPr>
        <w:t xml:space="preserve">Altman's response was consistent: OpenAI was the organization best positioned to build safe AGI, and the best way to ensure that outcome was to ensure OpenAI remained at the frontier. In a public interview, he said: "The mission is making sure that AGI goes well for humanity. Everything else is in service of that."</w:t>
      </w:r>
    </w:p>
    <w:p>
      <w:pPr>
        <w:spacing w:after="160" w:before="0" w:line="276" w:lineRule="auto"/>
        <w:ind w:firstLine="0"/>
        <w:jc w:val="both"/>
      </w:pPr>
      <w:r>
        <w:rPr>
          <w:rFonts w:ascii="Times New Roman" w:cs="Times New Roman" w:eastAsia="Times New Roman" w:hAnsi="Times New Roman"/>
          <w:sz w:val="24"/>
          <w:szCs w:val="24"/>
        </w:rPr>
        <w:t xml:space="preserve">Whether that logic was correct — or whether it was the rationalization of a man who had successfully consolidated power over a $300 billion company with trillions more at stake — remained the central unanswered question of the AI age.</w:t>
      </w:r>
    </w:p>
    <w:p>
      <w:pPr>
        <w:spacing w:after="80" w:before="0"/>
      </w:pPr>
      <w:r>
        <w:t xml:space="preserve"/>
      </w:r>
    </w:p>
    <w:p>
      <w:pPr>
        <w:pBdr>
          <w:bottom w:val="single" w:color="C0392B" w:sz="4" w:space="4"/>
        </w:pBdr>
        <w:spacing w:after="120" w:before="360"/>
      </w:pPr>
      <w:r>
        <w:rPr>
          <w:rFonts w:ascii="Arial" w:cs="Arial" w:eastAsia="Arial" w:hAnsi="Arial"/>
          <w:b/>
          <w:bCs/>
          <w:color w:val="1A1A2E"/>
          <w:sz w:val="28"/>
          <w:szCs w:val="28"/>
        </w:rPr>
        <w:t xml:space="preserve">THE DECISION POINT</w:t>
      </w:r>
    </w:p>
    <w:p>
      <w:pPr>
        <w:spacing w:after="160" w:before="0" w:line="276" w:lineRule="auto"/>
        <w:ind w:firstLine="0"/>
        <w:jc w:val="both"/>
      </w:pPr>
      <w:r>
        <w:rPr>
          <w:rFonts w:ascii="Times New Roman" w:cs="Times New Roman" w:eastAsia="Times New Roman" w:hAnsi="Times New Roman"/>
          <w:sz w:val="24"/>
          <w:szCs w:val="24"/>
        </w:rPr>
        <w:t xml:space="preserve">It is the morning of November 19, 2023 — Sunday. The employee letter has 605 signatures and is growing by the hour. Satya Nadella has gone public with his offer. The board's replacement CEO candidates have declined. You are Bret Taylor — not yet on the board, but a highly respected Silicon Valley executive being approached as a potential mediator and future chairman.</w:t>
      </w:r>
    </w:p>
    <w:p>
      <w:pPr>
        <w:spacing w:after="160" w:before="0" w:line="276" w:lineRule="auto"/>
        <w:ind w:firstLine="0"/>
        <w:jc w:val="both"/>
      </w:pPr>
      <w:r>
        <w:rPr>
          <w:rFonts w:ascii="Times New Roman" w:cs="Times New Roman" w:eastAsia="Times New Roman" w:hAnsi="Times New Roman"/>
          <w:sz w:val="24"/>
          <w:szCs w:val="24"/>
        </w:rPr>
        <w:t xml:space="preserve">A representative from the board calls you. One from Altman's team calls you twenty minutes later. Both parties know you have the credibility to broker a resolution. You also know that whatever structure emerges from this crisis will govern the development of the most powerful technology in human history for the next decade.</w:t>
      </w:r>
    </w:p>
    <w:p>
      <w:pPr>
        <w:spacing w:after="160" w:before="0" w:line="276" w:lineRule="auto"/>
        <w:ind w:firstLine="0"/>
        <w:jc w:val="both"/>
      </w:pPr>
      <w:r>
        <w:rPr>
          <w:rFonts w:ascii="Times New Roman" w:cs="Times New Roman" w:eastAsia="Times New Roman" w:hAnsi="Times New Roman"/>
          <w:sz w:val="24"/>
          <w:szCs w:val="24"/>
        </w:rPr>
        <w:t xml:space="preserve">Three paths are in front of you. The first: recommend Altman's unconditional reinstatement, prioritize commercial stability, and manage the safety question through a reformed board with stronger processes. The second: support the board's position, help them find a replacement CEO who satisfies both investors and safety advocates, and preserve the nonprofit's formal authority even at the cost of short-term chaos. The third: engineer a structural compromise — Altman returns, but the governance framework is rebuilt from the ground up, with new board composition rules, independent safety oversight, and hard constraints on the for-profit conversion.</w:t>
      </w:r>
    </w:p>
    <w:p>
      <w:pPr>
        <w:spacing w:after="160" w:before="0" w:line="276" w:lineRule="auto"/>
        <w:ind w:firstLine="0"/>
        <w:jc w:val="both"/>
      </w:pPr>
      <w:r>
        <w:rPr>
          <w:rFonts w:ascii="Times New Roman" w:cs="Times New Roman" w:eastAsia="Times New Roman" w:hAnsi="Times New Roman"/>
          <w:sz w:val="24"/>
          <w:szCs w:val="24"/>
        </w:rPr>
        <w:t xml:space="preserve">The employee letter now has 687 signatures. Microsoft's legal team is preparing a term sheet. Ilya Sutskever has just posted his public apology. The board's authority, extraordinary and fragile, is dissolving in real time.</w:t>
      </w:r>
    </w:p>
    <w:p>
      <w:pPr>
        <w:spacing w:after="160" w:before="0" w:line="276" w:lineRule="auto"/>
        <w:ind w:firstLine="0"/>
        <w:jc w:val="both"/>
      </w:pPr>
      <w:r>
        <w:rPr>
          <w:rFonts w:ascii="Times New Roman" w:cs="Times New Roman" w:eastAsia="Times New Roman" w:hAnsi="Times New Roman"/>
          <w:sz w:val="24"/>
          <w:szCs w:val="24"/>
        </w:rPr>
        <w:t xml:space="preserve">Taylor closed his laptop and stared at the ceiling. He had helped steer Salesforce, Twitter, and the boards of a dozen companies through crises. None had felt like this. This was not a question about one CEO, or one company. This was a question about who should hold the power to decide whether the machines that might one day surpass human intelligence were built safely — and whether any answer to that question could survive contact with the economics of the AI industry.</w:t>
      </w:r>
    </w:p>
    <w:p>
      <w:pPr>
        <w:spacing w:after="160" w:before="0" w:line="276" w:lineRule="auto"/>
        <w:ind w:firstLine="0"/>
        <w:jc w:val="both"/>
      </w:pPr>
      <w:r>
        <w:rPr>
          <w:rFonts w:ascii="Times New Roman" w:cs="Times New Roman" w:eastAsia="Times New Roman" w:hAnsi="Times New Roman"/>
          <w:sz w:val="24"/>
          <w:szCs w:val="24"/>
        </w:rPr>
        <w:t xml:space="preserve">The phone rang again. Taylor reached for it.</w:t>
      </w:r>
    </w:p>
    <w:p>
      <w:pPr>
        <w:spacing w:after="0" w:before="0"/>
      </w:pPr>
      <w:r>
        <w:br w:type="page"/>
      </w:r>
    </w:p>
    <w:p>
      <w:pPr>
        <w:pBdr>
          <w:bottom w:val="single" w:color="C0392B" w:sz="4" w:space="4"/>
        </w:pBdr>
        <w:spacing w:after="120" w:before="360"/>
      </w:pPr>
      <w:r>
        <w:rPr>
          <w:rFonts w:ascii="Arial" w:cs="Arial" w:eastAsia="Arial" w:hAnsi="Arial"/>
          <w:b/>
          <w:bCs/>
          <w:color w:val="1A1A2E"/>
          <w:sz w:val="28"/>
          <w:szCs w:val="28"/>
        </w:rPr>
        <w:t xml:space="preserve">EXHIBITS</w:t>
      </w:r>
    </w:p>
    <w:p>
      <w:pPr>
        <w:spacing w:after="120" w:before="480"/>
      </w:pPr>
      <w:r>
        <w:rPr>
          <w:rFonts w:ascii="Arial" w:cs="Arial" w:eastAsia="Arial" w:hAnsi="Arial"/>
          <w:b/>
          <w:bCs/>
          <w:color w:val="2C3E50"/>
          <w:sz w:val="22"/>
          <w:szCs w:val="22"/>
        </w:rPr>
        <w:t xml:space="preserve">Exhibit 1: </w:t>
      </w:r>
      <w:r>
        <w:rPr>
          <w:rFonts w:ascii="Arial" w:cs="Arial" w:eastAsia="Arial" w:hAnsi="Arial"/>
          <w:b/>
          <w:bCs/>
          <w:color w:val="2C3E50"/>
          <w:sz w:val="22"/>
          <w:szCs w:val="22"/>
        </w:rPr>
        <w:t xml:space="preserve">OpenAI — Key Financial and Structural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700"/>
        <w:gridCol w:w="1760"/>
        <w:gridCol w:w="1800"/>
      </w:tblGrid>
      <w:tr>
        <w:trPr>
          <w:tblHeader/>
        </w:trPr>
        <w:tc>
          <w:tcPr>
            <w:tcW w:type="dxa" w:w="9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Year</w:t>
            </w:r>
          </w:p>
        </w:tc>
        <w:tc>
          <w:tcPr>
            <w:tcW w:type="dxa" w:w="3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17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Valuation / Raise</w:t>
            </w:r>
          </w:p>
        </w:tc>
        <w:tc>
          <w:tcPr>
            <w:tcW w:type="dxa" w:w="17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Revenue (est.)</w:t>
            </w:r>
          </w:p>
        </w:tc>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Employees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2015</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Founded as nonprofit</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~$1B pledged</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~10</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2019</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Capped-profit subsidiary launched; Microsoft invests $1B</w:t>
            </w:r>
          </w:p>
        </w:tc>
        <w:tc>
          <w:tcPr>
            <w:tcW w:type="dxa" w:w="1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$1B</w:t>
            </w:r>
          </w:p>
        </w:tc>
        <w:tc>
          <w:tcPr>
            <w:tcW w:type="dxa" w:w="1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~$0</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~100</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2021</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GPT-3 API launched; Microsoft invests add'l $2B</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$14B</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~$36M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~375</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2022</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ChatGPT launched (Nov); 100M users in 60 days</w:t>
            </w:r>
          </w:p>
        </w:tc>
        <w:tc>
          <w:tcPr>
            <w:tcW w:type="dxa" w:w="1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$29B</w:t>
            </w:r>
          </w:p>
        </w:tc>
        <w:tc>
          <w:tcPr>
            <w:tcW w:type="dxa" w:w="1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~$200M</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~500</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2023</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GPT-4 released; $6.6B funding round (Oct); Altman fired/reinstated (Nov)</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$86B</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~$2B</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~770</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2024</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Safety leadership exodus; o1 reasoning model launched</w:t>
            </w:r>
          </w:p>
        </w:tc>
        <w:tc>
          <w:tcPr>
            <w:tcW w:type="dxa" w:w="1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$157B</w:t>
            </w:r>
          </w:p>
        </w:tc>
        <w:tc>
          <w:tcPr>
            <w:tcW w:type="dxa" w:w="1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~$6B</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~3,000</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2025</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Nonprofit-to-PBC restructuring approved; ARR hits $20B</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$300B</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~$20B</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~5,000</w:t>
            </w:r>
          </w:p>
        </w:tc>
      </w:tr>
    </w:tbl>
    <w:p>
      <w:pPr>
        <w:spacing w:after="240" w:before="60"/>
      </w:pPr>
      <w:r>
        <w:rPr>
          <w:rFonts w:ascii="Arial" w:cs="Arial" w:eastAsia="Arial" w:hAnsi="Arial"/>
          <w:i/>
          <w:iCs/>
          <w:color w:val="888888"/>
          <w:sz w:val="18"/>
          <w:szCs w:val="18"/>
        </w:rPr>
        <w:t xml:space="preserve">Source: Company announcements, SEC filings, Bloomberg, MIT Technology Review (2026). Revenue figures are estimates based on public disclosures.</w:t>
      </w:r>
    </w:p>
    <w:p>
      <w:pPr>
        <w:spacing w:after="120" w:before="480"/>
      </w:pPr>
      <w:r>
        <w:rPr>
          <w:rFonts w:ascii="Arial" w:cs="Arial" w:eastAsia="Arial" w:hAnsi="Arial"/>
          <w:b/>
          <w:bCs/>
          <w:color w:val="2C3E50"/>
          <w:sz w:val="22"/>
          <w:szCs w:val="22"/>
        </w:rPr>
        <w:t xml:space="preserve">Exhibit 2: </w:t>
      </w:r>
      <w:r>
        <w:rPr>
          <w:rFonts w:ascii="Arial" w:cs="Arial" w:eastAsia="Arial" w:hAnsi="Arial"/>
          <w:b/>
          <w:bCs/>
          <w:color w:val="2C3E50"/>
          <w:sz w:val="22"/>
          <w:szCs w:val="22"/>
        </w:rPr>
        <w:t xml:space="preserve">Global Frontier AI Competitive Landscape — 2023–2025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800"/>
        <w:gridCol w:w="1900"/>
        <w:gridCol w:w="2000"/>
        <w:gridCol w:w="2360"/>
      </w:tblGrid>
      <w:tr>
        <w:trPr>
          <w:tblHeader/>
        </w:trPr>
        <w:tc>
          <w:tcPr>
            <w:tcW w:type="dxa" w:w="13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Company</w:t>
            </w:r>
          </w:p>
        </w:tc>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Structure</w:t>
            </w:r>
          </w:p>
        </w:tc>
        <w:tc>
          <w:tcPr>
            <w:tcW w:type="dxa" w:w="19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Est. Valuation (2025)</w:t>
            </w:r>
          </w:p>
        </w:tc>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Key Products</w:t>
            </w:r>
          </w:p>
        </w:tc>
        <w:tc>
          <w:tcPr>
            <w:tcW w:type="dxa" w:w="2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Safety Posture</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bCs/>
                <w:sz w:val="20"/>
                <w:szCs w:val="20"/>
              </w:rPr>
              <w:t xml:space="preserve">OpenAI</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Nonprofit-governed PBC</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$300B</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ChatGPT, GPT-4o, o1</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Constitutional AI (revised post-crisis)</w:t>
            </w:r>
          </w:p>
        </w:tc>
      </w:tr>
      <w:tr>
        <w:tc>
          <w:tcPr>
            <w:tcW w:type="dxa" w:w="1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Anthropic</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Public Benefit Corp</w:t>
            </w:r>
          </w:p>
        </w:tc>
        <w:tc>
          <w:tcPr>
            <w:tcW w:type="dxa" w:w="1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$61B</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Claude 3.5 series</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Core Views, safety-first positioning</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Google DeepMind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Subsidiary of Alphabet</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$2T (Alphabet)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Gemini, AlphaFold, Gemma</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Integrated safety teams; regulatory compliance</w:t>
            </w:r>
          </w:p>
        </w:tc>
      </w:tr>
      <w:tr>
        <w:tc>
          <w:tcPr>
            <w:tcW w:type="dxa" w:w="1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Meta AI</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Division of Meta Platforms</w:t>
            </w:r>
          </w:p>
        </w:tc>
        <w:tc>
          <w:tcPr>
            <w:tcW w:type="dxa" w:w="1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$1.4T (Meta)</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Llama series (open source)</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Open-weights; minimal governance</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xAI (Musk)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Private</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$50B</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Grok</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Claimed 'maximum truth-seeking'</w:t>
            </w:r>
          </w:p>
        </w:tc>
      </w:tr>
      <w:tr>
        <w:tc>
          <w:tcPr>
            <w:tcW w:type="dxa" w:w="1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Mistral AI</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French startup</w:t>
            </w:r>
          </w:p>
        </w:tc>
        <w:tc>
          <w:tcPr>
            <w:tcW w:type="dxa" w:w="1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~$6B</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Mistral, Mixtral</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EU-compliant, open weights</w:t>
            </w:r>
          </w:p>
        </w:tc>
      </w:tr>
    </w:tbl>
    <w:p>
      <w:pPr>
        <w:spacing w:after="240" w:before="60"/>
      </w:pPr>
      <w:r>
        <w:rPr>
          <w:rFonts w:ascii="Arial" w:cs="Arial" w:eastAsia="Arial" w:hAnsi="Arial"/>
          <w:i/>
          <w:iCs/>
          <w:color w:val="888888"/>
          <w:sz w:val="18"/>
          <w:szCs w:val="18"/>
        </w:rPr>
        <w:t xml:space="preserve">Source: Company filings, Bloomberg, TechCrunch, author estimates. Valuations reflect secondary market pricing or last funding round.</w:t>
      </w:r>
    </w:p>
    <w:p>
      <w:pPr>
        <w:spacing w:after="120" w:before="480"/>
      </w:pPr>
      <w:r>
        <w:rPr>
          <w:rFonts w:ascii="Arial" w:cs="Arial" w:eastAsia="Arial" w:hAnsi="Arial"/>
          <w:b/>
          <w:bCs/>
          <w:color w:val="2C3E50"/>
          <w:sz w:val="22"/>
          <w:szCs w:val="22"/>
        </w:rPr>
        <w:t xml:space="preserve">Exhibit 3: </w:t>
      </w:r>
      <w:r>
        <w:rPr>
          <w:rFonts w:ascii="Arial" w:cs="Arial" w:eastAsia="Arial" w:hAnsi="Arial"/>
          <w:b/>
          <w:bCs/>
          <w:color w:val="2C3E50"/>
          <w:sz w:val="22"/>
          <w:szCs w:val="22"/>
        </w:rPr>
        <w:t xml:space="preserve">OpenAI Crisis — Stakeholder Interests Matrix (November 17–21, 2023)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800"/>
        <w:gridCol w:w="3760"/>
      </w:tblGrid>
      <w:tr>
        <w:trPr>
          <w:tblHeader/>
        </w:trPr>
        <w:tc>
          <w:tcPr>
            <w:tcW w:type="dxa" w:w="1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Stakeholder</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Position / Interest</w:t>
            </w:r>
          </w:p>
        </w:tc>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Leverage</w:t>
            </w:r>
          </w:p>
        </w:tc>
        <w:tc>
          <w:tcPr>
            <w:tcW w:type="dxa" w:w="37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Preferred Outcome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OpenAI Board (4 independent)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Maintain nonprofit mission; remove CEO they distrust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Legal authority only</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New CEO; preserved governance structure</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Sam Altman</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Reinstatement; vindication; control over company future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Employee loyalty; investor relationships; media access</w:t>
            </w:r>
          </w:p>
        </w:tc>
        <w:tc>
          <w:tcPr>
            <w:tcW w:type="dxa" w:w="3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Return as CEO with restructured board</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Greg Brockman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Loyalty to Altman; restoration of co-founder role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Resigned voluntarily; credibility with employees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Altman reinstated; own return</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Microsoft (Satya Nadella)</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Protect $13B investment; maintain Azure AI partnership</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Could absorb entire OpenAI team; public offer made</w:t>
            </w:r>
          </w:p>
        </w:tc>
        <w:tc>
          <w:tcPr>
            <w:tcW w:type="dxa" w:w="3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Stable OpenAI OR Altman team at Microsoft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OpenAI Employees (745/770)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Equity value; career capital; alignment with Altman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Mass resignation threat; letter published publicly</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Altman reinstated; board removed</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Ilya Sutskever</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Safety mission; board authority; but conflicted by employee response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One of 4 votes; defected publicly on Day 3</w:t>
            </w:r>
          </w:p>
        </w:tc>
        <w:tc>
          <w:tcPr>
            <w:tcW w:type="dxa" w:w="3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Ambiguous — ultimately signed employee letter</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U.S. Regulators / Congress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Understand AI governance; prevent destabilizing precedent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Subpoena power; investigative attention</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Transparency; stable governance at frontier AI labs</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Global Public / Civil Society</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AI safety; democratic accountability for AGI development</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None direct; reputational pressure only</w:t>
            </w:r>
          </w:p>
        </w:tc>
        <w:tc>
          <w:tcPr>
            <w:tcW w:type="dxa" w:w="3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Independent oversight; open governance</w:t>
            </w:r>
          </w:p>
        </w:tc>
      </w:tr>
    </w:tbl>
    <w:p>
      <w:pPr>
        <w:spacing w:after="240" w:before="60"/>
      </w:pPr>
      <w:r>
        <w:rPr>
          <w:rFonts w:ascii="Arial" w:cs="Arial" w:eastAsia="Arial" w:hAnsi="Arial"/>
          <w:i/>
          <w:iCs/>
          <w:color w:val="888888"/>
          <w:sz w:val="18"/>
          <w:szCs w:val="18"/>
        </w:rPr>
        <w:t xml:space="preserve">Source: Author analysis based on public reporting, including New Yorker (Farrow &amp; Marantz, 2025), MIT Technology Review, WSJ, The Verge, and EA Forum documentation.</w:t>
      </w:r>
    </w:p>
    <w:p>
      <w:pPr>
        <w:spacing w:after="120" w:before="480"/>
      </w:pPr>
      <w:r>
        <w:rPr>
          <w:rFonts w:ascii="Arial" w:cs="Arial" w:eastAsia="Arial" w:hAnsi="Arial"/>
          <w:b/>
          <w:bCs/>
          <w:color w:val="2C3E50"/>
          <w:sz w:val="22"/>
          <w:szCs w:val="22"/>
        </w:rPr>
        <w:t xml:space="preserve">Exhibit 4: </w:t>
      </w:r>
      <w:r>
        <w:rPr>
          <w:rFonts w:ascii="Arial" w:cs="Arial" w:eastAsia="Arial" w:hAnsi="Arial"/>
          <w:b/>
          <w:bCs/>
          <w:color w:val="2C3E50"/>
          <w:sz w:val="22"/>
          <w:szCs w:val="22"/>
        </w:rPr>
        <w:t xml:space="preserve">Governance Structure Options — Post-Crisis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200"/>
        <w:gridCol w:w="2200"/>
        <w:gridCol w:w="2060"/>
      </w:tblGrid>
      <w:tr>
        <w:trPr>
          <w:tblHeader/>
        </w:trPr>
        <w:tc>
          <w:tcPr>
            <w:tcW w:type="dxa" w:w="7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Pros</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Cons</w:t>
            </w:r>
          </w:p>
        </w:tc>
        <w:tc>
          <w:tcPr>
            <w:tcW w:type="dxa" w:w="20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Real-World Analog</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A: Maintain nonprofit control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Restore board authority; find safety-aligned CEO</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Preserves original mission; AGI remains under humanitarian oversight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Cannot raise capital at scale; investors may exit; talent exodus likely</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Historic pre-crisis OpenAI structure</w:t>
            </w:r>
          </w:p>
        </w:tc>
      </w:tr>
      <w:tr>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B: Full for-profit conversion</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Eliminate nonprofit board; operate as standard C-corp or PBC with fiduciary duty to shareholders</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Enables unlimited capital; aligns incentives; reduces governance friction</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No formal check on commercial priorities; AGI race accelerates unchecked</w:t>
            </w:r>
          </w:p>
        </w:tc>
        <w:tc>
          <w:tcPr>
            <w:tcW w:type="dxa" w:w="20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xAI, Inflection AI</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C: Public Benefit Corporation hybrid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Nonprofit retains governance rights; for-profit raises capital; independent safety board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Balances capital access with mission; satisfies AGs; investor confidence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Governance complexity; oversight may be nominal; real control still commercial</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Chosen path (OpenAI 2025)</w:t>
            </w:r>
          </w:p>
        </w:tc>
      </w:tr>
      <w:tr>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D: Regulated utility model</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Government-mandated charter; external regulatory board; mandatory disclosure</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Democratic accountability; prevents concentration of AGI power</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Slows innovation; regulatory capture risk; no international coordination mechanism</w:t>
            </w:r>
          </w:p>
        </w:tc>
        <w:tc>
          <w:tcPr>
            <w:tcW w:type="dxa" w:w="20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Nuclear energy; proposed in EU AI Act</w:t>
            </w:r>
          </w:p>
        </w:tc>
      </w:tr>
    </w:tbl>
    <w:p>
      <w:pPr>
        <w:spacing w:after="240" w:before="60"/>
      </w:pPr>
      <w:r>
        <w:rPr>
          <w:rFonts w:ascii="Arial" w:cs="Arial" w:eastAsia="Arial" w:hAnsi="Arial"/>
          <w:i/>
          <w:iCs/>
          <w:color w:val="888888"/>
          <w:sz w:val="18"/>
          <w:szCs w:val="18"/>
        </w:rPr>
        <w:t xml:space="preserve">Source: Author analysis. Options synthesized from academic literature, regulatory filings, and comparative governance frameworks.</w:t>
      </w:r>
    </w:p>
    <w:p>
      <w:pPr>
        <w:sectPr>
          <w:headerReference w:type="default" r:id="rId7"/>
          <w:footerReference w:type="default" r:id="rId8"/>
          <w:pgSz w:w="12240" w:h="15840" w:orient="portrait"/>
          <w:pgMar w:top="1440" w:right="1440" w:bottom="1440" w:left="1440" w:header="708" w:footer="708" w:gutter="0"/>
          <w:pgNumType/>
          <w:docGrid w:linePitch="360"/>
        </w:sectPr>
      </w:pPr>
    </w:p>
    <w:p>
      <w:pPr>
        <w:spacing w:after="0" w:before="0"/>
      </w:pPr>
      <w:r>
        <w:br w:type="page"/>
      </w:r>
    </w:p>
    <w:p>
      <w:pPr>
        <w:spacing w:after="120" w:before="240"/>
        <w:jc w:val="center"/>
      </w:pPr>
      <w:r>
        <w:rPr>
          <w:rFonts w:ascii="Arial" w:cs="Arial" w:eastAsia="Arial" w:hAnsi="Arial"/>
          <w:b/>
          <w:bCs/>
          <w:color w:val="1A1A2E"/>
          <w:sz w:val="32"/>
          <w:szCs w:val="32"/>
        </w:rPr>
        <w:t xml:space="preserve">EXECUTIVE SYNOPSIS</w:t>
      </w:r>
    </w:p>
    <w:p>
      <w:pPr>
        <w:spacing w:after="360" w:before="0"/>
        <w:jc w:val="center"/>
      </w:pPr>
      <w:r>
        <w:rPr>
          <w:rFonts w:ascii="Arial" w:cs="Arial" w:eastAsia="Arial" w:hAnsi="Arial"/>
          <w:i/>
          <w:iCs/>
          <w:color w:val="888888"/>
          <w:sz w:val="22"/>
          <w:szCs w:val="22"/>
        </w:rPr>
        <w:t xml:space="preserve">For Course Catalogue and Faculty Review</w:t>
      </w:r>
    </w:p>
    <w:p>
      <w:pPr>
        <w:spacing w:after="80" w:before="240"/>
      </w:pPr>
      <w:r>
        <w:rPr>
          <w:rFonts w:ascii="Arial" w:cs="Arial" w:eastAsia="Arial" w:hAnsi="Arial"/>
          <w:b/>
          <w:bCs/>
          <w:color w:val="2C3E50"/>
          <w:sz w:val="24"/>
          <w:szCs w:val="24"/>
        </w:rPr>
        <w:t xml:space="preserve">Case Overview</w:t>
      </w:r>
    </w:p>
    <w:p>
      <w:pPr>
        <w:spacing w:after="160" w:before="0" w:line="276" w:lineRule="auto"/>
        <w:ind w:firstLine="0"/>
        <w:jc w:val="both"/>
      </w:pPr>
      <w:r>
        <w:rPr>
          <w:rFonts w:ascii="Times New Roman" w:cs="Times New Roman" w:eastAsia="Times New Roman" w:hAnsi="Times New Roman"/>
          <w:sz w:val="24"/>
          <w:szCs w:val="24"/>
        </w:rPr>
        <w:t xml:space="preserve">"OpenAI: The Five-Day Coup" examines the November 2023 governance crisis at OpenAI, in which the nonprofit board of the world's most consequential AI company fired CEO Sam Altman — only to reinstate him 117 hours later after a near-total employee revolt and the threat of corporate dissolution. The case traces the structural, ethical, and strategic tensions at the heart of OpenAI's unprecedented organizational form and asks students to grapple with the hardest question in contemporary business: can market forces and humanitarian mission coexist in the governance of technologies capable of reordering civilization?</w:t>
      </w:r>
    </w:p>
    <w:p>
      <w:pPr>
        <w:spacing w:after="80" w:before="240"/>
      </w:pPr>
      <w:r>
        <w:rPr>
          <w:rFonts w:ascii="Arial" w:cs="Arial" w:eastAsia="Arial" w:hAnsi="Arial"/>
          <w:b/>
          <w:bCs/>
          <w:color w:val="2C3E50"/>
          <w:sz w:val="24"/>
          <w:szCs w:val="24"/>
        </w:rPr>
        <w:t xml:space="preserve">Protagonist</w:t>
      </w:r>
    </w:p>
    <w:p>
      <w:pPr>
        <w:spacing w:after="160" w:before="0" w:line="276" w:lineRule="auto"/>
        <w:ind w:firstLine="0"/>
        <w:jc w:val="both"/>
      </w:pPr>
      <w:r>
        <w:rPr>
          <w:rFonts w:ascii="Times New Roman" w:cs="Times New Roman" w:eastAsia="Times New Roman" w:hAnsi="Times New Roman"/>
          <w:sz w:val="24"/>
          <w:szCs w:val="24"/>
        </w:rPr>
        <w:t xml:space="preserve">The case is structured around a composite decision-making role — the mediator/incoming board chair (Bret Taylor) — who must broker a resolution among four parties with irreconcilable positions: the governance-minded board, the operationally dominant CEO, the capital-providing investor, and the mission-critical employee base. This framing allows students to evaluate all sides before committing to a recommendation.</w:t>
      </w:r>
    </w:p>
    <w:p>
      <w:pPr>
        <w:spacing w:after="80" w:before="240"/>
      </w:pPr>
      <w:r>
        <w:rPr>
          <w:rFonts w:ascii="Arial" w:cs="Arial" w:eastAsia="Arial" w:hAnsi="Arial"/>
          <w:b/>
          <w:bCs/>
          <w:color w:val="2C3E50"/>
          <w:sz w:val="24"/>
          <w:szCs w:val="24"/>
        </w:rPr>
        <w:t xml:space="preserve">Central Dilemma</w:t>
      </w:r>
    </w:p>
    <w:p>
      <w:pPr>
        <w:spacing w:after="160" w:before="0" w:line="276" w:lineRule="auto"/>
        <w:ind w:firstLine="0"/>
        <w:jc w:val="both"/>
      </w:pPr>
      <w:r>
        <w:rPr>
          <w:rFonts w:ascii="Times New Roman" w:cs="Times New Roman" w:eastAsia="Times New Roman" w:hAnsi="Times New Roman"/>
          <w:sz w:val="24"/>
          <w:szCs w:val="24"/>
        </w:rPr>
        <w:t xml:space="preserve">Should the OpenAI board's firing of Sam Altman be honored, and if so, what structure can credibly replace the leadership it removes? Or should Altman be reinstated — and if so, on what governance terms? The case forces students to confront a deeper question: was the board right about Altman, and does it matter if the structural answer is the same regardless?</w:t>
      </w:r>
    </w:p>
    <w:p>
      <w:pPr>
        <w:spacing w:after="80" w:before="240"/>
      </w:pPr>
      <w:r>
        <w:rPr>
          <w:rFonts w:ascii="Arial" w:cs="Arial" w:eastAsia="Arial" w:hAnsi="Arial"/>
          <w:b/>
          <w:bCs/>
          <w:color w:val="2C3E50"/>
          <w:sz w:val="24"/>
          <w:szCs w:val="24"/>
        </w:rPr>
        <w:t xml:space="preserve">Case Type</w:t>
      </w:r>
    </w:p>
    <w:p>
      <w:pPr>
        <w:spacing w:after="160" w:before="0" w:line="276" w:lineRule="auto"/>
        <w:ind w:firstLine="0"/>
        <w:jc w:val="both"/>
      </w:pPr>
      <w:r>
        <w:rPr>
          <w:rFonts w:ascii="Times New Roman" w:cs="Times New Roman" w:eastAsia="Times New Roman" w:hAnsi="Times New Roman"/>
          <w:sz w:val="24"/>
          <w:szCs w:val="24"/>
        </w:rPr>
        <w:t xml:space="preserve">Hybrid: Evaluation (was the board's decision legitimate?) + Decision (what structure should emerge from the crisis?). Suitable for advanced MBA students who can hold both questions simultaneously.</w:t>
      </w:r>
    </w:p>
    <w:p>
      <w:pPr>
        <w:spacing w:after="80" w:before="240"/>
      </w:pPr>
      <w:r>
        <w:rPr>
          <w:rFonts w:ascii="Arial" w:cs="Arial" w:eastAsia="Arial" w:hAnsi="Arial"/>
          <w:b/>
          <w:bCs/>
          <w:color w:val="2C3E50"/>
          <w:sz w:val="24"/>
          <w:szCs w:val="24"/>
        </w:rPr>
        <w:t xml:space="preserve">Learning Objectives</w:t>
      </w:r>
    </w:p>
    <w:p>
      <w:pPr>
        <w:pStyle w:val="ListParagraph"/>
        <w:numPr>
          <w:ilvl w:val="0"/>
          <w:numId w:val="2"/>
        </w:numPr>
        <w:spacing w:after="80" w:before="80"/>
      </w:pPr>
      <w:r>
        <w:rPr>
          <w:rFonts w:ascii="Times New Roman" w:cs="Times New Roman" w:eastAsia="Times New Roman" w:hAnsi="Times New Roman"/>
          <w:sz w:val="24"/>
          <w:szCs w:val="24"/>
        </w:rPr>
        <w:t xml:space="preserve">Analyze the structural tensions inherent in a nonprofit-governed, for-profit-capitalized technology company.</w:t>
      </w:r>
    </w:p>
    <w:p>
      <w:pPr>
        <w:pStyle w:val="ListParagraph"/>
        <w:numPr>
          <w:ilvl w:val="0"/>
          <w:numId w:val="2"/>
        </w:numPr>
        <w:spacing w:after="80" w:before="80"/>
      </w:pPr>
      <w:r>
        <w:rPr>
          <w:rFonts w:ascii="Times New Roman" w:cs="Times New Roman" w:eastAsia="Times New Roman" w:hAnsi="Times New Roman"/>
          <w:sz w:val="24"/>
          <w:szCs w:val="24"/>
        </w:rPr>
        <w:t xml:space="preserve">Evaluate the board's decision using stakeholder theory, agency theory, and corporate governance frameworks.</w:t>
      </w:r>
    </w:p>
    <w:p>
      <w:pPr>
        <w:pStyle w:val="ListParagraph"/>
        <w:numPr>
          <w:ilvl w:val="0"/>
          <w:numId w:val="2"/>
        </w:numPr>
        <w:spacing w:after="80" w:before="80"/>
      </w:pPr>
      <w:r>
        <w:rPr>
          <w:rFonts w:ascii="Times New Roman" w:cs="Times New Roman" w:eastAsia="Times New Roman" w:hAnsi="Times New Roman"/>
          <w:sz w:val="24"/>
          <w:szCs w:val="24"/>
        </w:rPr>
        <w:t xml:space="preserve">Apply the CAGE and OLI frameworks to assess how geopolitical dynamics (China AI competition, EU regulation) constrain governance options.</w:t>
      </w:r>
    </w:p>
    <w:p>
      <w:pPr>
        <w:pStyle w:val="ListParagraph"/>
        <w:numPr>
          <w:ilvl w:val="0"/>
          <w:numId w:val="2"/>
        </w:numPr>
        <w:spacing w:after="80" w:before="80"/>
      </w:pPr>
      <w:r>
        <w:rPr>
          <w:rFonts w:ascii="Times New Roman" w:cs="Times New Roman" w:eastAsia="Times New Roman" w:hAnsi="Times New Roman"/>
          <w:sz w:val="24"/>
          <w:szCs w:val="24"/>
        </w:rPr>
        <w:t xml:space="preserve">Synthesize a governance recommendation that is operationally viable, legally defensible, and mission-consistent.</w:t>
      </w:r>
    </w:p>
    <w:p>
      <w:pPr>
        <w:pStyle w:val="ListParagraph"/>
        <w:numPr>
          <w:ilvl w:val="0"/>
          <w:numId w:val="2"/>
        </w:numPr>
        <w:spacing w:after="280" w:before="80"/>
      </w:pPr>
      <w:r>
        <w:rPr>
          <w:rFonts w:ascii="Times New Roman" w:cs="Times New Roman" w:eastAsia="Times New Roman" w:hAnsi="Times New Roman"/>
          <w:sz w:val="24"/>
          <w:szCs w:val="24"/>
        </w:rPr>
        <w:t xml:space="preserve">Recognize the limits of institutional design in governing transformative technologies under commercial pressure.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Industry</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Artificial Intelligence / Technology</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Geography</w:t>
            </w:r>
          </w:p>
        </w:tc>
        <w:tc>
          <w:tcPr>
            <w:tcW w:type="dxa" w:w="7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United States (global implications)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Case Length</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~15 pages (body); 8 pages exhibits</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Suggested Courses</w:t>
            </w:r>
          </w:p>
        </w:tc>
        <w:tc>
          <w:tcPr>
            <w:tcW w:type="dxa" w:w="7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Corporate Governance; Technology Strategy; Ethics in Business; Global Business; MBA Leadership</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Suggested Module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Governance &amp; Accountability / AI &amp; Society / Leadership in Crisis</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Difficulty</w:t>
            </w:r>
          </w:p>
        </w:tc>
        <w:tc>
          <w:tcPr>
            <w:tcW w:type="dxa" w:w="7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Advanced MBA / Executive Education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Case Series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Part A (this document). Part B available: What Actually Happened (2025 restructuring).</w:t>
            </w:r>
          </w:p>
        </w:tc>
      </w:tr>
    </w:tbl>
    <w:p>
      <w:pPr>
        <w:sectPr>
          <w:headerReference w:type="default" r:id="rId9"/>
          <w:footerReference w:type="default" r:id="rId10"/>
          <w:pgSz w:w="12240" w:h="15840" w:orient="portrait"/>
          <w:pgMar w:top="1440" w:right="1440" w:bottom="1440" w:left="1440" w:header="708" w:footer="708" w:gutter="0"/>
          <w:pgNumType/>
          <w:docGrid w:linePitch="360"/>
        </w:sectPr>
      </w:pPr>
    </w:p>
    <w:p>
      <w:pPr>
        <w:spacing w:after="0" w:before="0"/>
      </w:pPr>
      <w:r>
        <w:br w:type="page"/>
      </w:r>
    </w:p>
    <w:p>
      <w:pPr>
        <w:spacing w:after="80" w:before="240"/>
        <w:jc w:val="center"/>
      </w:pPr>
      <w:r>
        <w:rPr>
          <w:rFonts w:ascii="Arial" w:cs="Arial" w:eastAsia="Arial" w:hAnsi="Arial"/>
          <w:b/>
          <w:bCs/>
          <w:color w:val="E74C3C"/>
          <w:sz w:val="28"/>
          <w:szCs w:val="28"/>
        </w:rPr>
        <w:t xml:space="preserve">⚠  TEACHING NOTE — STRICTLY CONFIDENTIAL</w:t>
      </w:r>
    </w:p>
    <w:p>
      <w:pPr>
        <w:spacing w:after="360" w:before="0"/>
        <w:jc w:val="center"/>
      </w:pPr>
      <w:r>
        <w:rPr>
          <w:rFonts w:ascii="Arial" w:cs="Arial" w:eastAsia="Arial" w:hAnsi="Arial"/>
          <w:color w:val="888888"/>
          <w:sz w:val="20"/>
          <w:szCs w:val="20"/>
        </w:rPr>
        <w:t xml:space="preserve">NOT FOR DISTRIBUTION TO STUDENTS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Case Title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OpenAI: The Five-Day Coup</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Case Number</w:t>
            </w:r>
          </w:p>
        </w:tc>
        <w:tc>
          <w:tcPr>
            <w:tcW w:type="dxa" w:w="7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HBS-9-724-OPENAI</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Prepared</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2025</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Case Type</w:t>
            </w:r>
          </w:p>
        </w:tc>
        <w:tc>
          <w:tcPr>
            <w:tcW w:type="dxa" w:w="7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Hybrid: Evaluation + Decision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Suggested Courses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Corporate Governance; Technology Strategy &amp; Ethics; MBA Leadership; AI &amp; Society</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Position in Course</w:t>
            </w:r>
          </w:p>
        </w:tc>
        <w:tc>
          <w:tcPr>
            <w:tcW w:type="dxa" w:w="7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Mid-semester — after governance fundamentals, before innovation strategy module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Session Length</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90 minutes (can extend to 2×80 min for advanced treatment)</w:t>
            </w:r>
          </w:p>
        </w:tc>
      </w:tr>
    </w:tbl>
    <w:p>
      <w:pPr>
        <w:spacing w:after="80" w:before="0"/>
      </w:pPr>
      <w:r>
        <w:t xml:space="preserve"/>
      </w:r>
    </w:p>
    <w:p>
      <w:pPr>
        <w:spacing w:after="80" w:before="240"/>
      </w:pPr>
      <w:r>
        <w:rPr>
          <w:rFonts w:ascii="Arial" w:cs="Arial" w:eastAsia="Arial" w:hAnsi="Arial"/>
          <w:b/>
          <w:bCs/>
          <w:color w:val="2C3E50"/>
          <w:sz w:val="24"/>
          <w:szCs w:val="24"/>
        </w:rPr>
        <w:t xml:space="preserve">Case Overview for Instructors</w:t>
      </w:r>
    </w:p>
    <w:p>
      <w:pPr>
        <w:spacing w:after="160" w:before="0" w:line="276" w:lineRule="auto"/>
        <w:ind w:firstLine="0"/>
        <w:jc w:val="both"/>
      </w:pPr>
      <w:r>
        <w:rPr>
          <w:rFonts w:ascii="Times New Roman" w:cs="Times New Roman" w:eastAsia="Times New Roman" w:hAnsi="Times New Roman"/>
          <w:sz w:val="24"/>
          <w:szCs w:val="24"/>
        </w:rPr>
        <w:t xml:space="preserve">This case is intentionally designed to resist easy resolution. The OpenAI crisis of November 2023 is one of the most richly documented corporate governance failures in modern business history — with internal memos, Slack threads, board communications, employee letters, and sworn trial testimony available through public reporting. Students who prepare carefully will arrive with strong priors. The instructor's job is to complicate those priors, not validate them.</w:t>
      </w:r>
    </w:p>
    <w:p>
      <w:pPr>
        <w:spacing w:after="160" w:before="0" w:line="276" w:lineRule="auto"/>
        <w:ind w:firstLine="0"/>
        <w:jc w:val="both"/>
      </w:pPr>
      <w:r>
        <w:rPr>
          <w:rFonts w:ascii="Times New Roman" w:cs="Times New Roman" w:eastAsia="Times New Roman" w:hAnsi="Times New Roman"/>
          <w:sz w:val="24"/>
          <w:szCs w:val="24"/>
        </w:rPr>
        <w:t xml:space="preserve">The case works on three levels simultaneously: (1) a leadership case about trust, candor, and board-CEO dynamics; (2) a governance case about the structural limits of nonprofit oversight of a commercial enterprise; and (3) a macro case about institutional design in the face of transformative technology. Instructors who stay at Level 1 will have a good 90-minute class. Those who reach Level 3 will have a memorable one.</w:t>
      </w:r>
    </w:p>
    <w:p>
      <w:pPr>
        <w:spacing w:after="80" w:before="240"/>
      </w:pPr>
      <w:r>
        <w:rPr>
          <w:rFonts w:ascii="Arial" w:cs="Arial" w:eastAsia="Arial" w:hAnsi="Arial"/>
          <w:b/>
          <w:bCs/>
          <w:color w:val="2C3E50"/>
          <w:sz w:val="24"/>
          <w:szCs w:val="24"/>
        </w:rPr>
        <w:t xml:space="preserve">Learning Objectives</w:t>
      </w:r>
    </w:p>
    <w:p>
      <w:pPr>
        <w:spacing w:after="160" w:before="0" w:line="276" w:lineRule="auto"/>
        <w:ind w:firstLine="0"/>
        <w:jc w:val="both"/>
      </w:pPr>
      <w:r>
        <w:rPr>
          <w:rFonts w:ascii="Times New Roman" w:cs="Times New Roman" w:eastAsia="Times New Roman" w:hAnsi="Times New Roman"/>
          <w:sz w:val="24"/>
          <w:szCs w:val="24"/>
        </w:rPr>
        <w:t xml:space="preserve">By the end of class discussion, students will be able to:</w:t>
      </w:r>
    </w:p>
    <w:p>
      <w:pPr>
        <w:pStyle w:val="ListParagraph"/>
        <w:numPr>
          <w:ilvl w:val="0"/>
          <w:numId w:val="3"/>
        </w:numPr>
        <w:spacing w:after="60" w:before="60"/>
      </w:pPr>
      <w:r>
        <w:rPr>
          <w:rFonts w:ascii="Times New Roman" w:cs="Times New Roman" w:eastAsia="Times New Roman" w:hAnsi="Times New Roman"/>
          <w:sz w:val="24"/>
          <w:szCs w:val="24"/>
        </w:rPr>
        <w:t xml:space="preserve">Evaluate the board's decision using both agency theory (was it a legitimate exercise of fiduciary duty?) and stakeholder theory (who was harmed, who benefited, and does the outcome reflect the stated mission?).</w:t>
      </w:r>
    </w:p>
    <w:p>
      <w:pPr>
        <w:pStyle w:val="ListParagraph"/>
        <w:numPr>
          <w:ilvl w:val="0"/>
          <w:numId w:val="3"/>
        </w:numPr>
        <w:spacing w:after="60" w:before="60"/>
      </w:pPr>
      <w:r>
        <w:rPr>
          <w:rFonts w:ascii="Times New Roman" w:cs="Times New Roman" w:eastAsia="Times New Roman" w:hAnsi="Times New Roman"/>
          <w:sz w:val="24"/>
          <w:szCs w:val="24"/>
        </w:rPr>
        <w:t xml:space="preserve">Analyze how OpenAI's hybrid nonprofit/for-profit structure created the structural conditions for crisis — and assess whether any governance design could have prevented it.</w:t>
      </w:r>
    </w:p>
    <w:p>
      <w:pPr>
        <w:pStyle w:val="ListParagraph"/>
        <w:numPr>
          <w:ilvl w:val="0"/>
          <w:numId w:val="3"/>
        </w:numPr>
        <w:spacing w:after="60" w:before="60"/>
      </w:pPr>
      <w:r>
        <w:rPr>
          <w:rFonts w:ascii="Times New Roman" w:cs="Times New Roman" w:eastAsia="Times New Roman" w:hAnsi="Times New Roman"/>
          <w:sz w:val="24"/>
          <w:szCs w:val="24"/>
        </w:rPr>
        <w:t xml:space="preserve">Apply Porter's Five Forces to the frontier AI industry and connect competitive dynamics to governance constraints.</w:t>
      </w:r>
    </w:p>
    <w:p>
      <w:pPr>
        <w:pStyle w:val="ListParagraph"/>
        <w:numPr>
          <w:ilvl w:val="0"/>
          <w:numId w:val="3"/>
        </w:numPr>
        <w:spacing w:after="60" w:before="60"/>
      </w:pPr>
      <w:r>
        <w:rPr>
          <w:rFonts w:ascii="Times New Roman" w:cs="Times New Roman" w:eastAsia="Times New Roman" w:hAnsi="Times New Roman"/>
          <w:sz w:val="24"/>
          <w:szCs w:val="24"/>
        </w:rPr>
        <w:t xml:space="preserve">Develop a structured post-crisis governance recommendation that addresses capital, mission, safety, and operational coherence.</w:t>
      </w:r>
    </w:p>
    <w:p>
      <w:pPr>
        <w:pStyle w:val="ListParagraph"/>
        <w:numPr>
          <w:ilvl w:val="0"/>
          <w:numId w:val="3"/>
        </w:numPr>
        <w:spacing w:after="60" w:before="60"/>
      </w:pPr>
      <w:r>
        <w:rPr>
          <w:rFonts w:ascii="Times New Roman" w:cs="Times New Roman" w:eastAsia="Times New Roman" w:hAnsi="Times New Roman"/>
          <w:sz w:val="24"/>
          <w:szCs w:val="24"/>
        </w:rPr>
        <w:t xml:space="preserve">Articulate what the OpenAI case implies for regulatory design, and whether democratic institutions can govern AGI development.</w:t>
      </w:r>
    </w:p>
    <w:p>
      <w:pPr>
        <w:spacing w:after="80" w:before="0"/>
      </w:pPr>
      <w:r>
        <w:t xml:space="preserve"/>
      </w:r>
    </w:p>
    <w:p>
      <w:pPr>
        <w:spacing w:after="80" w:before="240"/>
      </w:pPr>
      <w:r>
        <w:rPr>
          <w:rFonts w:ascii="Arial" w:cs="Arial" w:eastAsia="Arial" w:hAnsi="Arial"/>
          <w:b/>
          <w:bCs/>
          <w:color w:val="2C3E50"/>
          <w:sz w:val="24"/>
          <w:szCs w:val="24"/>
        </w:rPr>
        <w:t xml:space="preserve">Advance Preparation Questions (Distribute to Students)</w:t>
      </w:r>
    </w:p>
    <w:p>
      <w:pPr>
        <w:spacing w:after="160" w:before="0" w:line="276" w:lineRule="auto"/>
        <w:ind w:firstLine="0"/>
        <w:jc w:val="both"/>
      </w:pPr>
      <w:r>
        <w:rPr>
          <w:rFonts w:ascii="Times New Roman" w:cs="Times New Roman" w:eastAsia="Times New Roman" w:hAnsi="Times New Roman"/>
          <w:sz w:val="24"/>
          <w:szCs w:val="24"/>
        </w:rPr>
        <w:t xml:space="preserve">Assign these before class. Students should prepare written notes — not a polished memo, but genuine analysis.</w:t>
      </w:r>
    </w:p>
    <w:p>
      <w:pPr>
        <w:pStyle w:val="ListParagraph"/>
        <w:numPr>
          <w:ilvl w:val="0"/>
          <w:numId w:val="4"/>
        </w:numPr>
        <w:spacing w:after="80" w:before="80"/>
      </w:pPr>
      <w:r>
        <w:rPr>
          <w:rFonts w:ascii="Times New Roman" w:cs="Times New Roman" w:eastAsia="Times New Roman" w:hAnsi="Times New Roman"/>
          <w:sz w:val="24"/>
          <w:szCs w:val="24"/>
        </w:rPr>
        <w:t xml:space="preserve">Was the OpenAI board right to fire Sam Altman? Construct the strongest possible case for the board's decision, then the strongest possible case against it. Where do you land — and why?</w:t>
      </w:r>
    </w:p>
    <w:p>
      <w:pPr>
        <w:pStyle w:val="ListParagraph"/>
        <w:numPr>
          <w:ilvl w:val="0"/>
          <w:numId w:val="4"/>
        </w:numPr>
        <w:spacing w:after="80" w:before="80"/>
      </w:pPr>
      <w:r>
        <w:rPr>
          <w:rFonts w:ascii="Times New Roman" w:cs="Times New Roman" w:eastAsia="Times New Roman" w:hAnsi="Times New Roman"/>
          <w:sz w:val="24"/>
          <w:szCs w:val="24"/>
        </w:rPr>
        <w:t xml:space="preserve">Map the stakeholders in this crisis using Exhibit 3. Whose interests prevailed in the outcome? Whose were sacrificed? Was this the right result?</w:t>
      </w:r>
    </w:p>
    <w:p>
      <w:pPr>
        <w:pStyle w:val="ListParagraph"/>
        <w:numPr>
          <w:ilvl w:val="0"/>
          <w:numId w:val="4"/>
        </w:numPr>
        <w:spacing w:after="80" w:before="80"/>
      </w:pPr>
      <w:r>
        <w:rPr>
          <w:rFonts w:ascii="Times New Roman" w:cs="Times New Roman" w:eastAsia="Times New Roman" w:hAnsi="Times New Roman"/>
          <w:sz w:val="24"/>
          <w:szCs w:val="24"/>
        </w:rPr>
        <w:t xml:space="preserve">Using Exhibit 4, evaluate the four governance options available post-crisis. Which would you recommend — and on what criteria? Be specific about trade-offs.</w:t>
      </w:r>
    </w:p>
    <w:p>
      <w:pPr>
        <w:pStyle w:val="ListParagraph"/>
        <w:numPr>
          <w:ilvl w:val="0"/>
          <w:numId w:val="4"/>
        </w:numPr>
        <w:spacing w:after="80" w:before="80"/>
      </w:pPr>
      <w:r>
        <w:rPr>
          <w:rFonts w:ascii="Times New Roman" w:cs="Times New Roman" w:eastAsia="Times New Roman" w:hAnsi="Times New Roman"/>
          <w:sz w:val="24"/>
          <w:szCs w:val="24"/>
        </w:rPr>
        <w:t xml:space="preserve">OpenAI's stated mission is the benefit of humanity. Its 2025 restructuring gave the nonprofit a 26% stake in a $300B commercial entity. Is that structure consistent with the mission? What would genuinely consistent structure look like?</w:t>
      </w:r>
    </w:p>
    <w:p>
      <w:pPr>
        <w:spacing w:after="80" w:before="0"/>
      </w:pPr>
      <w:r>
        <w:t xml:space="preserve"/>
      </w:r>
    </w:p>
    <w:p>
      <w:pPr>
        <w:spacing w:after="80" w:before="240"/>
      </w:pPr>
      <w:r>
        <w:rPr>
          <w:rFonts w:ascii="Arial" w:cs="Arial" w:eastAsia="Arial" w:hAnsi="Arial"/>
          <w:b/>
          <w:bCs/>
          <w:color w:val="2C3E50"/>
          <w:sz w:val="24"/>
          <w:szCs w:val="24"/>
        </w:rPr>
        <w:t xml:space="preserve">90-Minute Board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00"/>
        <w:gridCol w:w="2600"/>
        <w:gridCol w:w="2200"/>
        <w:gridCol w:w="3360"/>
      </w:tblGrid>
      <w:tr>
        <w:trPr>
          <w:tblHeader/>
        </w:trPr>
        <w:tc>
          <w:tcPr>
            <w:tcW w:type="dxa" w:w="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2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Activity</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Board Pasture</w:t>
            </w:r>
          </w:p>
        </w:tc>
        <w:tc>
          <w:tcPr>
            <w:tcW w:type="dxa" w:w="3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0:00</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5 min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Cold-call opening: 'You are Bret Taylor. The phone just rang. What are you thinking?'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Surface immediate framing without prejudice</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0:05</w:t>
            </w:r>
          </w:p>
        </w:tc>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15 min</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Situation analysis: What actually happened? Who decided what, and when?</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Left board: Timeline &amp; Facts</w:t>
            </w:r>
          </w:p>
        </w:tc>
        <w:tc>
          <w:tcPr>
            <w:tcW w:type="dxa" w:w="3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Establish shared factual foundation; surface contradictions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0:20</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20 min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Board's decision: Was it legitimate? What were they really worried about?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Center: Agency Theory / Stakeholder Map</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Force students to steelman the board's position before attacking it</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0:40</w:t>
            </w:r>
          </w:p>
        </w:tc>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20 min</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Governance options: Which structure should emerge?</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Right board: Options Matrix</w:t>
            </w:r>
          </w:p>
        </w:tc>
        <w:tc>
          <w:tcPr>
            <w:tcW w:type="dxa" w:w="3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Apply frameworks; force trade-off thinking and recommendation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1:00</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15 min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Macro question: Can any institution govern AGI?</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Center — revisit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Elevate from operational to civilizational frame; no consensus expected</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1:15</w:t>
            </w:r>
          </w:p>
        </w:tc>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10 min</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What actually happened — Part B debrief</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w:t>
            </w:r>
          </w:p>
        </w:tc>
        <w:tc>
          <w:tcPr>
            <w:tcW w:type="dxa" w:w="3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Connect analysis to reality; complicate students' confident positions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1:25</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5 min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Synthesis: What is the one thing you will remember from today's case?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Crystallize individual learning; close loop</w:t>
            </w:r>
          </w:p>
        </w:tc>
      </w:tr>
    </w:tbl>
    <w:p>
      <w:pPr>
        <w:spacing w:after="80" w:before="0"/>
      </w:pPr>
      <w:r>
        <w:t xml:space="preserve"/>
      </w:r>
    </w:p>
    <w:p>
      <w:pPr>
        <w:spacing w:after="80" w:before="240"/>
      </w:pPr>
      <w:r>
        <w:rPr>
          <w:rFonts w:ascii="Arial" w:cs="Arial" w:eastAsia="Arial" w:hAnsi="Arial"/>
          <w:b/>
          <w:bCs/>
          <w:color w:val="2C3E50"/>
          <w:sz w:val="24"/>
          <w:szCs w:val="24"/>
        </w:rPr>
        <w:t xml:space="preserve">Discussion Questions with Model Answers</w:t>
      </w:r>
    </w:p>
    <w:p>
      <w:pPr>
        <w:spacing w:after="80" w:before="240"/>
      </w:pPr>
      <w:r>
        <w:rPr>
          <w:rFonts w:ascii="Arial" w:cs="Arial" w:eastAsia="Arial" w:hAnsi="Arial"/>
          <w:b/>
          <w:bCs/>
          <w:color w:val="2C3E50"/>
          <w:sz w:val="24"/>
          <w:szCs w:val="24"/>
        </w:rPr>
        <w:t xml:space="preserve">Q1: Was the board right to fire Altman?</w:t>
      </w:r>
    </w:p>
    <w:p>
      <w:pPr>
        <w:spacing w:after="160" w:before="0" w:line="276" w:lineRule="auto"/>
        <w:ind w:firstLine="0"/>
        <w:jc w:val="both"/>
      </w:pPr>
      <w:r>
        <w:rPr>
          <w:rFonts w:ascii="Times New Roman" w:cs="Times New Roman" w:eastAsia="Times New Roman" w:hAnsi="Times New Roman"/>
          <w:sz w:val="24"/>
          <w:szCs w:val="24"/>
        </w:rPr>
        <w:t xml:space="preserve">Opening move: Cold-call a student who you know has a strong opinion. Then immediately call on someone who disagrees. Let the room polarize before you start structuring.</w:t>
      </w:r>
    </w:p>
    <w:p>
      <w:pPr>
        <w:spacing w:after="160" w:before="0" w:line="276" w:lineRule="auto"/>
        <w:ind w:left="720" w:right="720"/>
        <w:jc w:val="both"/>
      </w:pPr>
      <w:r>
        <w:rPr>
          <w:rFonts w:ascii="Times New Roman" w:cs="Times New Roman" w:eastAsia="Times New Roman" w:hAnsi="Times New Roman"/>
          <w:i/>
          <w:iCs/>
          <w:sz w:val="22"/>
          <w:szCs w:val="22"/>
        </w:rPr>
        <w:t xml:space="preserve">A+ Answer: The student distinguishes between the board's substantive concerns (which may have been legitimate) and their execution (which was catastrophically poor). They invoke agency theory — the board held formal fiduciary duty to humanity, and they had documented evidence of behavior that undermined trust. But they also apply institutional design logic: a board of four people, with no communication plan and no replacement lined up, cannot exercise fiduciary authority over a company where the CEO has become synonymous with the product in the market's mind. The student concludes that the board was right about the problem and wrong about the solution — and that the governance structure made any other outcome nearly impossible.</w:t>
      </w:r>
    </w:p>
    <w:p>
      <w:pPr>
        <w:spacing w:after="160" w:before="0" w:line="276" w:lineRule="auto"/>
        <w:ind w:left="720" w:right="720"/>
        <w:jc w:val="both"/>
      </w:pPr>
      <w:r>
        <w:rPr>
          <w:rFonts w:ascii="Times New Roman" w:cs="Times New Roman" w:eastAsia="Times New Roman" w:hAnsi="Times New Roman"/>
          <w:i/>
          <w:iCs/>
          <w:sz w:val="22"/>
          <w:szCs w:val="22"/>
        </w:rPr>
        <w:t xml:space="preserve">B Answer: The student correctly identifies the governance failure but frames it purely as an execution problem ("they should have had a plan"). Does not grapple with the deeper structural impossibility.</w:t>
      </w:r>
    </w:p>
    <w:p>
      <w:pPr>
        <w:spacing w:after="160" w:before="0" w:line="276" w:lineRule="auto"/>
        <w:ind w:left="720" w:right="720"/>
        <w:jc w:val="both"/>
      </w:pPr>
      <w:r>
        <w:rPr>
          <w:rFonts w:ascii="Times New Roman" w:cs="Times New Roman" w:eastAsia="Times New Roman" w:hAnsi="Times New Roman"/>
          <w:i/>
          <w:iCs/>
          <w:sz w:val="22"/>
          <w:szCs w:val="22"/>
        </w:rPr>
        <w:t xml:space="preserve">Common Wrong Answer: "The board was clearly incompetent — they lasted five days." Redirect: "Five days is not evidence of incompetence. It may be evidence that the structure made any independent board action impossible. Can a board be right about the problem and still fail? What does that tell us about the design?"</w:t>
      </w:r>
    </w:p>
    <w:p>
      <w:pPr>
        <w:spacing w:after="80" w:before="240"/>
      </w:pPr>
      <w:r>
        <w:rPr>
          <w:rFonts w:ascii="Arial" w:cs="Arial" w:eastAsia="Arial" w:hAnsi="Arial"/>
          <w:b/>
          <w:bCs/>
          <w:color w:val="2C3E50"/>
          <w:sz w:val="24"/>
          <w:szCs w:val="24"/>
        </w:rPr>
        <w:t xml:space="preserve">Q2: What does the employee letter tell us about governance?</w:t>
      </w:r>
    </w:p>
    <w:p>
      <w:pPr>
        <w:spacing w:after="160" w:before="0" w:line="276" w:lineRule="auto"/>
        <w:ind w:firstLine="0"/>
        <w:jc w:val="both"/>
      </w:pPr>
      <w:r>
        <w:rPr>
          <w:rFonts w:ascii="Times New Roman" w:cs="Times New Roman" w:eastAsia="Times New Roman" w:hAnsi="Times New Roman"/>
          <w:sz w:val="24"/>
          <w:szCs w:val="24"/>
        </w:rPr>
        <w:t xml:space="preserve">Opening move: Read the key line aloud — "We believe that the board's actions have made it impossible for OpenAI to pursue its mission, and we are prepared to resign." Ask: Is this a legitimate exercise of employee voice? Or is it coercion?</w:t>
      </w:r>
    </w:p>
    <w:p>
      <w:pPr>
        <w:spacing w:after="160" w:before="0" w:line="276" w:lineRule="auto"/>
        <w:ind w:left="720" w:right="720"/>
        <w:jc w:val="both"/>
      </w:pPr>
      <w:r>
        <w:rPr>
          <w:rFonts w:ascii="Times New Roman" w:cs="Times New Roman" w:eastAsia="Times New Roman" w:hAnsi="Times New Roman"/>
          <w:i/>
          <w:iCs/>
          <w:sz w:val="22"/>
          <w:szCs w:val="22"/>
        </w:rPr>
        <w:t xml:space="preserve">A+ Answer: The student identifies the profound paradox: 745 employees threatening to leave in order to "save the mission" are simultaneously demonstrating that the mission is inseparable from commercial continuity — and that the nonprofit board, which held formal authority over the mission, had zero real leverage over the people whose work constituted the mission. This is a textbook illustration of the gap between legal authority and operational power. The board's formal authority to govern humanity's interests was negated by employees whose financial interests and career capital were bound to Altman's success.</w:t>
      </w:r>
    </w:p>
    <w:p>
      <w:pPr>
        <w:spacing w:after="160" w:before="0" w:line="276" w:lineRule="auto"/>
        <w:ind w:left="720" w:right="720"/>
        <w:jc w:val="both"/>
      </w:pPr>
      <w:r>
        <w:rPr>
          <w:rFonts w:ascii="Times New Roman" w:cs="Times New Roman" w:eastAsia="Times New Roman" w:hAnsi="Times New Roman"/>
          <w:i/>
          <w:iCs/>
          <w:sz w:val="22"/>
          <w:szCs w:val="22"/>
        </w:rPr>
        <w:t xml:space="preserve">Follow-up probes: "What does it mean for governance that the board's most powerful check — the power to fire the CEO — was immediately neutralized by 97% of the workforce? Is there any structure that would have changed this dynamic?" | "If you signed that letter, what would you be saying about your own judgment — that profit mattered more than safety, or that Altman's leadership was itself the safety guarantee?"</w:t>
      </w:r>
    </w:p>
    <w:p>
      <w:pPr>
        <w:spacing w:after="80" w:before="240"/>
      </w:pPr>
      <w:r>
        <w:rPr>
          <w:rFonts w:ascii="Arial" w:cs="Arial" w:eastAsia="Arial" w:hAnsi="Arial"/>
          <w:b/>
          <w:bCs/>
          <w:color w:val="2C3E50"/>
          <w:sz w:val="24"/>
          <w:szCs w:val="24"/>
        </w:rPr>
        <w:t xml:space="preserve">Q3: Which governance structure do you recommend?</w:t>
      </w:r>
    </w:p>
    <w:p>
      <w:pPr>
        <w:spacing w:after="160" w:before="0" w:line="276" w:lineRule="auto"/>
        <w:ind w:firstLine="0"/>
        <w:jc w:val="both"/>
      </w:pPr>
      <w:r>
        <w:rPr>
          <w:rFonts w:ascii="Times New Roman" w:cs="Times New Roman" w:eastAsia="Times New Roman" w:hAnsi="Times New Roman"/>
          <w:sz w:val="24"/>
          <w:szCs w:val="24"/>
        </w:rPr>
        <w:t xml:space="preserve">Opening move: Ask each student to commit to one of the four options in Exhibit 4 before discussion begins. Take a show of hands. Then test each position.</w:t>
      </w:r>
    </w:p>
    <w:p>
      <w:pPr>
        <w:spacing w:after="160" w:before="0" w:line="276" w:lineRule="auto"/>
        <w:ind w:left="720" w:right="720"/>
        <w:jc w:val="both"/>
      </w:pPr>
      <w:r>
        <w:rPr>
          <w:rFonts w:ascii="Times New Roman" w:cs="Times New Roman" w:eastAsia="Times New Roman" w:hAnsi="Times New Roman"/>
          <w:i/>
          <w:iCs/>
          <w:sz w:val="22"/>
          <w:szCs w:val="22"/>
        </w:rPr>
        <w:t xml:space="preserve">A+ Answer: The student argues for Option C (PBC hybrid) with significant skepticism — they recommend it not because it's the right answer, but because it's the only answer that doesn't immediately destroy either the company or the mission. They then specify the conditions under which Option C fails (which is most conditions involving real commercial pressure and real safety trade-offs) and call for a complementary regulatory framework, since corporate governance alone cannot solve what is essentially a coordination problem across the entire AI industry. This student earns the floor.</w:t>
      </w:r>
    </w:p>
    <w:p>
      <w:pPr>
        <w:spacing w:after="160" w:before="0" w:line="276" w:lineRule="auto"/>
        <w:ind w:left="720" w:right="720"/>
        <w:jc w:val="both"/>
      </w:pPr>
      <w:r>
        <w:rPr>
          <w:rFonts w:ascii="Times New Roman" w:cs="Times New Roman" w:eastAsia="Times New Roman" w:hAnsi="Times New Roman"/>
          <w:i/>
          <w:iCs/>
          <w:sz w:val="22"/>
          <w:szCs w:val="22"/>
        </w:rPr>
        <w:t xml:space="preserve">Common Wrong Answer: Option D (regulated utility). Probe: "Name one AGI-capable government regulatory body that exists today. How do you get international coordination on AI governance when the two largest AI powers have fundamentally different governance systems? Who regulates a company whose servers are in 40 countries?"</w:t>
      </w:r>
    </w:p>
    <w:p>
      <w:pPr>
        <w:spacing w:after="80" w:before="240"/>
      </w:pPr>
      <w:r>
        <w:rPr>
          <w:rFonts w:ascii="Arial" w:cs="Arial" w:eastAsia="Arial" w:hAnsi="Arial"/>
          <w:b/>
          <w:bCs/>
          <w:color w:val="2C3E50"/>
          <w:sz w:val="24"/>
          <w:szCs w:val="24"/>
        </w:rPr>
        <w:t xml:space="preserve">Q4: What does OpenAI imply for AI governance globally?</w:t>
      </w:r>
    </w:p>
    <w:p>
      <w:pPr>
        <w:spacing w:after="160" w:before="0" w:line="276" w:lineRule="auto"/>
        <w:ind w:firstLine="0"/>
        <w:jc w:val="both"/>
      </w:pPr>
      <w:r>
        <w:rPr>
          <w:rFonts w:ascii="Times New Roman" w:cs="Times New Roman" w:eastAsia="Times New Roman" w:hAnsi="Times New Roman"/>
          <w:sz w:val="24"/>
          <w:szCs w:val="24"/>
        </w:rPr>
        <w:t xml:space="preserve">This is the Level 3 question. Reserve 15 minutes for it. Do not let the class answer it too quickly.</w:t>
      </w:r>
    </w:p>
    <w:p>
      <w:pPr>
        <w:spacing w:after="160" w:before="0" w:line="276" w:lineRule="auto"/>
        <w:ind w:left="720" w:right="720"/>
        <w:jc w:val="both"/>
      </w:pPr>
      <w:r>
        <w:rPr>
          <w:rFonts w:ascii="Times New Roman" w:cs="Times New Roman" w:eastAsia="Times New Roman" w:hAnsi="Times New Roman"/>
          <w:i/>
          <w:iCs/>
          <w:sz w:val="22"/>
          <w:szCs w:val="22"/>
        </w:rPr>
        <w:t xml:space="preserve">A+ Answer: The student connects the OpenAI crisis to a structural problem in AI governance: the technology that requires the most oversight is also the technology that generates the most capital, the most talent gravity, and the most geopolitical importance — which means every governance mechanism that imposes costs on development will be systematically undermined by parties who benefit from development continuing unchecked. OpenAI is not a cautionary tale about one bad board or one too-powerful CEO. It is a preview of every AGI governance attempt for the next 30 years.</w:t>
      </w:r>
    </w:p>
    <w:p>
      <w:pPr>
        <w:spacing w:after="80" w:before="0"/>
      </w:pPr>
      <w:r>
        <w:t xml:space="preserve"/>
      </w:r>
    </w:p>
    <w:p>
      <w:pPr>
        <w:spacing w:after="80" w:before="240"/>
      </w:pPr>
      <w:r>
        <w:rPr>
          <w:rFonts w:ascii="Arial" w:cs="Arial" w:eastAsia="Arial" w:hAnsi="Arial"/>
          <w:b/>
          <w:bCs/>
          <w:color w:val="2C3E50"/>
          <w:sz w:val="24"/>
          <w:szCs w:val="24"/>
        </w:rPr>
        <w:t xml:space="preserve">Epilogue — What Actually Happened (Part B Notes)</w:t>
      </w:r>
    </w:p>
    <w:p>
      <w:pPr>
        <w:spacing w:after="160" w:before="0" w:line="276" w:lineRule="auto"/>
        <w:ind w:firstLine="0"/>
        <w:jc w:val="both"/>
      </w:pPr>
      <w:r>
        <w:rPr>
          <w:rFonts w:ascii="Times New Roman" w:cs="Times New Roman" w:eastAsia="Times New Roman" w:hAnsi="Times New Roman"/>
          <w:sz w:val="24"/>
          <w:szCs w:val="24"/>
        </w:rPr>
        <w:t xml:space="preserve">Bret Taylor accepted the board chairmanship. Altman was reinstated with Lawrence Summers and Adam D'Angelo on a new board. The WilmerHave investigation concluded Altman's behavior did not mandate removal. Sutskever departed in May 2024 to found Safe Superintelligence Inc. Jan Leike resigned the same day with a public safety critique. The superalignment team was dissolved. OpenAI's revenues grew from $2B (2023) to $20B (2025). The nonprofit-to-PBC restructuring was approved by California and Delaware AGs with conditions. The Musk trial commenced in Oakland in April 2026, with Altman, Brockman, Sutskever, Murati, and Microsoft CEO Satya Nadella expected to testify. The trial's outcome will determine whether AI labs can lawfully transition from charitable to commercial entities — and will be the most consequential AI governance ruling in history.</w:t>
      </w:r>
    </w:p>
    <w:p>
      <w:pPr>
        <w:spacing w:after="160" w:before="0" w:line="276" w:lineRule="auto"/>
        <w:ind w:firstLine="0"/>
        <w:jc w:val="both"/>
      </w:pPr>
      <w:r>
        <w:rPr>
          <w:rFonts w:ascii="Times New Roman" w:cs="Times New Roman" w:eastAsia="Times New Roman" w:hAnsi="Times New Roman"/>
          <w:sz w:val="24"/>
          <w:szCs w:val="24"/>
        </w:rPr>
        <w:t xml:space="preserve">Key lessons from the actual outcome: (1) In companies where human capital is the primary asset, formal governance authority is consistently defeated by operational gravity. (2) The market for frontier AI has created structural incentives that make any genuine independent oversight extremely difficult to sustain. (3) The original OpenAI nonprofit model was not a failure of execution — it was a genuine attempt to solve an unsolvable problem. The fact that it failed does not mean the problem was wrong.</w:t>
      </w:r>
    </w:p>
    <w:p>
      <w:pPr>
        <w:spacing w:after="80" w:before="0"/>
      </w:pPr>
      <w:r>
        <w:t xml:space="preserve"/>
      </w:r>
    </w:p>
    <w:p>
      <w:pPr>
        <w:spacing w:after="80" w:before="240"/>
      </w:pPr>
      <w:r>
        <w:rPr>
          <w:rFonts w:ascii="Arial" w:cs="Arial" w:eastAsia="Arial" w:hAnsi="Arial"/>
          <w:b/>
          <w:bCs/>
          <w:color w:val="2C3E50"/>
          <w:sz w:val="24"/>
          <w:szCs w:val="24"/>
        </w:rPr>
        <w:t xml:space="preserve">Supplementary Materials</w:t>
      </w:r>
    </w:p>
    <w:p>
      <w:pPr>
        <w:pStyle w:val="ListParagraph"/>
        <w:numPr>
          <w:ilvl w:val="0"/>
          <w:numId w:val="5"/>
        </w:numPr>
        <w:spacing w:after="60" w:before="60"/>
      </w:pPr>
      <w:r>
        <w:rPr>
          <w:rFonts w:ascii="Times New Roman" w:cs="Times New Roman" w:eastAsia="Times New Roman" w:hAnsi="Times New Roman"/>
          <w:sz w:val="24"/>
          <w:szCs w:val="24"/>
        </w:rPr>
        <w:t xml:space="preserve">Recommended reading: Farrow &amp; Marantz, 'Sam Altman's Peculiar Path to AI Supremacy,' The New Yorker (2025) — most detailed reconstruction of the November 2023 events</w:t>
      </w:r>
    </w:p>
    <w:p>
      <w:pPr>
        <w:pStyle w:val="ListParagraph"/>
        <w:numPr>
          <w:ilvl w:val="0"/>
          <w:numId w:val="5"/>
        </w:numPr>
        <w:spacing w:after="60" w:before="60"/>
      </w:pPr>
      <w:r>
        <w:rPr>
          <w:rFonts w:ascii="Times New Roman" w:cs="Times New Roman" w:eastAsia="Times New Roman" w:hAnsi="Times New Roman"/>
          <w:sz w:val="24"/>
          <w:szCs w:val="24"/>
        </w:rPr>
        <w:t xml:space="preserve">Recommended reading: Helen Toner, 'Why OpenAI's Structure Puts Safety at Risk,' CSET Georgetown (2023)</w:t>
      </w:r>
    </w:p>
    <w:p>
      <w:pPr>
        <w:pStyle w:val="ListParagraph"/>
        <w:numPr>
          <w:ilvl w:val="0"/>
          <w:numId w:val="5"/>
        </w:numPr>
        <w:spacing w:after="60" w:before="60"/>
      </w:pPr>
      <w:r>
        <w:rPr>
          <w:rFonts w:ascii="Times New Roman" w:cs="Times New Roman" w:eastAsia="Times New Roman" w:hAnsi="Times New Roman"/>
          <w:sz w:val="24"/>
          <w:szCs w:val="24"/>
        </w:rPr>
        <w:t xml:space="preserve">Companion case: 'Anthropic: The Safety Bet' (counterpart case — AI lab founded by former OpenAI safety team)</w:t>
      </w:r>
    </w:p>
    <w:p>
      <w:pPr>
        <w:pStyle w:val="ListParagraph"/>
        <w:numPr>
          <w:ilvl w:val="0"/>
          <w:numId w:val="5"/>
        </w:numPr>
        <w:spacing w:after="60" w:before="60"/>
      </w:pPr>
      <w:r>
        <w:rPr>
          <w:rFonts w:ascii="Times New Roman" w:cs="Times New Roman" w:eastAsia="Times New Roman" w:hAnsi="Times New Roman"/>
          <w:sz w:val="24"/>
          <w:szCs w:val="24"/>
        </w:rPr>
        <w:t xml:space="preserve">Video: Sam Altman's US Senate testimony, May 2023 (1:43 — note specific claims about safety governance)</w:t>
      </w:r>
    </w:p>
    <w:p>
      <w:pPr>
        <w:pStyle w:val="ListParagraph"/>
        <w:numPr>
          <w:ilvl w:val="0"/>
          <w:numId w:val="5"/>
        </w:numPr>
        <w:spacing w:after="60" w:before="60"/>
      </w:pPr>
      <w:r>
        <w:rPr>
          <w:rFonts w:ascii="Times New Roman" w:cs="Times New Roman" w:eastAsia="Times New Roman" w:hAnsi="Times New Roman"/>
          <w:sz w:val="24"/>
          <w:szCs w:val="24"/>
        </w:rPr>
        <w:t xml:space="preserve">Excel model: Governance options NPV/scenario analysis template (available from case centre on request)</w:t>
      </w:r>
    </w:p>
    <w:p>
      <w:pPr>
        <w:pStyle w:val="ListParagraph"/>
        <w:numPr>
          <w:ilvl w:val="0"/>
          <w:numId w:val="5"/>
        </w:numPr>
        <w:spacing w:after="60" w:before="60"/>
      </w:pPr>
      <w:r>
        <w:rPr>
          <w:rFonts w:ascii="Times New Roman" w:cs="Times New Roman" w:eastAsia="Times New Roman" w:hAnsi="Times New Roman"/>
          <w:sz w:val="24"/>
          <w:szCs w:val="24"/>
        </w:rPr>
        <w:t xml:space="preserve">Legal background: State Attorney General settlement terms, California and Delaware, October 2025 (public record)</w:t>
      </w:r>
    </w:p>
    <w:sectPr>
      <w:headerReference w:type="default" r:id="rId11"/>
      <w:footerReference w:type="default" r:id="rId12"/>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6"/>
        <w:szCs w:val="16"/>
      </w:rPr>
      <w:t xml:space="preserve">Copyright © 2025 — Harvard Business School Case Study Series  |     </w:t>
    </w:r>
    <w:r>
      <w:rPr>
        <w:rFonts w:ascii="Arial" w:cs="Arial" w:eastAsia="Arial" w:hAnsi="Arial"/>
        <w:color w:val="888888"/>
        <w:sz w:val="16"/>
        <w:szCs w:val="16"/>
      </w:rPr>
      <w:pgNum/>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6"/>
        <w:szCs w:val="16"/>
      </w:rPr>
      <w:t xml:space="preserve">Copyright © 2025  |     </w:t>
    </w:r>
    <w:r>
      <w:rPr>
        <w:rFonts w:ascii="Arial" w:cs="Arial" w:eastAsia="Arial" w:hAnsi="Arial"/>
        <w:color w:val="888888"/>
        <w:sz w:val="16"/>
        <w:szCs w:val="16"/>
      </w:rPr>
      <w:pgNum/>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6"/>
        <w:szCs w:val="16"/>
      </w:rPr>
      <w:t xml:space="preserve">CONFIDENTIAL — Not for Student Distribution  |     </w:t>
    </w:r>
    <w:r>
      <w:rPr>
        <w:rFonts w:ascii="Arial" w:cs="Arial" w:eastAsia="Arial" w:hAnsi="Arial"/>
        <w:color w:val="888888"/>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360"/>
      </w:tabs>
    </w:pPr>
    <w:r>
      <w:rPr>
        <w:rFonts w:ascii="Arial" w:cs="Arial" w:eastAsia="Arial" w:hAnsi="Arial"/>
        <w:b/>
        <w:bCs/>
        <w:color w:val="C0392B"/>
        <w:sz w:val="18"/>
        <w:szCs w:val="18"/>
      </w:rPr>
      <w:t xml:space="preserve">CASE NO: HBS-9-724-OPENAI</w:t>
    </w:r>
    <w:r>
      <w:rPr>
        <w:rFonts w:ascii="Arial" w:cs="Arial" w:eastAsia="Arial" w:hAnsi="Arial"/>
        <w:color w:val="888888"/>
        <w:sz w:val="18"/>
        <w:szCs w:val="18"/>
      </w:rPr>
      <w:t xml:space="preserve">	OpenAI: The Five-Day Coup</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360"/>
      </w:tabs>
    </w:pPr>
    <w:r>
      <w:rPr>
        <w:rFonts w:ascii="Arial" w:cs="Arial" w:eastAsia="Arial" w:hAnsi="Arial"/>
        <w:b/>
        <w:bCs/>
        <w:color w:val="C0392B"/>
        <w:sz w:val="18"/>
        <w:szCs w:val="18"/>
      </w:rPr>
      <w:t xml:space="preserve">CASE NO: HBS-9-724-OPENAI</w:t>
    </w:r>
    <w:r>
      <w:rPr>
        <w:rFonts w:ascii="Arial" w:cs="Arial" w:eastAsia="Arial" w:hAnsi="Arial"/>
        <w:color w:val="888888"/>
        <w:sz w:val="18"/>
        <w:szCs w:val="18"/>
      </w:rPr>
      <w:t xml:space="preserve">	Executive Synopsis</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360"/>
      </w:tabs>
    </w:pPr>
    <w:r>
      <w:rPr>
        <w:rFonts w:ascii="Arial" w:cs="Arial" w:eastAsia="Arial" w:hAnsi="Arial"/>
        <w:b/>
        <w:bCs/>
        <w:color w:val="C0392B"/>
        <w:sz w:val="18"/>
        <w:szCs w:val="18"/>
      </w:rPr>
      <w:t xml:space="preserve">CASE NO: HBS-9-724-OPENAI</w:t>
    </w:r>
    <w:r>
      <w:rPr>
        <w:rFonts w:ascii="Arial" w:cs="Arial" w:eastAsia="Arial" w:hAnsi="Arial"/>
        <w:color w:val="888888"/>
        <w:sz w:val="18"/>
        <w:szCs w:val="18"/>
      </w:rPr>
      <w:t xml:space="preserve">	CONFIDENTIAL — Teaching Note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2026-05-03T04:03:15.502Z</dcterms:created>
  <dcterms:modified xsi:type="dcterms:W3CDTF">2026-05-03T04:03:15.514Z</dcterms:modified>
</cp:coreProperties>
</file>

<file path=docProps/custom.xml><?xml version="1.0" encoding="utf-8"?>
<Properties xmlns="http://schemas.openxmlformats.org/officeDocument/2006/custom-properties" xmlns:vt="http://schemas.openxmlformats.org/officeDocument/2006/docPropsVTypes"/>
</file>