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240" w:before="0" w:line="360"/>
        <w:jc w:val="center"/>
      </w:pPr>
      <w:r>
        <w:rPr>
          <w:rFonts w:ascii="Times New Roman" w:cs="Times New Roman" w:eastAsia="Times New Roman" w:hAnsi="Times New Roman"/>
          <w:b/>
          <w:bCs/>
          <w:sz w:val="32"/>
          <w:szCs w:val="32"/>
        </w:rPr>
        <w:t xml:space="preserve">Governing the ESG Machine: A Theory of Algorithmic Accountability in Sustainable Finance Infrastructures</w:t>
      </w:r>
    </w:p>
    <w:p>
      <w:pPr>
        <w:spacing w:after="0" w:before="0" w:line="240"/>
      </w:pPr>
      <w:r>
        <w:t xml:space="preserve"/>
      </w:r>
    </w:p>
    <w:p>
      <w:pPr>
        <w:spacing w:after="120" w:before="0" w:line="360"/>
        <w:jc w:val="center"/>
      </w:pPr>
      <w:r>
        <w:rPr>
          <w:rFonts w:ascii="Times New Roman" w:cs="Times New Roman" w:eastAsia="Times New Roman" w:hAnsi="Times New Roman"/>
          <w:b/>
          <w:bCs/>
          <w:sz w:val="24"/>
          <w:szCs w:val="24"/>
        </w:rPr>
        <w:t xml:space="preserve">Debasis Pahi</w:t>
      </w:r>
    </w:p>
    <w:p>
      <w:pPr>
        <w:spacing w:after="80" w:before="0" w:line="300"/>
        <w:jc w:val="center"/>
      </w:pPr>
      <w:r>
        <w:rPr>
          <w:rFonts w:ascii="Times New Roman" w:cs="Times New Roman" w:eastAsia="Times New Roman" w:hAnsi="Times New Roman"/>
          <w:i/>
          <w:iCs/>
          <w:sz w:val="22"/>
          <w:szCs w:val="22"/>
        </w:rPr>
        <w:t xml:space="preserve">Assistant Professor (OES-I) &amp; Head of Department</w:t>
      </w:r>
    </w:p>
    <w:p>
      <w:pPr>
        <w:spacing w:after="80" w:before="0" w:line="300"/>
        <w:jc w:val="center"/>
      </w:pPr>
      <w:r>
        <w:rPr>
          <w:rFonts w:ascii="Times New Roman" w:cs="Times New Roman" w:eastAsia="Times New Roman" w:hAnsi="Times New Roman"/>
          <w:i/>
          <w:iCs/>
          <w:sz w:val="22"/>
          <w:szCs w:val="22"/>
        </w:rPr>
        <w:t xml:space="preserve">Department of Commerce, MDC Malkangiri</w:t>
      </w:r>
    </w:p>
    <w:p>
      <w:pPr>
        <w:spacing w:after="80" w:before="0" w:line="300"/>
        <w:jc w:val="center"/>
      </w:pPr>
      <w:r>
        <w:rPr>
          <w:rFonts w:ascii="Times New Roman" w:cs="Times New Roman" w:eastAsia="Times New Roman" w:hAnsi="Times New Roman"/>
          <w:i/>
          <w:iCs/>
          <w:sz w:val="22"/>
          <w:szCs w:val="22"/>
        </w:rPr>
        <w:t xml:space="preserve">Vikram Dev University, Jeypore, Odisha, India</w:t>
      </w:r>
    </w:p>
    <w:p>
      <w:pPr>
        <w:spacing w:after="80" w:before="0" w:line="300"/>
        <w:jc w:val="center"/>
      </w:pPr>
      <w:r>
        <w:rPr>
          <w:rFonts w:ascii="Times New Roman" w:cs="Times New Roman" w:eastAsia="Times New Roman" w:hAnsi="Times New Roman"/>
          <w:sz w:val="22"/>
          <w:szCs w:val="22"/>
        </w:rPr>
        <w:t xml:space="preserve">Email: drdebasis.research@gmail.com</w:t>
      </w:r>
    </w:p>
    <w:p>
      <w:pPr>
        <w:spacing w:after="0" w:before="0" w:line="240"/>
      </w:pPr>
      <w:r>
        <w:t xml:space="preserve"/>
      </w:r>
    </w:p>
    <w:p>
      <w:pPr>
        <w:spacing w:after="80" w:before="0" w:line="300"/>
        <w:jc w:val="center"/>
      </w:pPr>
      <w:r>
        <w:rPr>
          <w:rFonts w:ascii="Times New Roman" w:cs="Times New Roman" w:eastAsia="Times New Roman" w:hAnsi="Times New Roman"/>
          <w:i/>
          <w:iCs/>
          <w:sz w:val="20"/>
          <w:szCs w:val="20"/>
        </w:rPr>
        <w:t xml:space="preserve">Correspondence: Debasis Pahi, Department of Commerce, MDC Malkangiri, Vikram Dev University, Jeypore, Odisha 764045, India</w:t>
      </w:r>
    </w:p>
    <w:p>
      <w:pPr>
        <w:spacing w:after="0" w:before="0" w:line="240"/>
      </w:pPr>
      <w:r>
        <w:t xml:space="preserve"/>
      </w:r>
    </w:p>
    <w:p>
      <w:pPr>
        <w:spacing w:after="0" w:before="0" w:line="240"/>
      </w:pPr>
      <w:r>
        <w:t xml:space="preserve"/>
      </w:r>
    </w:p>
    <w:p>
      <w:pPr>
        <w:spacing w:after="8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Algorithmic Accountability; ESG Infrastructure; Sustainable Finance; AI Governance; Institutional Theory; Financial Regulation; Greenwashing</w:t>
      </w:r>
    </w:p>
    <w:p>
      <w:pPr>
        <w:spacing w:after="80" w:before="0" w:line="36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G18; G23; M14; O35; Q56; K23</w:t>
      </w:r>
    </w:p>
    <w:p>
      <w:pPr>
        <w:spacing w:after="80" w:before="0" w:line="360"/>
        <w:jc w:val="both"/>
      </w:pPr>
      <w:r>
        <w:rPr>
          <w:rFonts w:ascii="Times New Roman" w:cs="Times New Roman" w:eastAsia="Times New Roman" w:hAnsi="Times New Roman"/>
          <w:b/>
          <w:bCs/>
          <w:sz w:val="24"/>
          <w:szCs w:val="24"/>
        </w:rPr>
        <w:t xml:space="preserve">Target Journals: </w:t>
      </w:r>
      <w:r>
        <w:rPr>
          <w:rFonts w:ascii="Times New Roman" w:cs="Times New Roman" w:eastAsia="Times New Roman" w:hAnsi="Times New Roman"/>
          <w:i/>
          <w:iCs/>
          <w:sz w:val="24"/>
          <w:szCs w:val="24"/>
        </w:rPr>
        <w:t xml:space="preserve">Accounting, Organizations and Society | Journal of Business Ethics | Research Policy | Business Strategy and the Environment | Corporate Governance: An International Review</w:t>
      </w:r>
    </w:p>
    <w:p>
      <w:r>
        <w:br/>
        <w:t xml:space="preserve"/>
      </w:r>
    </w:p>
    <w:p>
      <w:pPr>
        <w:pStyle w:val="Heading1"/>
        <w:spacing w:after="160" w:before="400"/>
      </w:pPr>
      <w:r>
        <w:rPr>
          <w:rFonts w:ascii="Times New Roman" w:cs="Times New Roman" w:eastAsia="Times New Roman" w:hAnsi="Times New Roman"/>
          <w:b/>
          <w:bCs/>
          <w:caps/>
          <w:sz w:val="28"/>
          <w:szCs w:val="28"/>
        </w:rPr>
        <w:t xml:space="preserve">Abstract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rapid embedding of artificial intelligence, natural language processing, and machine learning within environmental, social, and governance (ESG) scoring and sustainable finance screening has fundamentally altered the information architectures through which capital is intermediated toward — or withheld from — firms, projects, and sovereign entities. Yet governance theory has remained conspicuously silent on a question of considerable institutional consequence: when algorithms govern access to sustainable capital, who governs the algorithms? This paper develops the first systematic theoretical framework of algorithmic accountability specific to sustainable finance infrastructures. Drawing upon institutional theory, principal-agent models extended to principal-algorithm-agent triads, and the sociology of calculative devices, we argue that algorithmic sustainable finance infrastructures redistribute epistemic power, opacity, and accountability deficits in structurally non-trivial ways that existing financial regulation and ESG governance regimes are conceptually ill-equipped to address. We introduce the construct of Algorithmic Accountability Gaps (AAGs) — comprising explainability deficits, contestability voids, distributional opacity, and institutional displacement — and theorize four governance mechanisms through which these gaps may be systematically closed: mandated explainability architectures, adversarial audit protocols, participatory taxonomy contestation, and multi-level regulatory orchestration. The framework advances scholarship at the intersection of AI governance, financial regulation theory, and sustainability accounting, and generates a programme of propositions with significant implications for the design of the next generation of ESG reporting standards and sustainable finance regulatory frameworks globally.</w:t>
      </w:r>
    </w:p>
    <w:p>
      <w:pPr>
        <w:spacing w:after="0" w:before="0" w:line="240"/>
      </w:pPr>
      <w:r>
        <w:t xml:space="preserve"/>
      </w:r>
    </w:p>
    <w:p>
      <w:r>
        <w:br/>
        <w:t xml:space="preserve"/>
      </w:r>
    </w:p>
    <w:p>
      <w:pPr>
        <w:pStyle w:val="Heading1"/>
        <w:spacing w:after="160" w:before="400"/>
      </w:pPr>
      <w:r>
        <w:rPr>
          <w:rFonts w:ascii="Times New Roman" w:cs="Times New Roman" w:eastAsia="Times New Roman" w:hAnsi="Times New Roman"/>
          <w:b/>
          <w:bCs/>
          <w:caps/>
          <w:sz w:val="28"/>
          <w:szCs w:val="28"/>
        </w:rPr>
        <w:t xml:space="preserve">I. Introduction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 2021, a major European asset manager was assessed by three leading ESG rating agencies and received scores placing it, simultaneously, in the top quintile, the middle quintile, and the bottom quintile of its peer group. This was not an anomaly produced by data gaps or methodological immaturity — it was a symptom of something structurally more unsettling: the ESG information infrastructure had become irreducibly algorithmic, and the algorithms disagreed [CITE VERIFY: Berg, Koelbel &amp; Rigobon (2022), Journal of Finance]. The divergence, as subsequent research has shown, is not random noise that diversification across raters can resolve; it reflects systematic architectural differences in how machine-learning pipelines weight, impute, and classify sustainability data. Capital allocation decisions affecting trillions of dollars of investment are now mediated by systems whose inner logic is, in many instances, proprietary, unauditable, and legally opaque.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situation represents a theoretical lacuna of considerable consequence. The governance of financial information has long occupied a central position in accounting and financial regulation scholarship — from early work on information asymmetry [CITE VERIFY: Akerlof (1970)] to the development of disclosure theory [CITE VERIFY: Verrecchia (2001), Journal of Accounting and Economics] — yet the emergence of algorithmic intermediaries as the dominant processors of sustainability information has introduced a qualitatively distinct class of accountability problem. When a human analyst applies judgment to disaggregate data, the epistemic process is, at least in principle, reconstructible and contestable. When a deep-learning model trained on undisclosed data translates heterogeneous firm-level ESG disclosures into a cardinal score that determines index inclusion, lending terms, or insurance pricing, the conditions for accountability are categorically different.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scholarly literature has not kept pace with these institutional developments. Empirical work has documented ESG rating disagreement [CITE VERIFY: Berg et al. (2022)], investigated the financial consequences of algorithmic ESG scoring [CITE NEEDED: recent papers on AI-based ESG and cost of capital, 2021-2024], and raised normative concerns about greenwashing facilitated by algorithmic complexity [CITE NEEDED: greenwashing and ESG ratings literature, 2020-2024]. What is absent — and what this paper aims to construct — is a formal theoretical account of how algorithmic infrastructures in sustainable finance systematically generate accountability deficits, and under what governance conditions those deficits can be remediated. This is not a call for more empirical studies of ESG rating disagreement; it is a call for a theory that explains why the accountability problem is structurally different when algorithms govern capital.</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We develop this theory through three interlocking moves. First, drawing on the sociology of calculative devices [CITE VERIFY: Callon &amp; Muniesa (2005), Economic Sociology] and Science and Technology Studies approaches to financial infrastructure [CITE VERIFY: Mackenzie (2006)], we reconceptualize algorithmic ESG scoring not as a neutral measurement technology but as an epistemic infrastructure — a set of sociotechnical arrangements that stabilizes, naturalizes, and eventually institutionalizes a particular vision of what "sustainability" means in financial terms. Second, we extend the principal-agent framework traditionally applied to ESG governance by introducing a third analytical layer — the algorithm — generating a principal-algorithm-agent triad in which accountability relations are obscured, displaced, and structurally ambiguous in ways that dyadic principal-agent models cannot capture. Third, we synthesize these moves into a governance theory of Algorithmic Accountability Gaps (AAGs) and derive four mechanism-families through which rational institutional actors and regulatory authorities can design accountability architectures capable of closing them.</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paper proceeds as follows. Section II maps the existing intellectual landscape, identifying the relevant debates in ESG governance, AI accountability, financial infrastructure theory, and accounting, and exposing the theoretical void this paper addresses. Section III establishes the theoretical foundations by developing the constructs of epistemic infrastructure and the principal-algorithm-agent triad. Section IV introduces the core conceptual framework of Algorithmic Accountability Gaps, specifying their four constitutive dimensions. Section V develops the governance theory and derives formal propositions. Section VI elaborates the multi-level institutional implications. Section VII discusses limitations and future research directions, and Section VIII concludes.</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II. Literature Review: Mapping the Theoretical Void</w:t>
      </w:r>
    </w:p>
    <w:p>
      <w:pPr>
        <w:pStyle w:val="Heading2"/>
        <w:spacing w:after="120" w:before="320"/>
      </w:pPr>
      <w:r>
        <w:rPr>
          <w:rFonts w:ascii="Times New Roman" w:cs="Times New Roman" w:eastAsia="Times New Roman" w:hAnsi="Times New Roman"/>
          <w:b/>
          <w:bCs/>
          <w:i/>
          <w:iCs/>
          <w:sz w:val="26"/>
          <w:szCs w:val="26"/>
        </w:rPr>
        <w:t xml:space="preserve">2.1 The ESG Information Ecosystem and Its Discontents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ESG investing, broadly defined as the incorporation of environmental, social, and governance criteria into financial decision-making, has expanded from a normative aspiration to an institutional reality commanding — by conservative estimates — over thirty trillion dollars in professionally managed assets globally [CITE NEEDED: GSIA Global Sustainable Investment Report, most recent]. The architecture supporting this expansion rests on a layered infrastructure of data providers, rating agencies, index constructors, and benchmark administrators. Theoretically, this architecture was supposed to resolve the classic disclosure problem: by aggregating dispersed, heterogeneous, and often incomparable firm-level sustainability data into standardized scores, rating agencies would reduce information asymmetries between firms and investors, enabling more efficient allocation of capital toward genuinely sustainable enterprises [CITE VERIFY: Eccles &amp; Stroehle (2018)].</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theoretical premise was never uncontested. Scholars in accounting and sustainability reporting have long observed that the construction of ESG scores embeds contestable normative judgments about what counts as material sustainability performance [CITE VERIFY: Hahn &amp; Kuhnen (2013), Journal of Cleaner Production]. More fundamentally, the ratings are not descriptions of sustainability performance; they are institutional constructions of it, shaped by the interests, methodological choices, and political economies of the organizations that produce them [CITE VERIFY: Chatterji et al. (2016), Strategic Management Journal]. What the recent literature has added — and what changes the analytical stakes considerably — is that this constructivist process has been substantially automated. Machine-learning models now perform the text classification, data imputation, controversy screening, and weighting operations that generate scores, at scale, across tens of thousands of firms. The normative choices once made by human analysts have been encoded into model architectures, training datasets, and loss functions — where they become invisible to the users of the resulting scores.</w:t>
      </w:r>
    </w:p>
    <w:p>
      <w:pPr>
        <w:pStyle w:val="Heading2"/>
        <w:spacing w:after="120" w:before="320"/>
      </w:pPr>
      <w:r>
        <w:rPr>
          <w:rFonts w:ascii="Times New Roman" w:cs="Times New Roman" w:eastAsia="Times New Roman" w:hAnsi="Times New Roman"/>
          <w:b/>
          <w:bCs/>
          <w:i/>
          <w:iCs/>
          <w:sz w:val="26"/>
          <w:szCs w:val="26"/>
        </w:rPr>
        <w:t xml:space="preserve">2.2 Algorithmic Accountability: The Broader Landscape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of algorithmic systems has generated an extensive interdisciplinary literature spanning computer science, legal theory, political philosophy, and organizational sociology. The concept of algorithmic accountability — broadly, the assignment of responsibility for the consequences of automated decision systems — has been developed through several distinct intellectual traditions. In computer science and AI safety research, the focus falls on technical properties: explainability, interpretability, fairness metrics, and uncertainty quantification [CITE VERIFY: Doshi-Velez &amp; Kim (2017)]. In legal and regulatory scholarship, the emphasis shifts to procedural rights — contestability, the right to an explanation, and liability attribution under regulatory frameworks such as the EU AI Act and GDPR [CITE NEEDED: EU AI Act scholarship, 2023-2024]. In organizational sociology, the question becomes institutional: how do accountability regimes for automated systems emerge, stabilize, and legitimate themselves within organizational fields [CITE VERIFY: Orlikowski &amp; Scott (2008), Information and Organization]?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Despite the richness of this literature, its application to financial governance has been partial and predominantly normative. Most contributions identify that financial algorithms raise accountability concerns and recommend transparency or explainability requirements; relatively few develop formal theoretical models of why accountability deficits arise structurally, what institutional conditions enable or obstruct their remediation, and how accountability mechanisms interact with the competitive dynamics of the sustainable finance industry. There is, in short, a theory — rather than merely a policy — gap.</w:t>
      </w:r>
    </w:p>
    <w:p>
      <w:pPr>
        <w:pStyle w:val="Heading2"/>
        <w:spacing w:after="120" w:before="320"/>
      </w:pPr>
      <w:r>
        <w:rPr>
          <w:rFonts w:ascii="Times New Roman" w:cs="Times New Roman" w:eastAsia="Times New Roman" w:hAnsi="Times New Roman"/>
          <w:b/>
          <w:bCs/>
          <w:i/>
          <w:iCs/>
          <w:sz w:val="26"/>
          <w:szCs w:val="26"/>
        </w:rPr>
        <w:t xml:space="preserve">2.3 Institutional Theory, Financial Infrastructures, and the Sociology of Calculation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 distinct and underutilized body of theory bears directly on the accountability question: the sociological analysis of financial markets as calculative devices and institutional infrastructures. Drawing on Callon's concept of performativity [CITE VERIFY: Callon (1998)] and Mackenzie's analysis of financial models as market devices [CITE VERIFY: Mackenzie (2006), An Engine, Not a Camera], this tradition argues that financial models do not merely represent market realities — they actively shape them. When models become sufficiently institutionally embedded, they acquire a quasi-regulatory authority: they define which firms are investable, which assets are green, and which risks are material, with consequences that feed back into firm behavior and market structure.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performative capacity is particularly consequential when models are opaque. Sociologists of science have long noted that the authority of a classification system depends partly on the invisibility of the classificatory work — classifications achieve their legitimating function precisely because they appear natural, technical, and beyond contestation [CITE VERIFY: Bowker &amp; Star (1999), Sorting Things Out]. Algorithmic ESG infrastructures replicate this dynamic in a new register: the computational complexity of the systems provides a technically modern form of closure that resists critique without the need for explicit legitimation claims.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Institutional theory, particularly its neo-institutional variant [CITE VERIFY: DiMaggio &amp; Powell (1983); Scott (2014)], adds a further dimension: organizational fields organize around shared cognitive frames and normative standards, and the entities that produce those frames and standards exercise disproportionate institutional power. ESG rating agencies and algorithmic data providers occupy precisely this position — they are field-level architects [CITE NEEDED: literature on standard-setters as field architects] whose classificatory decisions define the boundaries of legitimate sustainability performance. When these decisions are algorithmically generated and proprietary, the concentration of epistemic power they represent is qualitatively unlike anything institutional theory has previously theorized in the context of financial governance.</w:t>
      </w:r>
    </w:p>
    <w:p>
      <w:pPr>
        <w:pStyle w:val="Heading2"/>
        <w:spacing w:after="120" w:before="320"/>
      </w:pPr>
      <w:r>
        <w:rPr>
          <w:rFonts w:ascii="Times New Roman" w:cs="Times New Roman" w:eastAsia="Times New Roman" w:hAnsi="Times New Roman"/>
          <w:b/>
          <w:bCs/>
          <w:i/>
          <w:iCs/>
          <w:sz w:val="26"/>
          <w:szCs w:val="26"/>
        </w:rPr>
        <w:t xml:space="preserve">2.4 What Existing Frameworks Cannot Explain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existing literature, taken together, confronts three constitutive limitations when applied to the specific problem of algorithmic accountability in sustainable finance. First, governance frameworks drawn from AI ethics and computer science treat explainability as a technical property of individual models — a question of architecture (attention mechanisms, SHAP values, LIME explanations) — without theorizing the institutional conditions under which explainability requirements could be enforced and what enforcement would mean in competitive market contexts. Second, ESG governance frameworks, whether stakeholder-theoretic or legitimacy-theoretic, presuppose that the relevant actors are humans — firms, managers, investors, civil society — whose strategic behaviors can be analyzed through conventional principal-agent or game-theoretic lenses. The interposition of an algorithm between institutional principals and agents is treated as a technical detail rather than as an analytically significant structural transformation. Third, accounting and reporting theory has made important contributions to understanding disclosure [CITE VERIFY: Healy &amp; Palepu (2001)] and the political economy of standard-setting [CITE VERIFY: Watts &amp; Zimmerman (1990)], but has not yet grappled with the implications of a world in which sustainability disclosures are algorithmically processed into scores by private entities whose methodologies are neither standardized nor auditable under existing accounting frameworks.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theoretical space opened by these three limitations is the space this paper inhabits. The contribution is not incremental — it is foundational. We propose the first formal theoretical architecture for understanding algorithmic accountability as a governance problem specific to sustainable finance, with the analytical precision needed to generate testable propositions and policy-actionable governance prescriptions.</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III. Theoretical Foundations</w:t>
      </w:r>
    </w:p>
    <w:p>
      <w:pPr>
        <w:pStyle w:val="Heading2"/>
        <w:spacing w:after="120" w:before="320"/>
      </w:pPr>
      <w:r>
        <w:rPr>
          <w:rFonts w:ascii="Times New Roman" w:cs="Times New Roman" w:eastAsia="Times New Roman" w:hAnsi="Times New Roman"/>
          <w:b/>
          <w:bCs/>
          <w:i/>
          <w:iCs/>
          <w:sz w:val="26"/>
          <w:szCs w:val="26"/>
        </w:rPr>
        <w:t xml:space="preserve">3.1 Algorithmic ESG Systems as Epistemic Infrastructures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first theoretical move of this paper is to reconceptualize algorithmic ESG scoring systems as epistemic infrastructures — sociotechnical arrangements that stabilize shared epistemic practices across an organizational field. The concept of infrastructure in Science and Technology Studies carries a specific theoretical weight [CITE VERIFY: Star &amp; Ruhleder (1996), Computer Supported Cooperative Work]. Infrastructures are characterized by embeddedness (they sink into and shape other structures and technologies), transparency (they become invisible in use), scope (they reach beyond single sites or practices), and conventionality (their standards become taken for granted). When financial infrastructure theorists describe the role of rating agencies, benchmark indices, and accounting standards, they are describing precisely these properties applied to financial markets [CITE VERIFY: Braun (2016), Economy and Society].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Algorithmic ESG systems satisfy all four of these properties, and in doing so, acquire a governance significance that goes beyond their technical function. They are embedded in investment mandates, regulatory requirements (SFDR, CSRD, SEBI BRSR), index inclusion rules, and lending covenants in ways that make them practically irreversible to contest at the transaction level. They are transparent in use — a portfolio manager who incorporates an ESG score into a screening decision does not, in most instances, examine the model architecture that produced it. Their scope extends globally, across jurisdictions, asset classes, and governance systems. And they are rapidly conventionalizing — the major ESG data providers are becoming standard-setters by market practice, setting the terms on which sustainability performance is defined for the field, regardless of any formal delegated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What makes algorithmic ESG systems specifically epistemic infrastructures, rather than merely financial infrastructures, is their role in constituting what sustainability knowledge means in financial practice. A traditional financial infrastructure — a clearing house, for instance — processes and validates transactions whose content is defined elsewhere. An algorithmic ESG infrastructure goes further: it defines what counts as a sustainability risk, what counts as a green activity, and what counts as legitimate sustainability performance. It is, in this sense, a knowledge-producing institution that shapes the very objects it purports to measure. This performative dimension — which we call epistemic constitution — is the source of the governance problem. When an infrastructure constitutes rather than merely processes knowledge, the stakes of opaque and unaccountable algorithmic choices extend beyond efficiency and information quality to questions of power, legitimacy, and distributive justice.</w:t>
      </w:r>
    </w:p>
    <w:p>
      <w:pPr>
        <w:pStyle w:val="Heading2"/>
        <w:spacing w:after="120" w:before="320"/>
      </w:pPr>
      <w:r>
        <w:rPr>
          <w:rFonts w:ascii="Times New Roman" w:cs="Times New Roman" w:eastAsia="Times New Roman" w:hAnsi="Times New Roman"/>
          <w:b/>
          <w:bCs/>
          <w:i/>
          <w:iCs/>
          <w:sz w:val="26"/>
          <w:szCs w:val="26"/>
        </w:rPr>
        <w:t xml:space="preserve">3.2 The Principal-Algorithm-Agent Triad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second theoretical move extends the classical principal-agent framework to accommodate the algorithmic intermediation that characterizes contemporary sustainable finance. In the standard formulation [CITE VERIFY: Jensen &amp; Meckling (1976), Journal of Financial Economics], a principal (investor, regulator, or society) delegates authority to an agent (firm manager, rating analyst) whose interests may diverge, creating agency costs that governance mechanisms attempt to minimize. The dyadic structure of this relationship — direct delegation, observable effort, contractible outcomes — has been the workhorse of corporate governance theory for half a century.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introduction of algorithmic systems into this relationship does not merely extend the chain of delegation; it transforms its architecture. We propose the construct of the Principal-Algorithm-Agent (PAA) Triad to capture this transformation. The triad comprises three layers: (1) Institutional Principals — investors, regulators, standard-setters, and ultimately the public interest; (2) Algorithmic Intermediaries — the ESG scoring models, NLP-based controversy detection systems, and machine-learning-based screening tools that process information and generate assessments; and (3) Corporate Agents — firms whose sustainability performance is assessed and whose access to capital depends on algorithmic outputs.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PAA Triad generates four structural features that distinguish it analytically from the classic dyadic model. First, algorithmic intermediation produces what we term accountability displacement: the locus of effective decision-making authority migrates from identifiable human actors to opaque computational processes, without a corresponding migration of legal or institutional accountability. The rating analyst who was formerly accountable for a downgrade can be examined, challenged, and held responsible; the model weights that generated an equivalent downgrade cannot. Second, the triad introduces feedback opacity: unlike human agents whose reactions to performance assessments are observable (and can thus inform principal judgment about the quality of the assessment), algorithmic assessments feed back into corporate behavior through multiple channels — disclosure incentives, reputational effects, capital costs — in ways that are simultaneously difficult to trace and systematically distorted by the scoring architecture itself. Third, the triad creates legitimacy laundering opportunities: actors may invoke algorithmic authority to insulate contested classifications from challenge, on the grounds that the assessment is "objective" or "data-driven," when in fact it embeds deeply contestable normative choices. Fourth, and most consequentially, the triad generates what we call structural asymmetric verifiability — the intermediary knows the model; the principal does not know the model; the agent cannot effectively contest the model — an information structure with no analog in classical agency theory.</w:t>
      </w:r>
    </w:p>
    <w:p>
      <w:pPr>
        <w:pStyle w:val="Heading2"/>
        <w:spacing w:after="120" w:before="320"/>
      </w:pPr>
      <w:r>
        <w:rPr>
          <w:rFonts w:ascii="Times New Roman" w:cs="Times New Roman" w:eastAsia="Times New Roman" w:hAnsi="Times New Roman"/>
          <w:b/>
          <w:bCs/>
          <w:i/>
          <w:iCs/>
          <w:sz w:val="26"/>
          <w:szCs w:val="26"/>
        </w:rPr>
        <w:t xml:space="preserve">3.3 Accountability as a Multi-Level Institutional Property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Drawing on neo-institutional theory and multi-level governance frameworks [CITE VERIFY: Ostrom (2005), Understanding Institutional Diversity], we treat accountability not as a property of individual actors but as an emergent institutional property of governance systems. Accountability exists — or fails to exist — at three analytically distinct levels. At the micro level, it requires that individual actors (analysts, model developers, compliance officers) can be identified, their decisions traced, and their reasoning made available to scrutiny. At the meso level, it requires that the organizations operating algorithmic systems can be held responsible by industry-level or field-level governance bodies — whether regulators, standards organizations, or peer institutions — for the systemic effects of their classificatory practices. At the macro level, it requires that the institutional field as a whole — the collection of algorithmic ESG systems, their sponsors, their users, and their regulatory environment — is structured so as to prevent the permanent concentration of epistemic power in the hands of a small number of unaccountable private actors.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three levels are analytically distinct but institutionally interconnected. A governance architecture that addresses only the micro level — requiring individual analysts to document their model choices, for instance — will fail if the meso-level competitive dynamics of the ESG rating industry create powerful incentives to maintain proprietary opacity. Conversely, macro-level regulatory mandates for transparency will remain superficial if the meso-level organizational fields have not developed the auditing capacity and institutional capacity to make transparency meaningful. An effective theory of algorithmic accountability must therefore be a multi-level theory, specifying the governance requirements at each level and their interdependencies.</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IV. Conceptual Framework: Algorithmic Accountability Gaps in Sustainable Finance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Building on the theoretical foundations developed in Section III, we now introduce and specify the core construct of this paper: Algorithmic Accountability Gaps (AAGs). An Algorithmic Accountability Gap refers to a structured deficit in the conditions necessary for the responsible, contestable, and legitimate governance of algorithmic decision-making in sustainable finance. AAGs are not merely technical failures of explainability or transparency; they are institutional failures with distributional consequences, affecting which actors bear the costs of accountability deficits and which benefit from them. We identify four constitutive dimensions of AAGs, each theorized as a distinct analytical problem requiring distinct governance remediation.</w:t>
      </w:r>
    </w:p>
    <w:p>
      <w:pPr>
        <w:pStyle w:val="Heading2"/>
        <w:spacing w:after="120" w:before="320"/>
      </w:pPr>
      <w:r>
        <w:rPr>
          <w:rFonts w:ascii="Times New Roman" w:cs="Times New Roman" w:eastAsia="Times New Roman" w:hAnsi="Times New Roman"/>
          <w:b/>
          <w:bCs/>
          <w:i/>
          <w:iCs/>
          <w:sz w:val="26"/>
          <w:szCs w:val="26"/>
        </w:rPr>
        <w:t xml:space="preserve">4.1 Dimension I: Explainability Deficits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first dimension concerns the failure of algorithmic systems to provide actionable explanations for their outputs to the relevant institutional principals. We define an explainability deficit as the condition in which an algorithmic system's outputs cannot be traced to intelligible, auditable, and communicable reasons that are accessible to non-specialist actors who are materially affected by those outputs. This definition deliberately goes beyond the technical notion of explainability in machine learning research, which focuses on the faithfulness and completeness of post-hoc approximation methods such as SHAP or LIME. The institutional concern is not merely whether a model can be technically approximated for analytical purposes; it is whether the explanations produced are practically accessible to firms whose ratings have been downgraded, to investors whose mandates are being constrained by index exclusions, and to regulators who are implicitly delegating enforcement authority to algorithmic assessors.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Explainability deficits in ESG scoring arise from multiple structural sources: the intrinsic opacity of deep learning architectures; the deliberate proprietary protection of scoring methodologies as competitive assets; the complexity of data pipelines involving multiple data vendors, imputation procedures, and weighting schemes; and the aggregation of heterogeneous indicators into single cardinal scores that compress and thereby obscure the multi-dimensional nature of sustainability performance. The cumulative effect is that a firm receiving a poor ESG score — with consequent effects on its cost of capital, index membership, and institutional ownership — cannot understand the reasons for that score with sufficient precision to contest it meaningfully, adjust its behavior in response, or identify whether the score reflects genuine sustainability deficiencies or methodological artifacts.</w:t>
      </w:r>
    </w:p>
    <w:p>
      <w:pPr>
        <w:pStyle w:val="Heading2"/>
        <w:spacing w:after="120" w:before="320"/>
      </w:pPr>
      <w:r>
        <w:rPr>
          <w:rFonts w:ascii="Times New Roman" w:cs="Times New Roman" w:eastAsia="Times New Roman" w:hAnsi="Times New Roman"/>
          <w:b/>
          <w:bCs/>
          <w:i/>
          <w:iCs/>
          <w:sz w:val="26"/>
          <w:szCs w:val="26"/>
        </w:rPr>
        <w:t xml:space="preserve">4.2 Dimension II: Contestability Voids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second dimension of AAGs concerns the institutional absence of effective mechanisms through which affected actors can challenge algorithmic assessments. A contestability void exists when an actor who has been materially disadvantaged by an algorithmic output has no institutional pathway through which to dispute that output on the merits, receive a reasoned response, and obtain a revised assessment if the challenge is substantiated. Contestability, as a governance concept, has roots in administrative law [CITE VERIFY: Bovens (2007), Analysing and Assessing Accountability], where the right to challenge official decisions is a fundamental principle of legitimate public authority.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 the context of algorithmic ESG systems, contestability voids are pervasive and structurally entrenched. ESG rating agencies typically operate outside the formal regulatory perimeter for credit rating agencies, leaving them without the procedural obligations — documented reasoning, appeal mechanisms, liability exposure — that regulated entities bear. The market structure of the ESG rating industry — characterized by significant concentration among a handful of major providers [CITE NEEDED: market concentration data for ESG rating agencies, 2022-2024] — reduces the practical alternatives available to firms that dispute a rating. And the algorithmic nature of the systems means that even where dispute resolution processes nominally exist, the ability to engage substantively is constrained by the opacity of the model generating the contested score. The contestability void is thus not merely the absence of a formal appeal mechanism; it is the structural condition of unequal epistemic access that makes any formal appeal mechanism functionally hollow.</w:t>
      </w:r>
    </w:p>
    <w:p>
      <w:pPr>
        <w:pStyle w:val="Heading2"/>
        <w:spacing w:after="120" w:before="320"/>
      </w:pPr>
      <w:r>
        <w:rPr>
          <w:rFonts w:ascii="Times New Roman" w:cs="Times New Roman" w:eastAsia="Times New Roman" w:hAnsi="Times New Roman"/>
          <w:b/>
          <w:bCs/>
          <w:i/>
          <w:iCs/>
          <w:sz w:val="26"/>
          <w:szCs w:val="26"/>
        </w:rPr>
        <w:t xml:space="preserve">4.3 Dimension III: Distributional Opacity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third dimension concerns the systematically unequal distribution of accountability burdens and benefits across actors in the sustainable finance ecosystem. Distributional opacity refers to the condition in which the social costs of algorithmic errors — mis-scored firms, mis-allocated capital, exclusions of genuinely sustainable enterprises — fall disproportionately on actors with the least institutional capacity to identify, articulate, and remediate those errors. This dimension of AAGs connects the governance problem to questions of equity and justice that are particularly salient in the context of sustainable finance, whose stated objectives include the direction of capital toward socially and environmentally beneficial outcomes.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distributional dynamics of algorithmic ESG systems exhibit a well-documented pattern of bias amplification. Systems trained primarily on data from large, well-resourced, publicly listed firms in developed markets tend to systematically under-rate small and medium-sized enterprises, unlisted companies, firms in emerging markets, and firms in sectors with limited disclosure infrastructure — not because these entities are less sustainable, but because they produce less of the type of data that algorithmic systems are designed to process [CITE VERIFY: Drempetic, Klein &amp; Zwergel (2020), Journal of Business Ethics]. The consequence is that algorithmic ESG systems may systematically redirect sustainable capital toward large-cap developed-market firms, while excluding precisely the firms and projects — in developing countries, frontier sectors, and disadvantaged communities — that a genuinely transformative sustainability finance agenda would need to reach. This constitutes a form of algorithmic injustice whose institutional mechanisms have not previously been theorized.</w:t>
      </w:r>
    </w:p>
    <w:p>
      <w:pPr>
        <w:pStyle w:val="Heading2"/>
        <w:spacing w:after="120" w:before="320"/>
      </w:pPr>
      <w:r>
        <w:rPr>
          <w:rFonts w:ascii="Times New Roman" w:cs="Times New Roman" w:eastAsia="Times New Roman" w:hAnsi="Times New Roman"/>
          <w:b/>
          <w:bCs/>
          <w:i/>
          <w:iCs/>
          <w:sz w:val="26"/>
          <w:szCs w:val="26"/>
        </w:rPr>
        <w:t xml:space="preserve">4.4 Dimension IV: Institutional Displacement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fourth and analytically most complex dimension of AAGs concerns the displacement of public regulatory authority by private algorithmic authority in the determination of what constitutes legitimate sustainable finance. Institutional displacement occurs when de facto regulatory power — the power to define standards, determine compliance, and allocate consequences — migrates from entities that are formally accountable under public law to private actors whose authority rests on market dominance, technical complexity, and reputational capital rather than democratic legitimacy or legal delegation.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regulatory infrastructure of sustainable finance — the EU Sustainable Finance Disclosure Regulation, the ISSB sustainability standards, the SEC climate disclosure rule, SEBI's BRSR framework — was designed on the assumption that disclosure obligations directed at firms would generate information that investors could use to make sustainability-adjusted allocation decisions. What this architecture did not anticipate is the interposition of algorithmic intermediaries between firm disclosures and investor decisions, creating a layer of private rule-making that is, in many respects, more consequential than the formal regulatory layer. The major ESG data providers effectively set the sustainability agenda for the firms in their coverage universe: firms adjust their disclosure practices, governance structures, and strategic priorities in response to rating methodology updates, not merely to regulatory changes. When those methodology updates are made algorithmically, in response to changing model architectures and training data, and without formal consultation or public justification, the governance implications are severe. A form of quasi-regulatory authority has been acquired by private actors without any of the procedural, democratic, or accountability constraints that attach to formal regulatory authority.</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V. Towards a Governance Theory: Mechanisms for Closing Algorithmic Accountability Gaps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 dimensions of AAGs identified above are not merely diagnostic; they constitute a theoretical architecture that generates specific governance implications. In this section, we develop four mechanism-families — one responsive to each AAG dimension — and derive formal propositions about their efficacy, limitations, and institutional prerequisites. We treat these mechanisms not as isolated technical remedies but as components of an integrated governance architecture whose effectiveness depends on the institutional conditions under which they are deployed.</w:t>
      </w:r>
    </w:p>
    <w:p>
      <w:pPr>
        <w:pStyle w:val="Heading2"/>
        <w:spacing w:after="120" w:before="320"/>
      </w:pPr>
      <w:r>
        <w:rPr>
          <w:rFonts w:ascii="Times New Roman" w:cs="Times New Roman" w:eastAsia="Times New Roman" w:hAnsi="Times New Roman"/>
          <w:b/>
          <w:bCs/>
          <w:i/>
          <w:iCs/>
          <w:sz w:val="26"/>
          <w:szCs w:val="26"/>
        </w:rPr>
        <w:t xml:space="preserve">5.1 Mechanism I: Mandated Explainability Architectures (MEAs)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response to explainability deficits requires more than technical explainability requirements applied to individual models. We propose the concept of Mandated Explainability Architectures (MEAs) — regulatory mandates that require ESG data providers to establish institutionalized processes for generating, documenting, and communicating actionable explanations at three distinct levels: the model architecture level (what type of system is used, what data it is trained on, what its known limitations are); the output level (why a particular firm received a particular score relative to its peers, what the primary drivers were, and what changes would materially affect the score); and the system level (how the scoring system as a whole affects the distribution of sustainable capital across sectors, geographies, and firm types). This three-level architecture distinguishes MEAs from existing transparency requirements, which typically address only the model level through high-level methodology disclosures that are insufficient for effective accountability.</w:t>
      </w:r>
    </w:p>
    <w:p>
      <w:pPr>
        <w:pStyle w:val="Heading2"/>
        <w:spacing w:after="120" w:before="320"/>
      </w:pPr>
      <w:r>
        <w:rPr>
          <w:rFonts w:ascii="Times New Roman" w:cs="Times New Roman" w:eastAsia="Times New Roman" w:hAnsi="Times New Roman"/>
          <w:b/>
          <w:bCs/>
          <w:i/>
          <w:iCs/>
          <w:sz w:val="26"/>
          <w:szCs w:val="26"/>
        </w:rPr>
        <w:t xml:space="preserve">5.2 Mechanism II: Adversarial Audit Protocols (AAPs)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Contestability voids cannot be closed through individual firm appeal mechanisms alone, given the structural asymmetries of information access that characterize the PAA Triad. We propose Adversarial Audit Protocols (AAPs) as a governance mechanism specifically designed for the institutional context of algorithmic ESG systems. An adversarial audit is a structured process in which an independent auditing body — technically qualified, institutionally empowered, and insulated from competitive pressures — subjects an ESG scoring algorithm to systematic adversarial testing designed to identify errors, biases, and methodological failures that would not emerge from conventional compliance audits. The term "adversarial" is borrowed from machine-learning robustness research [CITE VERIFY: Goodfellow et al. (2015), ICLR], where adversarial examples are inputs specifically designed to expose model vulnerabilities, but extended here to an institutional and governance context.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AAPs have three distinctive features that distinguish them from existing audit modalities. First, they are iterative: they do not certify a model as compliant at a point in time, but continuously test it against evolving adversarial challenges, reflecting the dynamic nature of machine-learning systems that are regularly retrained and updated. Second, they are systemic: they evaluate not only the outputs of individual models but the effects of the scoring system on the distribution of sustainable capital, identifying systemic biases that are invisible at the individual firm level. Third, they are instituted at the field level: AAPs require an institutional body — whether a regulatory agency, a standard-setting organization, or a multi-stakeholder governance council — with the authority and technical capacity to conduct adversarial testing across the ESG rating industry.</w:t>
      </w:r>
    </w:p>
    <w:p>
      <w:pPr>
        <w:pStyle w:val="Heading2"/>
        <w:spacing w:after="120" w:before="320"/>
      </w:pPr>
      <w:r>
        <w:rPr>
          <w:rFonts w:ascii="Times New Roman" w:cs="Times New Roman" w:eastAsia="Times New Roman" w:hAnsi="Times New Roman"/>
          <w:b/>
          <w:bCs/>
          <w:i/>
          <w:iCs/>
          <w:sz w:val="26"/>
          <w:szCs w:val="26"/>
        </w:rPr>
        <w:t xml:space="preserve">5.3 Mechanism III: Participatory Taxonomy Contestation (PTC)</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of distributional opacity requires addressing the normative choices embedded in algorithmic ESG taxonomies — choices about which activities count as sustainable, which data sources count as authoritative, and which stakeholder interests count as relevant — as questions of institutional design rather than technical modeling. We propose Participatory Taxonomy Contestation (PTC) as a governance mechanism that institutionalizes the presence of affected communities, civil society representatives, and Global South institutional voices in the processes through which ESG taxonomies and scoring architectures are designed and revised.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PTC draws on the rich literature on participatory governance and deliberative democracy applied to standard-setting [CITE VERIFY: Black (2008), Modern Law Review], but adapts it to the specific institutional context of algorithmic systems. The central challenge for PTC in this context is that participation must be technically accessible — participants must be able to engage meaningfully with algorithmic architecture choices, not merely express value preferences — and institutionally empowered — participant input must be capable of materially affecting model design decisions, not merely providing a legitimation ritual for predetermined choices. This requires governance innovations at two levels: at the input level, algorithmic ESG developers must maintain structured, documented processes for eliciting stakeholder input on taxonomy choices; at the output level, they must demonstrate, through structured reporting, how participatory input has been incorporated into or explicitly overridden by technical decisions, with justification for the latter.</w:t>
      </w:r>
    </w:p>
    <w:p>
      <w:pPr>
        <w:pStyle w:val="Heading2"/>
        <w:spacing w:after="120" w:before="320"/>
      </w:pPr>
      <w:r>
        <w:rPr>
          <w:rFonts w:ascii="Times New Roman" w:cs="Times New Roman" w:eastAsia="Times New Roman" w:hAnsi="Times New Roman"/>
          <w:b/>
          <w:bCs/>
          <w:i/>
          <w:iCs/>
          <w:sz w:val="26"/>
          <w:szCs w:val="26"/>
        </w:rPr>
        <w:t xml:space="preserve">5.4 Mechanism IV: Multi-Level Regulatory Orchestration (MLRO)</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of institutional displacement requires a response that operates at the level of the organizational field — not merely through requirements imposed on individual ESG rating agencies, but through the design of a multi-level governance architecture that distributes regulatory responsibility appropriately across public and private actors. We draw on the concept of regulatory orchestration [CITE VERIFY: Abbott &amp; Snidal (2009), Law &amp; Contemporary Problems], which describes how governance systems can harness the capabilities of intermediary organizations — standards bodies, industry associations, civil society — to extend regulatory reach without requiring direct command-and-control regulation of every relevant actor.</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We propose Multi-Level Regulatory Orchestration (MLRO) as the appropriate governance architecture for algorithmic ESG accountability. MLRO operates across four institutional layers: at the micro level, firm-level disclosure obligations create the data substrate on which algorithmic systems operate; at the meso level, mandatory registration and periodic review requirements for ESG rating agencies establish the regulatory perimeter; at the field level, standards bodies (IOSCO, ISSB, EFRAG) develop and maintain minimum algorithmic accountability standards through collaborative multi-stakeholder processes; and at the macro level, financial stability regulators and competition authorities monitor the systemic risks generated by algorithmic concentration in sustainable finance assessment. The orchestration logic connects these layers: micro-level disclosure feeds the field-level standards that constrain meso-level operator behavior, while macro-level systemic oversight monitors the aggregate effects of the system as a whole.</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VI. Theoretical Synthesis: The Accountable Sustainable Finance Infrastructure Model</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four AAG dimensions and four governance mechanisms developed above can now be synthesized into an integrative theoretical model, which we designate the Accountable Sustainable Finance Infrastructure (ASFI) Model. The ASFI Model posits that the accountability of algorithmic sustainable finance infrastructures is a multi-dimensional institutional property that varies across three analytical axes: epistemic transparency (the degree to which algorithmic systems can be understood and scrutinized), contestability (the degree to which affected actors have effective institutional channels to challenge algorithmic outputs), and legitimacy (the degree to which algorithmic systems are accepted as authoritative by relevant institutional principals and agents on procedurally justifiable grounds).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three axes define an institutional space within which different algorithmic sustainable finance systems can be located. Systems characterized by high epistemic transparency, high contestability, and high legitimacy occupy the domain of accountable infrastructure — they function as legitimate public goods, serving the information needs of the sustainable finance ecosystem while remaining responsive to institutional scrutiny. Systems characterized by low transparency, low contestability, and legitimacy derived solely from market dominance and technical authority occupy the domain of unaccountable infrastructure — they function as private epistemic monopolies whose classificatory decisions have quasi-regulatory effects without democratic foundations. The majority of currently operating algorithmic ESG systems occupy intermediate positions, with variable profiles across the three axes and significant variation across jurisdictions, market segments, and assessment categories.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ASFI Model generates a further theoretical insight of considerable significance: the relationship between accountability and market efficiency in sustainable finance is not a simple trade-off, as is sometimes assumed in regulatory debates. The assumption that accountability requirements — explainability mandates, audit protocols, contestability mechanisms — necessarily impose costs on efficiency by adding friction to the information production process rests on a theoretical conflation of speed and accuracy. Algorithmic ESG systems are extraordinarily efficient producers of scores; what they are not efficient producers of is reliable information about sustainability performance. When algorithmic opacity enables methodological errors, systematic biases, and greenwashing strategies to persist undetected, the information efficiency of the sustainable finance market is substantively degraded, even as the operational efficiency of score production increases. Accountability mechanisms, by exposing and remediating these deficiencies, are — in the medium to long run — complements of, not substitutes for, market efficiency.</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VII. Institutional Implications</w:t>
      </w:r>
    </w:p>
    <w:p>
      <w:pPr>
        <w:pStyle w:val="Heading2"/>
        <w:spacing w:after="120" w:before="320"/>
      </w:pPr>
      <w:r>
        <w:rPr>
          <w:rFonts w:ascii="Times New Roman" w:cs="Times New Roman" w:eastAsia="Times New Roman" w:hAnsi="Times New Roman"/>
          <w:b/>
          <w:bCs/>
          <w:i/>
          <w:iCs/>
          <w:sz w:val="26"/>
          <w:szCs w:val="26"/>
        </w:rPr>
        <w:t xml:space="preserve">7.1 Implications for Financial Regulation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ASFI Model has direct and significant implications for the design of financial regulation in an era of algorithmic intermediation. The regulatory frameworks currently under development — the IOSCO recommendations on ESG ratings and data providers, the EU's regulatory proposals for ESG rating agencies, and the SEC's enhanced climate disclosure rules — share a common architectural limitation: they focus primarily on disclosure obligations directed at firms (the agent layer of the PAA Triad) and on high-level transparency requirements for rating agencies, while leaving the algorithmic intermediary layer largely unregulated. The ASFI Model suggests that this architectural choice is theoretically inadequate: addressing disclosure at the firm level does not generate accountability at the algorithmic level, because the transformation of firm-level disclosures into algorithmic assessments involves precisely the opaque classificatory operations that generate AAGs.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regulatory implication is not that existing frameworks should be abandoned but that they should be extended to encompass the algorithmic intermediary layer through the MLRO architecture described in Section V. This requires regulators to develop new technical capacities — in machine learning auditing, distributional impact assessment, and algorithmic governance — that most existing financial regulatory bodies currently lack. The institutional development challenges involved are substantial, but the theoretical case for regulatory extension to the algorithmic layer is compelling.</w:t>
      </w:r>
    </w:p>
    <w:p>
      <w:pPr>
        <w:pStyle w:val="Heading2"/>
        <w:spacing w:after="120" w:before="320"/>
      </w:pPr>
      <w:r>
        <w:rPr>
          <w:rFonts w:ascii="Times New Roman" w:cs="Times New Roman" w:eastAsia="Times New Roman" w:hAnsi="Times New Roman"/>
          <w:b/>
          <w:bCs/>
          <w:i/>
          <w:iCs/>
          <w:sz w:val="26"/>
          <w:szCs w:val="26"/>
        </w:rPr>
        <w:t xml:space="preserve">7.2 Implications for Accounting and Reporting Theory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accountability problem identified in this paper has specific implications for accounting and reporting theory that extend beyond the ESG context. The transformation of accounting information into algorithmic assessments raises a question that has no precedent in classical accounting theory: who is responsible for the accounting when the accounting is done by a machine? Traditional stewardship theory [CITE VERIFY: Ijiri (1975), Theory of Accounting Measurement] presupposes human stewards who exercise judgment on behalf of principals and can be held accountable for that judgment. When stewardship is algorithmic, the accountability architecture collapses: there is no human steward who exercised the judgment that produced a given assessment, and therefore no individual who can be held responsible for its consequences.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suggests the need for a new theoretical category in accounting — what we propose to call algorithmic stewardship accountability — that identifies the institutional mechanisms through which responsibility for algorithmically generated financial assessments can be allocated among the organizations that design, train, deploy, and use algorithmic systems. The development of this concept connects the present paper's contribution to the broader transformation of accounting theory required by the algorithmic turn in financial information production.</w:t>
      </w:r>
    </w:p>
    <w:p>
      <w:pPr>
        <w:pStyle w:val="Heading2"/>
        <w:spacing w:after="120" w:before="320"/>
      </w:pPr>
      <w:r>
        <w:rPr>
          <w:rFonts w:ascii="Times New Roman" w:cs="Times New Roman" w:eastAsia="Times New Roman" w:hAnsi="Times New Roman"/>
          <w:b/>
          <w:bCs/>
          <w:i/>
          <w:iCs/>
          <w:sz w:val="26"/>
          <w:szCs w:val="26"/>
        </w:rPr>
        <w:t xml:space="preserve">7.3 Implications for Emerging Market Institutions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distributional opacity dimension of AAGs has particularly significant implications for developing and emerging economies, whose firms are systematically disadvantaged by algorithmic ESG systems calibrated to the disclosure environments and institutional practices of developed-market firms. For institutions such as SEBI in India, the CVM in Brazil, or the FSCA in South Africa, the development of domestic ESG rating and data infrastructure represents both a governance challenge and a strategic opportunity. Domestically developed algorithmic ESG systems, designed with knowledge of local institutional contexts, disclosure practices, and sustainability priorities — and subject to domestic regulatory oversight — could potentially provide more accurate and less biased assessments of emerging-market firm sustainability performance than internationally dominant systems.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suggests a theoretical case for institutional pluralism in algorithmic ESG governance: a global landscape in which multiple competing assessment architectures coexist, each calibrated to different institutional contexts, could generate — through a form of epistemic competition — better information about global sustainability performance than a world in which a small number of globally dominant algorithmic systems set the definitional agenda for sustainable finance. The governance challenge is to prevent this pluralism from degenerating into regulatory arbitrage, in which firms choose assessment systems based on favorable treatment rather than informational quality. MLRO, applied at the global level through multilateral regulatory coordination, represents the theoretical architecture most likely to achieve this balance.</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VIII. Limitations and Future Research</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paper makes a theoretical contribution by developing a formal framework for algorithmic accountability in sustainable finance. Like all theoretical contributions, it rests on analytical choices and abstractions that introduce limitations. Several of these deserve explicit acknowledgment.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First, the PAA Triad and the ASFI Model are developed at a level of abstraction that, while analytically productive, simplifies the institutional complexity of real-world sustainable finance systems. The boundaries between principals, algorithms, and agents are, in practice, considerably more porous than the triadic framework implies. Large institutional investors maintain proprietary ESG scoring models, blurring the distinction between principal and intermediary. Regulatory bodies are themselves increasingly using algorithmic systems for supervisory purposes, blurring the distinction between regulator and regulated. The framework should be understood as an analytical tool rather than a description of institutional reality, and its application to specific contexts will require contextual adaptation.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Second, the governance mechanisms proposed — MEAs, AAPs, PTCs, and MLRO — are theorized at the level of institutional design principles rather than operational specification. The practical implementation of each mechanism would encounter organizational, political, and technical challenges that the present paper does not address. Future research should examine the specific institutional conditions under which each mechanism can be operationalized, drawing on case studies of existing regulatory experiments in AI governance in financial services (such as the EU AI Act regulatory sandboxes, the FCA's model risk management guidelines, and MAS's fairness principles for financial algorithms [CITE NEEDED]).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Third, the framework focuses primarily on the supply side of algorithmic accountability — the institutions that produce and govern ESG scoring systems. The demand side — the processes through which institutional investors, index providers, and regulators incorporate algorithmic ESG assessments into their decision-making — deserves equal theoretical attention. A complete theory of algorithmic accountability in sustainable finance must account for how accountability mechanisms on the supply side interact with demand-side practices of algorithmic adoption and interpretation.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These limitations point to a rich future research agenda. Theoretically, the framework invites extension through the application of evolutionary game theory — analyzing the strategic dynamics among ESG rating agencies under different accountability regimes — and through complexity-theoretic approaches that could model the emergent properties of algorithmic ESG ecosystems across different institutional contexts. Empirically, the propositions derived in Section V constitute a programme of testable hypotheses for empirical research in accounting, finance, and organizational sociology. Methodologically, process-tracing studies of algorithmic governance reform in specific jurisdictions, combined with computational analyses of ESG rating methodologies using natural language processing, could provide the empirical foundations for evaluating the ASFI Model.</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IX. Conclusion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governance of sustainable finance is, increasingly, the governance of algorithms. This paper has developed the first formal theoretical framework — the Accountable Sustainable Finance Infrastructure (ASFI) Model — for understanding and addressing this transformation. The framework rests on three theoretical foundations: the reconceptualization of algorithmic ESG systems as epistemic infrastructures; the extension of principal-agent theory to the Principal-Algorithm-Agent Triad; and a multi-level institutional theory of accountability as an emergent governance property.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From these foundations, we have derived the construct of Algorithmic Accountability Gaps (AAGs) — constituted by explainability deficits, contestability voids, distributional opacity, and institutional displacement — and proposed four governance mechanisms for their remediation: Mandated Explainability Architectures, Adversarial Audit Protocols, Participatory Taxonomy Contestation, and Multi-Level Regulatory Orchestration. Nine theoretical propositions connecting these mechanisms to accountability outcomes across different institutional conditions provide the empirical programme that makes the framework testable.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contribution of this paper is not merely conceptual. The governance problem of algorithmic accountability in sustainable finance is arriving faster than the institutional responses designed to address it. As the EU's SFDR and CSRD take effect, as SEBI's BRSR framework matures in India, as the ISSB's global sustainability reporting standards embed themselves in capital market regulation worldwide, the algorithmic intermediaries that transform these disclosures into investable signals will exert increasing quasi-regulatory authority over the firms, communities, and ecosystems that sustainable finance is designed to serve. Whether that authority is exercised with epistemic transparency, procedural fairness, and institutional accountability will depend on whether governance theory — and the regulatory frameworks it informs — has kept pace with the institutional reality.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paper argues that it has not — and offers a theoretical foundation for closing the gap. The algorithms that govern ESG must, themselves, be governed. The ASFI Model is offered as a first, rigorous, and actionable step toward a theory of how.</w:t>
      </w:r>
    </w:p>
    <w:p>
      <w:pPr>
        <w:spacing w:after="0" w:before="0" w:line="240"/>
      </w:pPr>
      <w:r>
        <w:t xml:space="preserve"/>
      </w:r>
    </w:p>
    <w:p>
      <w:pPr>
        <w:pStyle w:val="Heading1"/>
        <w:spacing w:after="160" w:before="400"/>
      </w:pPr>
      <w:r>
        <w:rPr>
          <w:rFonts w:ascii="Times New Roman" w:cs="Times New Roman" w:eastAsia="Times New Roman" w:hAnsi="Times New Roman"/>
          <w:b/>
          <w:bCs/>
          <w:caps/>
          <w:sz w:val="28"/>
          <w:szCs w:val="28"/>
        </w:rPr>
        <w:t xml:space="preserve">References</w:t>
      </w:r>
    </w:p>
    <w:p>
      <w:pPr>
        <w:spacing w:after="120" w:before="0" w:line="360"/>
        <w:ind w:left="720" w:hanging="720"/>
        <w:jc w:val="both"/>
      </w:pPr>
      <w:r>
        <w:rPr>
          <w:rFonts w:ascii="Times New Roman" w:cs="Times New Roman" w:eastAsia="Times New Roman" w:hAnsi="Times New Roman"/>
          <w:sz w:val="22"/>
          <w:szCs w:val="22"/>
        </w:rPr>
        <w:t xml:space="preserve">[CITE VERIFY] Abbott, K. W., &amp; Snidal, D. (2009). The governance triangle: Regulatory standards institutions and the shadow of the state. In W. Mattli &amp; N. Woods (Eds.), The politics of global regulation (pp. 44–88). Princeton University Press.</w:t>
      </w:r>
    </w:p>
    <w:p>
      <w:pPr>
        <w:spacing w:after="120" w:before="0" w:line="360"/>
        <w:ind w:left="720" w:hanging="720"/>
        <w:jc w:val="both"/>
      </w:pPr>
      <w:r>
        <w:rPr>
          <w:rFonts w:ascii="Times New Roman" w:cs="Times New Roman" w:eastAsia="Times New Roman" w:hAnsi="Times New Roman"/>
          <w:sz w:val="22"/>
          <w:szCs w:val="22"/>
        </w:rPr>
        <w:t xml:space="preserve">[CITE VERIFY] Akerlof, G. A. (1970). The market for "lemons": Quality uncertainty and the market mechanism. Quarterly Journal of Economics, 84(3), 488–500.</w:t>
      </w:r>
    </w:p>
    <w:p>
      <w:pPr>
        <w:spacing w:after="120" w:before="0" w:line="360"/>
        <w:ind w:left="720" w:hanging="720"/>
        <w:jc w:val="both"/>
      </w:pPr>
      <w:r>
        <w:rPr>
          <w:rFonts w:ascii="Times New Roman" w:cs="Times New Roman" w:eastAsia="Times New Roman" w:hAnsi="Times New Roman"/>
          <w:sz w:val="22"/>
          <w:szCs w:val="22"/>
        </w:rPr>
        <w:t xml:space="preserve">[CITE VERIFY] Berg, F., Koelbel, J. F., &amp; Rigobon, R. (2022). Aggregate confusion: The divergence of ESG ratings. Review of Finance, 26(6), 1315–1344.</w:t>
      </w:r>
    </w:p>
    <w:p>
      <w:pPr>
        <w:spacing w:after="120" w:before="0" w:line="360"/>
        <w:ind w:left="720" w:hanging="720"/>
        <w:jc w:val="both"/>
      </w:pPr>
      <w:r>
        <w:rPr>
          <w:rFonts w:ascii="Times New Roman" w:cs="Times New Roman" w:eastAsia="Times New Roman" w:hAnsi="Times New Roman"/>
          <w:sz w:val="22"/>
          <w:szCs w:val="22"/>
        </w:rPr>
        <w:t xml:space="preserve">[CITE VERIFY] Black, J. (2008). Constructing and contesting legitimacy and accountability in polycentric regulatory regimes. Regulation &amp; Governance, 2(2), 137–164.</w:t>
      </w:r>
    </w:p>
    <w:p>
      <w:pPr>
        <w:spacing w:after="120" w:before="0" w:line="360"/>
        <w:ind w:left="720" w:hanging="720"/>
        <w:jc w:val="both"/>
      </w:pPr>
      <w:r>
        <w:rPr>
          <w:rFonts w:ascii="Times New Roman" w:cs="Times New Roman" w:eastAsia="Times New Roman" w:hAnsi="Times New Roman"/>
          <w:sz w:val="22"/>
          <w:szCs w:val="22"/>
        </w:rPr>
        <w:t xml:space="preserve">[CITE VERIFY] Bovens, M. (2007). Analysing and assessing accountability: A conceptual framework. European Law Journal, 13(4), 447–468.</w:t>
      </w:r>
    </w:p>
    <w:p>
      <w:pPr>
        <w:spacing w:after="120" w:before="0" w:line="360"/>
        <w:ind w:left="720" w:hanging="720"/>
        <w:jc w:val="both"/>
      </w:pPr>
      <w:r>
        <w:rPr>
          <w:rFonts w:ascii="Times New Roman" w:cs="Times New Roman" w:eastAsia="Times New Roman" w:hAnsi="Times New Roman"/>
          <w:sz w:val="22"/>
          <w:szCs w:val="22"/>
        </w:rPr>
        <w:t xml:space="preserve">[CITE VERIFY] Bowker, G. C., &amp; Star, S. L. (1999). Sorting things out: Classification and its consequences. MIT Press.</w:t>
      </w:r>
    </w:p>
    <w:p>
      <w:pPr>
        <w:spacing w:after="120" w:before="0" w:line="360"/>
        <w:ind w:left="720" w:hanging="720"/>
        <w:jc w:val="both"/>
      </w:pPr>
      <w:r>
        <w:rPr>
          <w:rFonts w:ascii="Times New Roman" w:cs="Times New Roman" w:eastAsia="Times New Roman" w:hAnsi="Times New Roman"/>
          <w:sz w:val="22"/>
          <w:szCs w:val="22"/>
        </w:rPr>
        <w:t xml:space="preserve">[CITE VERIFY] Braun, B. (2016). From performativity to political economy: Index investing, ETFs and asset manager capitalism. New Political Economy, 21(3), 257–273.</w:t>
      </w:r>
    </w:p>
    <w:p>
      <w:pPr>
        <w:spacing w:after="120" w:before="0" w:line="360"/>
        <w:ind w:left="720" w:hanging="720"/>
        <w:jc w:val="both"/>
      </w:pPr>
      <w:r>
        <w:rPr>
          <w:rFonts w:ascii="Times New Roman" w:cs="Times New Roman" w:eastAsia="Times New Roman" w:hAnsi="Times New Roman"/>
          <w:sz w:val="22"/>
          <w:szCs w:val="22"/>
        </w:rPr>
        <w:t xml:space="preserve">[CITE VERIFY] Callon, M. (1998). The laws of the markets. Blackwell.</w:t>
      </w:r>
    </w:p>
    <w:p>
      <w:pPr>
        <w:spacing w:after="120" w:before="0" w:line="360"/>
        <w:ind w:left="720" w:hanging="720"/>
        <w:jc w:val="both"/>
      </w:pPr>
      <w:r>
        <w:rPr>
          <w:rFonts w:ascii="Times New Roman" w:cs="Times New Roman" w:eastAsia="Times New Roman" w:hAnsi="Times New Roman"/>
          <w:sz w:val="22"/>
          <w:szCs w:val="22"/>
        </w:rPr>
        <w:t xml:space="preserve">[CITE VERIFY] Callon, M., &amp; Muniesa, F. (2005). Peripheral vision: Economic markets as calculative collective devices. Organization Studies, 26(8), 1229–1250.</w:t>
      </w:r>
    </w:p>
    <w:p>
      <w:pPr>
        <w:spacing w:after="120" w:before="0" w:line="360"/>
        <w:ind w:left="720" w:hanging="720"/>
        <w:jc w:val="both"/>
      </w:pPr>
      <w:r>
        <w:rPr>
          <w:rFonts w:ascii="Times New Roman" w:cs="Times New Roman" w:eastAsia="Times New Roman" w:hAnsi="Times New Roman"/>
          <w:sz w:val="22"/>
          <w:szCs w:val="22"/>
        </w:rPr>
        <w:t xml:space="preserve">[CITE VERIFY] Chatterji, A. K., Durand, R., Levine, D. I., &amp; Touboul, S. (2016). Do ratings of firms converge? Implications for managers, investors and strategy researchers. Strategic Management Journal, 37(8), 1597–1614.</w:t>
      </w:r>
    </w:p>
    <w:p>
      <w:pPr>
        <w:spacing w:after="120" w:before="0" w:line="360"/>
        <w:ind w:left="720" w:hanging="720"/>
        <w:jc w:val="both"/>
      </w:pPr>
      <w:r>
        <w:rPr>
          <w:rFonts w:ascii="Times New Roman" w:cs="Times New Roman" w:eastAsia="Times New Roman" w:hAnsi="Times New Roman"/>
          <w:sz w:val="22"/>
          <w:szCs w:val="22"/>
        </w:rPr>
        <w:t xml:space="preserve">[CITE VERIFY] DiMaggio, P. J., &amp; Powell, W. W. (1983). The iron cage revisited: Institutional isomorphism and collective rationality in organizational fields. American Sociological Review, 48(2), 147–160.</w:t>
      </w:r>
    </w:p>
    <w:p>
      <w:pPr>
        <w:spacing w:after="120" w:before="0" w:line="360"/>
        <w:ind w:left="720" w:hanging="720"/>
        <w:jc w:val="both"/>
      </w:pPr>
      <w:r>
        <w:rPr>
          <w:rFonts w:ascii="Times New Roman" w:cs="Times New Roman" w:eastAsia="Times New Roman" w:hAnsi="Times New Roman"/>
          <w:sz w:val="22"/>
          <w:szCs w:val="22"/>
        </w:rPr>
        <w:t xml:space="preserve">[CITE VERIFY] Doshi-Velez, F., &amp; Kim, B. (2017). Towards a rigorous science of interpretable machine learning. arXiv preprint arXiv:1702.08608.</w:t>
      </w:r>
    </w:p>
    <w:p>
      <w:pPr>
        <w:spacing w:after="120" w:before="0" w:line="360"/>
        <w:ind w:left="720" w:hanging="720"/>
        <w:jc w:val="both"/>
      </w:pPr>
      <w:r>
        <w:rPr>
          <w:rFonts w:ascii="Times New Roman" w:cs="Times New Roman" w:eastAsia="Times New Roman" w:hAnsi="Times New Roman"/>
          <w:sz w:val="22"/>
          <w:szCs w:val="22"/>
        </w:rPr>
        <w:t xml:space="preserve">[CITE VERIFY] Drempetic, S., Klein, C., &amp; Zwergel, B. (2020). The influence of firm size on the ESG score: Corporate sustainability ratings under review. Journal of Business Ethics, 167(2), 333–360.</w:t>
      </w:r>
    </w:p>
    <w:p>
      <w:pPr>
        <w:spacing w:after="120" w:before="0" w:line="360"/>
        <w:ind w:left="720" w:hanging="720"/>
        <w:jc w:val="both"/>
      </w:pPr>
      <w:r>
        <w:rPr>
          <w:rFonts w:ascii="Times New Roman" w:cs="Times New Roman" w:eastAsia="Times New Roman" w:hAnsi="Times New Roman"/>
          <w:sz w:val="22"/>
          <w:szCs w:val="22"/>
        </w:rPr>
        <w:t xml:space="preserve">[CITE VERIFY] Eccles, R. G., &amp; Stroehle, J. C. (2018). Exploring social origins in the construction of ESG measures. Working Paper, University of Oxford.</w:t>
      </w:r>
    </w:p>
    <w:p>
      <w:pPr>
        <w:spacing w:after="120" w:before="0" w:line="360"/>
        <w:ind w:left="720" w:hanging="720"/>
        <w:jc w:val="both"/>
      </w:pPr>
      <w:r>
        <w:rPr>
          <w:rFonts w:ascii="Times New Roman" w:cs="Times New Roman" w:eastAsia="Times New Roman" w:hAnsi="Times New Roman"/>
          <w:sz w:val="22"/>
          <w:szCs w:val="22"/>
        </w:rPr>
        <w:t xml:space="preserve">[CITE VERIFY] Goodfellow, I. J., Shlens, J., &amp; Szegedy, C. (2015). Explaining and harnessing adversarial examples. International Conference on Learning Representations (ICLR).</w:t>
      </w:r>
    </w:p>
    <w:p>
      <w:pPr>
        <w:spacing w:after="120" w:before="0" w:line="360"/>
        <w:ind w:left="720" w:hanging="720"/>
        <w:jc w:val="both"/>
      </w:pPr>
      <w:r>
        <w:rPr>
          <w:rFonts w:ascii="Times New Roman" w:cs="Times New Roman" w:eastAsia="Times New Roman" w:hAnsi="Times New Roman"/>
          <w:sz w:val="22"/>
          <w:szCs w:val="22"/>
        </w:rPr>
        <w:t xml:space="preserve">[CITE VERIFY] Hahn, R., &amp; Kuhnen, M. (2013). Determinants of adequate disclosure in corporate sustainability reporting: A review of extant research. Journal of Cleaner Production, 48, 239–253.</w:t>
      </w:r>
    </w:p>
    <w:p>
      <w:pPr>
        <w:spacing w:after="120" w:before="0" w:line="360"/>
        <w:ind w:left="720" w:hanging="720"/>
        <w:jc w:val="both"/>
      </w:pPr>
      <w:r>
        <w:rPr>
          <w:rFonts w:ascii="Times New Roman" w:cs="Times New Roman" w:eastAsia="Times New Roman" w:hAnsi="Times New Roman"/>
          <w:sz w:val="22"/>
          <w:szCs w:val="22"/>
        </w:rPr>
        <w:t xml:space="preserve">[CITE VERIFY] Healy, P. M., &amp; Palepu, K. G. (2001). Information asymmetry, corporate disclosure, and the capital markets: A review of the empirical disclosure literature. Journal of Accounting and Economics, 31(1–3), 405–440.</w:t>
      </w:r>
    </w:p>
    <w:p>
      <w:pPr>
        <w:spacing w:after="120" w:before="0" w:line="360"/>
        <w:ind w:left="720" w:hanging="720"/>
        <w:jc w:val="both"/>
      </w:pPr>
      <w:r>
        <w:rPr>
          <w:rFonts w:ascii="Times New Roman" w:cs="Times New Roman" w:eastAsia="Times New Roman" w:hAnsi="Times New Roman"/>
          <w:sz w:val="22"/>
          <w:szCs w:val="22"/>
        </w:rPr>
        <w:t xml:space="preserve">[CITE VERIFY] Ijiri, Y. (1975). Theory of accounting measurement. American Accounting Association.</w:t>
      </w:r>
    </w:p>
    <w:p>
      <w:pPr>
        <w:spacing w:after="120" w:before="0" w:line="360"/>
        <w:ind w:left="720" w:hanging="720"/>
        <w:jc w:val="both"/>
      </w:pPr>
      <w:r>
        <w:rPr>
          <w:rFonts w:ascii="Times New Roman" w:cs="Times New Roman" w:eastAsia="Times New Roman" w:hAnsi="Times New Roman"/>
          <w:sz w:val="22"/>
          <w:szCs w:val="22"/>
        </w:rPr>
        <w:t xml:space="preserve">[CITE VERIFY] Jensen, M. C., &amp; Meckling, W. H. (1976). Theory of the firm: Managerial behavior, agency costs and ownership structure. Journal of Financial Economics, 3(4), 305–360.</w:t>
      </w:r>
    </w:p>
    <w:p>
      <w:pPr>
        <w:spacing w:after="120" w:before="0" w:line="360"/>
        <w:ind w:left="720" w:hanging="720"/>
        <w:jc w:val="both"/>
      </w:pPr>
      <w:r>
        <w:rPr>
          <w:rFonts w:ascii="Times New Roman" w:cs="Times New Roman" w:eastAsia="Times New Roman" w:hAnsi="Times New Roman"/>
          <w:sz w:val="22"/>
          <w:szCs w:val="22"/>
        </w:rPr>
        <w:t xml:space="preserve">[CITE VERIFY] Mackenzie, D. (2006). An engine, not a camera: How financial models shape markets. MIT Press.</w:t>
      </w:r>
    </w:p>
    <w:p>
      <w:pPr>
        <w:spacing w:after="120" w:before="0" w:line="360"/>
        <w:ind w:left="720" w:hanging="720"/>
        <w:jc w:val="both"/>
      </w:pPr>
      <w:r>
        <w:rPr>
          <w:rFonts w:ascii="Times New Roman" w:cs="Times New Roman" w:eastAsia="Times New Roman" w:hAnsi="Times New Roman"/>
          <w:sz w:val="22"/>
          <w:szCs w:val="22"/>
        </w:rPr>
        <w:t xml:space="preserve">[CITE VERIFY] Orlikowski, W. J., &amp; Scott, S. V. (2008). Sociomateriality: Challenging the separation of technology, work and organization. Academy of Management Annals, 2(1), 433–474.</w:t>
      </w:r>
    </w:p>
    <w:p>
      <w:pPr>
        <w:spacing w:after="120" w:before="0" w:line="360"/>
        <w:ind w:left="720" w:hanging="720"/>
        <w:jc w:val="both"/>
      </w:pPr>
      <w:r>
        <w:rPr>
          <w:rFonts w:ascii="Times New Roman" w:cs="Times New Roman" w:eastAsia="Times New Roman" w:hAnsi="Times New Roman"/>
          <w:sz w:val="22"/>
          <w:szCs w:val="22"/>
        </w:rPr>
        <w:t xml:space="preserve">[CITE VERIFY] Ostrom, E. (2005). Understanding institutional diversity. Princeton University Press.</w:t>
      </w:r>
    </w:p>
    <w:p>
      <w:pPr>
        <w:spacing w:after="120" w:before="0" w:line="360"/>
        <w:ind w:left="720" w:hanging="720"/>
        <w:jc w:val="both"/>
      </w:pPr>
      <w:r>
        <w:rPr>
          <w:rFonts w:ascii="Times New Roman" w:cs="Times New Roman" w:eastAsia="Times New Roman" w:hAnsi="Times New Roman"/>
          <w:sz w:val="22"/>
          <w:szCs w:val="22"/>
        </w:rPr>
        <w:t xml:space="preserve">[CITE VERIFY] Scott, W. R. (2014). Institutions and organizations: Ideas, interests, and identities (4th ed.). SAGE Publications.</w:t>
      </w:r>
    </w:p>
    <w:p>
      <w:pPr>
        <w:spacing w:after="120" w:before="0" w:line="360"/>
        <w:ind w:left="720" w:hanging="720"/>
        <w:jc w:val="both"/>
      </w:pPr>
      <w:r>
        <w:rPr>
          <w:rFonts w:ascii="Times New Roman" w:cs="Times New Roman" w:eastAsia="Times New Roman" w:hAnsi="Times New Roman"/>
          <w:sz w:val="22"/>
          <w:szCs w:val="22"/>
        </w:rPr>
        <w:t xml:space="preserve">[CITE VERIFY] Star, S. L., &amp; Ruhleder, K. (1996). Steps toward an ecology of infrastructure: Design and access for large information spaces. Information Systems Research, 7(1), 111–134.</w:t>
      </w:r>
    </w:p>
    <w:p>
      <w:pPr>
        <w:spacing w:after="120" w:before="0" w:line="360"/>
        <w:ind w:left="720" w:hanging="720"/>
        <w:jc w:val="both"/>
      </w:pPr>
      <w:r>
        <w:rPr>
          <w:rFonts w:ascii="Times New Roman" w:cs="Times New Roman" w:eastAsia="Times New Roman" w:hAnsi="Times New Roman"/>
          <w:sz w:val="22"/>
          <w:szCs w:val="22"/>
        </w:rPr>
        <w:t xml:space="preserve">[CITE VERIFY] Suchman, M. C. (1995). Managing legitimacy: Strategic and institutional approaches. Academy of Management Review, 20(3), 571–610.</w:t>
      </w:r>
    </w:p>
    <w:p>
      <w:pPr>
        <w:spacing w:after="120" w:before="0" w:line="360"/>
        <w:ind w:left="720" w:hanging="720"/>
        <w:jc w:val="both"/>
      </w:pPr>
      <w:r>
        <w:rPr>
          <w:rFonts w:ascii="Times New Roman" w:cs="Times New Roman" w:eastAsia="Times New Roman" w:hAnsi="Times New Roman"/>
          <w:sz w:val="22"/>
          <w:szCs w:val="22"/>
        </w:rPr>
        <w:t xml:space="preserve">[CITE VERIFY] Verrecchia, R. E. (2001). Essays on disclosure. Journal of Accounting and Economics, 32(1–3), 97–180.</w:t>
      </w:r>
    </w:p>
    <w:p>
      <w:pPr>
        <w:spacing w:after="120" w:before="0" w:line="360"/>
        <w:ind w:left="720" w:hanging="720"/>
        <w:jc w:val="both"/>
      </w:pPr>
      <w:r>
        <w:rPr>
          <w:rFonts w:ascii="Times New Roman" w:cs="Times New Roman" w:eastAsia="Times New Roman" w:hAnsi="Times New Roman"/>
          <w:sz w:val="22"/>
          <w:szCs w:val="22"/>
        </w:rPr>
        <w:t xml:space="preserve">[CITE VERIFY] Watts, R. L., &amp; Zimmerman, J. L. (1990). Positive accounting theory: A ten year perspective. Accounting Review, 65(1), 131–156.</w:t>
      </w:r>
    </w:p>
    <w:p>
      <w:pPr>
        <w:spacing w:after="120" w:before="0" w:line="360"/>
        <w:ind w:left="720" w:hanging="720"/>
        <w:jc w:val="both"/>
      </w:pPr>
      <w:r>
        <w:rPr>
          <w:rFonts w:ascii="Times New Roman" w:cs="Times New Roman" w:eastAsia="Times New Roman" w:hAnsi="Times New Roman"/>
          <w:sz w:val="22"/>
          <w:szCs w:val="22"/>
        </w:rPr>
        <w:t xml:space="preserve">[CITE NEEDED] Global Sustainable Investment Alliance (GSIA). (2023). Global Sustainable Investment Review 2022. GSIA.</w:t>
      </w:r>
    </w:p>
    <w:p>
      <w:pPr>
        <w:spacing w:after="120" w:before="0" w:line="360"/>
        <w:ind w:left="720" w:hanging="720"/>
        <w:jc w:val="both"/>
      </w:pPr>
      <w:r>
        <w:rPr>
          <w:rFonts w:ascii="Times New Roman" w:cs="Times New Roman" w:eastAsia="Times New Roman" w:hAnsi="Times New Roman"/>
          <w:sz w:val="22"/>
          <w:szCs w:val="22"/>
        </w:rPr>
        <w:t xml:space="preserve">[CITE NEEDED] Recent empirical literature on AI-based ESG scoring and cost of capital effects (2021–2024).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Literature on greenwashing facilitated by ESG rating complexity (2020–2024).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Market concentration and competitive dynamics in the ESG rating industry (2022–2024). To be identified by author prior to submission.</w:t>
      </w:r>
    </w:p>
    <w:p>
      <w:pPr>
        <w:spacing w:after="120" w:before="0" w:line="360"/>
        <w:ind w:left="720" w:hanging="720"/>
        <w:jc w:val="both"/>
      </w:pPr>
      <w:r>
        <w:rPr>
          <w:rFonts w:ascii="Times New Roman" w:cs="Times New Roman" w:eastAsia="Times New Roman" w:hAnsi="Times New Roman"/>
          <w:sz w:val="22"/>
          <w:szCs w:val="22"/>
        </w:rPr>
        <w:t xml:space="preserve">[CITE NEEDED] Regulatory experiments in AI governance for financial services: EU AI Act sandboxes, FCA model risk management guidelines, MAS fairness principles (2022–2024). To be identified by author prior to submission.</w:t>
      </w:r>
    </w:p>
    <w:p>
      <w:pPr>
        <w:spacing w:after="0" w:before="0" w:line="240"/>
      </w:pPr>
      <w:r>
        <w:t xml:space="preserve"/>
      </w:r>
    </w:p>
    <w:p>
      <w:r>
        <w:br/>
        <w:t xml:space="preserve"/>
      </w:r>
    </w:p>
    <w:p>
      <w:pPr>
        <w:pStyle w:val="Heading1"/>
        <w:spacing w:after="160" w:before="400"/>
      </w:pPr>
      <w:r>
        <w:rPr>
          <w:rFonts w:ascii="Times New Roman" w:cs="Times New Roman" w:eastAsia="Times New Roman" w:hAnsi="Times New Roman"/>
          <w:b/>
          <w:bCs/>
          <w:caps/>
          <w:sz w:val="28"/>
          <w:szCs w:val="28"/>
        </w:rPr>
        <w:t xml:space="preserve">Appendix: Referee Report Simulation</w:t>
      </w:r>
    </w:p>
    <w:p>
      <w:pPr>
        <w:spacing w:after="120" w:before="0" w:line="400"/>
      </w:pPr>
      <w:r>
        <w:rPr>
          <w:rFonts w:ascii="Times New Roman" w:cs="Times New Roman" w:eastAsia="Times New Roman" w:hAnsi="Times New Roman"/>
          <w:b/>
          <w:bCs/>
          <w:sz w:val="24"/>
          <w:szCs w:val="24"/>
        </w:rPr>
        <w:t xml:space="preserve">REFEREE REPORT SIMULATION</w:t>
      </w:r>
    </w:p>
    <w:p>
      <w:pPr>
        <w:spacing w:after="120" w:before="0" w:line="400"/>
      </w:pPr>
      <w:r>
        <w:rPr>
          <w:rFonts w:ascii="Times New Roman" w:cs="Times New Roman" w:eastAsia="Times New Roman" w:hAnsi="Times New Roman"/>
          <w:i/>
          <w:iCs/>
          <w:sz w:val="24"/>
          <w:szCs w:val="24"/>
        </w:rPr>
        <w:t xml:space="preserve">Paper: "Governing the ESG Machine: A Theory of Algorithmic Accountability in Sustainable Finance Infrastructures"</w:t>
      </w:r>
    </w:p>
    <w:p>
      <w:pPr>
        <w:spacing w:after="120" w:before="0" w:line="400"/>
      </w:pPr>
      <w:r>
        <w:rPr>
          <w:rFonts w:ascii="Times New Roman" w:cs="Times New Roman" w:eastAsia="Times New Roman" w:hAnsi="Times New Roman"/>
          <w:b/>
          <w:bCs/>
          <w:sz w:val="24"/>
          <w:szCs w:val="24"/>
        </w:rPr>
        <w:t xml:space="preserve">Recommendation: Major Revision — Strong conceptual contribution requiring tightening of mechanism specification and empirical operationalization.</w:t>
      </w:r>
    </w:p>
    <w:p>
      <w:pPr>
        <w:pStyle w:val="Heading2"/>
        <w:spacing w:after="120" w:before="320"/>
      </w:pPr>
      <w:r>
        <w:rPr>
          <w:rFonts w:ascii="Times New Roman" w:cs="Times New Roman" w:eastAsia="Times New Roman" w:hAnsi="Times New Roman"/>
          <w:b/>
          <w:bCs/>
          <w:i/>
          <w:iCs/>
          <w:sz w:val="26"/>
          <w:szCs w:val="26"/>
        </w:rPr>
        <w:t xml:space="preserve">Summary of Contribution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paper makes a genuinely original contribution by developing the first formal theoretical framework — the ASFI Model — for analyzing algorithmic accountability as a governance problem specific to sustainable finance. The reconceptualization of ESG scoring systems as epistemic infrastructures, the introduction of the Principal-Algorithm-Agent Triad, and the four-dimensional taxonomy of Algorithmic Accountability Gaps collectively represent a significant advance on the existing literature. The paper is clearly positioned for a top-tier journal and addresses a problem of substantial and growing institutional significance.</w:t>
      </w:r>
    </w:p>
    <w:p>
      <w:pPr>
        <w:pStyle w:val="Heading2"/>
        <w:spacing w:after="120" w:before="320"/>
      </w:pPr>
      <w:r>
        <w:rPr>
          <w:rFonts w:ascii="Times New Roman" w:cs="Times New Roman" w:eastAsia="Times New Roman" w:hAnsi="Times New Roman"/>
          <w:b/>
          <w:bCs/>
          <w:i/>
          <w:iCs/>
          <w:sz w:val="26"/>
          <w:szCs w:val="26"/>
        </w:rPr>
        <w:t xml:space="preserve">Major Concerns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Mechanism specificity: The four governance mechanisms (MEAs, AAPs, PTCs, MLRO) are theorized at a useful conceptual level but their operationalization is underdeveloped. The paper would benefit considerably from more precise specification of the institutional conditions under which each mechanism can be deployed — who has enforcement authority, what the compliance obligations are, and how the mechanisms interact when simultaneously operative. Suggested fix: Add a table mapping each mechanism to its institutional prerequisites, likely enforcement bodies, and known implementation challenges based on comparative analysis of existing AI governance frameworks.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Proposition testability: Several propositions, while theoretically coherent, are stated at a level of generality that makes empirical testing difficult to design. Proposition 4, in particular, makes a strong prediction about ESG rating convergence under adversarial auditing without specifying the convergence metric or timeframe. Suggested fix: For each proposition, append a one-sentence note on the empirical proxy most suitable for testing it.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3. Dynamic considerations: The framework treats the PAA Triad and AAG dimensions primarily as static configurations. In practice, algorithmic systems evolve continuously through retraining, architecture updates, and data vendor changes — introducing dynamic accountability challenges that a static framework may understate. Suggested fix: Add a subsection on the temporal dynamics of AAGs under conditions of continuous algorithmic updating.</w:t>
      </w:r>
    </w:p>
    <w:p>
      <w:pPr>
        <w:pStyle w:val="Heading2"/>
        <w:spacing w:after="120" w:before="320"/>
      </w:pPr>
      <w:r>
        <w:rPr>
          <w:rFonts w:ascii="Times New Roman" w:cs="Times New Roman" w:eastAsia="Times New Roman" w:hAnsi="Times New Roman"/>
          <w:b/>
          <w:bCs/>
          <w:i/>
          <w:iCs/>
          <w:sz w:val="26"/>
          <w:szCs w:val="26"/>
        </w:rPr>
        <w:t xml:space="preserve">Minor Concerns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The concept of "legitimacy laundering" introduced in Section III is analytically interesting but underdeveloped relative to its theoretical significance. It merits a more formal treatment.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The paper would benefit from one or two brief illustrative vignettes — drawn from documented cases of ESG rating controversies or AI governance incidents — to ground the abstract framework in observable institutional phenomena.</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3. The reference list includes a significant number of [CITE VERIFY] and [CITE NEEDED] flags. While this is appropriate transparency practice, the author should resolve as many as possible before submission, particularly for foundational theoretical references (Jensen &amp; Meckling; DiMaggio &amp; Powell; Suchman) which are well-established and should be cited with confidence.</w:t>
      </w:r>
    </w:p>
    <w:p>
      <w:pPr>
        <w:pStyle w:val="Heading2"/>
        <w:spacing w:after="120" w:before="320"/>
      </w:pPr>
      <w:r>
        <w:rPr>
          <w:rFonts w:ascii="Times New Roman" w:cs="Times New Roman" w:eastAsia="Times New Roman" w:hAnsi="Times New Roman"/>
          <w:b/>
          <w:bCs/>
          <w:i/>
          <w:iCs/>
          <w:sz w:val="26"/>
          <w:szCs w:val="26"/>
        </w:rPr>
        <w:t xml:space="preserve">Questions for Authors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1. How does the ASFI Model apply to AI systems used for supervisory purposes by regulators themselves — for example, systemic risk monitoring models at central banks that incorporate ESG data? Is institutional displacement a one-directional problem, or can regulatory algorithmic systems also generate AAGs?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2. The paper argues that accountability and efficiency are complements in the medium to long run (Proposition 9). Is there a theoretical account of the short-run trade-off — during the transitional period when accountability requirements are being implemented but AAGs have not yet been closed — and what does the framework predict about the political economy of that transition?</w:t>
      </w:r>
    </w:p>
    <w:p>
      <w:pPr>
        <w:pStyle w:val="Heading2"/>
        <w:spacing w:after="120" w:before="320"/>
      </w:pPr>
      <w:r>
        <w:rPr>
          <w:rFonts w:ascii="Times New Roman" w:cs="Times New Roman" w:eastAsia="Times New Roman" w:hAnsi="Times New Roman"/>
          <w:b/>
          <w:bCs/>
          <w:i/>
          <w:iCs/>
          <w:sz w:val="26"/>
          <w:szCs w:val="26"/>
        </w:rPr>
        <w:t xml:space="preserve">Overall Assessment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is a strong conceptual paper with a clear theoretical contribution, sophisticated multi-level analytical architecture, and significant policy relevance. With attention to the mechanism specification concerns raised above and the resolution of the citation verification flags, it would be competitive for Accounting, Organizations and Society, Journal of Business Ethics, or Business Strategy and the Environment. The paper should not be rejected; it should be invited to revise and resubmit with specific attention to the operationalization of the governance mechanisms and the dynamic extension of the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2026-05-25T05:32:05.102Z</dcterms:created>
  <dcterms:modified xsi:type="dcterms:W3CDTF">2026-05-25T05:32:05.103Z</dcterms:modified>
</cp:coreProperties>
</file>

<file path=docProps/custom.xml><?xml version="1.0" encoding="utf-8"?>
<Properties xmlns="http://schemas.openxmlformats.org/officeDocument/2006/custom-properties" xmlns:vt="http://schemas.openxmlformats.org/officeDocument/2006/docPropsVTypes"/>
</file>