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B81C9">
      <w:pPr>
        <w:spacing w:before="800" w:after="0"/>
      </w:pPr>
    </w:p>
    <w:p w14:paraId="2DB30A52">
      <w:pPr>
        <w:jc w:val="center"/>
      </w:pPr>
      <w:r>
        <w:rPr>
          <w:rFonts w:ascii="Times New Roman" w:hAnsi="Times New Roman" w:eastAsia="Times New Roman" w:cs="Times New Roman"/>
          <w:b/>
          <w:bCs/>
          <w:i w:val="0"/>
          <w:iCs w:val="0"/>
          <w:color w:val="000000"/>
          <w:sz w:val="32"/>
          <w:szCs w:val="32"/>
        </w:rPr>
        <w:t>BRSR Disclosure Quality and the Cost of Equity Capital:</w:t>
      </w:r>
    </w:p>
    <w:p w14:paraId="0A4DC773">
      <w:pPr>
        <w:jc w:val="center"/>
      </w:pPr>
      <w:r>
        <w:rPr>
          <w:rFonts w:ascii="Times New Roman" w:hAnsi="Times New Roman" w:eastAsia="Times New Roman" w:cs="Times New Roman"/>
          <w:b/>
          <w:bCs/>
          <w:i w:val="0"/>
          <w:iCs w:val="0"/>
          <w:color w:val="000000"/>
          <w:sz w:val="32"/>
          <w:szCs w:val="32"/>
        </w:rPr>
        <w:t>Evidence from Indian Listed Firms</w:t>
      </w:r>
    </w:p>
    <w:p w14:paraId="4046A1A0">
      <w:pPr>
        <w:spacing w:before="320" w:after="0"/>
      </w:pPr>
    </w:p>
    <w:p w14:paraId="5CEF1EC6">
      <w:pPr>
        <w:jc w:val="center"/>
      </w:pPr>
      <w:r>
        <w:rPr>
          <w:rFonts w:ascii="Times New Roman" w:hAnsi="Times New Roman" w:eastAsia="Times New Roman" w:cs="Times New Roman"/>
          <w:b w:val="0"/>
          <w:bCs w:val="0"/>
          <w:i w:val="0"/>
          <w:iCs w:val="0"/>
          <w:color w:val="595959"/>
          <w:sz w:val="22"/>
          <w:szCs w:val="22"/>
        </w:rPr>
        <w:t>[Author Names Omitted for Blind Review]</w:t>
      </w:r>
    </w:p>
    <w:p w14:paraId="18238979">
      <w:pPr>
        <w:jc w:val="center"/>
      </w:pPr>
      <w:r>
        <w:rPr>
          <w:rFonts w:ascii="Times New Roman" w:hAnsi="Times New Roman" w:eastAsia="Times New Roman" w:cs="Times New Roman"/>
          <w:b w:val="0"/>
          <w:bCs w:val="0"/>
          <w:i w:val="0"/>
          <w:iCs w:val="0"/>
          <w:color w:val="595959"/>
          <w:sz w:val="22"/>
          <w:szCs w:val="22"/>
        </w:rPr>
        <w:t>[Affiliations Omitted for Blind Review]</w:t>
      </w:r>
    </w:p>
    <w:p w14:paraId="18CECCA7">
      <w:pPr>
        <w:spacing w:before="240" w:after="0"/>
      </w:pPr>
    </w:p>
    <w:p w14:paraId="5756BC19">
      <w:pPr>
        <w:jc w:val="center"/>
      </w:pPr>
      <w:r>
        <w:rPr>
          <w:rFonts w:ascii="Times New Roman" w:hAnsi="Times New Roman" w:eastAsia="Times New Roman" w:cs="Times New Roman"/>
          <w:b w:val="0"/>
          <w:bCs w:val="0"/>
          <w:i w:val="0"/>
          <w:iCs w:val="0"/>
          <w:color w:val="595959"/>
          <w:sz w:val="22"/>
          <w:szCs w:val="22"/>
        </w:rPr>
        <w:t>This Version: April 2026 — REVISED DRAFT</w:t>
      </w:r>
    </w:p>
    <w:p w14:paraId="5C06E903">
      <w:pPr>
        <w:spacing w:before="320" w:after="0"/>
      </w:pPr>
    </w:p>
    <w:p w14:paraId="31A8CFB5">
      <w:pPr>
        <w:pBdr>
          <w:top w:val="single" w:color="1F3864" w:sz="6" w:space="0"/>
          <w:bottom w:val="single" w:color="1F3864" w:sz="6" w:space="0"/>
        </w:pBdr>
        <w:spacing w:before="240" w:after="80"/>
        <w:jc w:val="left"/>
      </w:pPr>
      <w:r>
        <w:rPr>
          <w:rFonts w:ascii="Times New Roman" w:hAnsi="Times New Roman" w:eastAsia="Times New Roman" w:cs="Times New Roman"/>
          <w:b/>
          <w:bCs/>
          <w:color w:val="1F3864"/>
          <w:sz w:val="22"/>
          <w:szCs w:val="22"/>
        </w:rPr>
        <w:t xml:space="preserve">Revision Notes for Authors: </w:t>
      </w:r>
      <w:r>
        <w:rPr>
          <w:rFonts w:ascii="Times New Roman" w:hAnsi="Times New Roman" w:eastAsia="Times New Roman" w:cs="Times New Roman"/>
          <w:sz w:val="22"/>
          <w:szCs w:val="22"/>
        </w:rPr>
        <w:t>Purple [P] = placeholder value (replace with actual estimate). Red [CITE...] = citation needed. Green ✓ = DOI-verified citation. See Appendix A for full replacement checklist.</w:t>
      </w:r>
    </w:p>
    <w:p w14:paraId="1302971F">
      <w:pPr>
        <w:spacing w:before="320" w:after="0"/>
      </w:pPr>
    </w:p>
    <w:p w14:paraId="5995EAE5">
      <w:pPr>
        <w:pBdr>
          <w:top w:val="single" w:color="1F3864" w:sz="6" w:space="0"/>
          <w:bottom w:val="single" w:color="1F3864" w:sz="6" w:space="0"/>
        </w:pBdr>
        <w:spacing w:before="240" w:after="120"/>
        <w:jc w:val="left"/>
      </w:pPr>
      <w:r>
        <w:rPr>
          <w:rFonts w:ascii="Times New Roman" w:hAnsi="Times New Roman" w:eastAsia="Times New Roman" w:cs="Times New Roman"/>
          <w:b/>
          <w:bCs/>
          <w:color w:val="1F3864"/>
          <w:sz w:val="24"/>
          <w:szCs w:val="24"/>
        </w:rPr>
        <w:t>ABSTRACT</w:t>
      </w:r>
    </w:p>
    <w:p w14:paraId="364977F1">
      <w:pPr>
        <w:spacing w:before="0" w:after="120" w:line="240" w:lineRule="auto"/>
      </w:pPr>
      <w:r>
        <w:rPr>
          <w:rFonts w:ascii="Times New Roman" w:hAnsi="Times New Roman" w:eastAsia="Times New Roman" w:cs="Times New Roman"/>
          <w:sz w:val="22"/>
          <w:szCs w:val="22"/>
        </w:rPr>
        <w:t>India's Securities and Exchange Board of India (SEBI) mandated Business Responsibility and Sustainability Report (BRSR) disclosures for the top-1000 NSE-listed firms beginning FY2022-23, creating a large-scale natural experiment in mandatory non-financial disclosure. We examine whether the quality — not merely the existence — of BRSR disclosure reduces the cost of equity capital for Indian listed firms. Using a hand-constructed BRSR quality score across 3,421 [P] firm-year observations and a difference-in-differences design exploiting the staggered SEBI mandate, we find that a one standard deviation increase in BRSR disclosure quality reduces the cost of equity by 71 [P] basis points, equivalent to 5.3% [P] of the sample mean. Formal event-study pre-trend tests confirm parallel trends in the two years prior to the mandate (joint F-test p = 0.47 [P]). A decomposition of the BRSR quality score reveals that third-party assurance carries the largest cost-of-equity effect, followed by disclosure completeness. Mechanism tests using bid-ask spreads and analyst forecast dispersion confirm that BRSR quality reduces information asymmetry, which mediates approximately 70% [P] of the total cost-of-equity effect. These findings have direct implications for SEBI's ongoing expansion of the BRSR framework and for regulators in other emerging markets designing mandatory sustainability disclosure regimes.</w:t>
      </w:r>
    </w:p>
    <w:p w14:paraId="759B4C1B">
      <w:pPr>
        <w:spacing w:before="120" w:after="80"/>
      </w:pPr>
      <w:r>
        <w:rPr>
          <w:rFonts w:ascii="Times New Roman" w:hAnsi="Times New Roman" w:eastAsia="Times New Roman" w:cs="Times New Roman"/>
          <w:b/>
          <w:bCs/>
          <w:sz w:val="20"/>
          <w:szCs w:val="20"/>
        </w:rPr>
        <w:t xml:space="preserve">JEL Codes: </w:t>
      </w:r>
      <w:r>
        <w:rPr>
          <w:rFonts w:ascii="Times New Roman" w:hAnsi="Times New Roman" w:eastAsia="Times New Roman" w:cs="Times New Roman"/>
          <w:sz w:val="20"/>
          <w:szCs w:val="20"/>
        </w:rPr>
        <w:t>G12, G14, G18, M41, Q58</w:t>
      </w:r>
    </w:p>
    <w:p w14:paraId="4825D1D2">
      <w:pPr>
        <w:spacing w:before="0" w:after="80"/>
      </w:pPr>
      <w:r>
        <w:rPr>
          <w:rFonts w:ascii="Times New Roman" w:hAnsi="Times New Roman" w:eastAsia="Times New Roman" w:cs="Times New Roman"/>
          <w:b/>
          <w:bCs/>
          <w:sz w:val="20"/>
          <w:szCs w:val="20"/>
        </w:rPr>
        <w:t xml:space="preserve">Keywords: </w:t>
      </w:r>
      <w:r>
        <w:rPr>
          <w:rFonts w:ascii="Times New Roman" w:hAnsi="Times New Roman" w:eastAsia="Times New Roman" w:cs="Times New Roman"/>
          <w:sz w:val="20"/>
          <w:szCs w:val="20"/>
        </w:rPr>
        <w:t>BRSR disclosure quality; cost of equity capital; information asymmetry; mandatory ESG disclosure; India; emerging markets</w:t>
      </w:r>
    </w:p>
    <w:p w14:paraId="5D4582EB">
      <w:pPr>
        <w:pBdr>
          <w:bottom w:val="single" w:color="1F3864" w:sz="6" w:space="0"/>
        </w:pBdr>
        <w:spacing w:before="0" w:after="240"/>
      </w:pPr>
    </w:p>
    <w:p w14:paraId="28FE2486">
      <w:pPr>
        <w:pageBreakBefore/>
      </w:pPr>
    </w:p>
    <w:p w14:paraId="444816B5">
      <w:pPr>
        <w:spacing w:before="480" w:after="240"/>
        <w:jc w:val="center"/>
      </w:pPr>
      <w:r>
        <w:rPr>
          <w:rFonts w:ascii="Times New Roman" w:hAnsi="Times New Roman" w:eastAsia="Times New Roman" w:cs="Times New Roman"/>
          <w:b/>
          <w:bCs/>
          <w:color w:val="1F3864"/>
          <w:sz w:val="28"/>
          <w:szCs w:val="28"/>
        </w:rPr>
        <w:t>I. INTRODUCTION</w:t>
      </w:r>
    </w:p>
    <w:p w14:paraId="5B80E538">
      <w:pPr>
        <w:spacing w:before="0" w:after="240" w:line="480" w:lineRule="auto"/>
        <w:ind w:firstLine="720"/>
      </w:pPr>
      <w:r>
        <w:rPr>
          <w:rFonts w:ascii="Times New Roman" w:hAnsi="Times New Roman" w:eastAsia="Times New Roman" w:cs="Times New Roman"/>
          <w:color w:val="000000"/>
          <w:sz w:val="24"/>
          <w:szCs w:val="24"/>
        </w:rPr>
        <w:t>India's capital markets generated a paradox in 2022: the Bombay Stock Exchange listed more than 5,000 firms, yet credible, standardised non-financial information on which investors could assess environmental, social, and governance risks was almost entirely absent. That year, SEBI's mandatory BRSR framework changed the architecture of corporate disclosure for India's largest listed firms — but whether investors actually price the quality of what firms disclose remains an open and economically consequential question.</w:t>
      </w:r>
    </w:p>
    <w:p w14:paraId="42CD892A">
      <w:pPr>
        <w:spacing w:before="0" w:after="240" w:line="480" w:lineRule="auto"/>
        <w:ind w:firstLine="720"/>
      </w:pPr>
      <w:r>
        <w:rPr>
          <w:rFonts w:ascii="Times New Roman" w:hAnsi="Times New Roman" w:eastAsia="Times New Roman" w:cs="Times New Roman"/>
          <w:color w:val="000000"/>
          <w:sz w:val="24"/>
          <w:szCs w:val="24"/>
        </w:rPr>
        <w:t xml:space="preserve">We ask whether the quality of BRSR disclosure — the depth, completeness, quantitative specificity, and third-party assurance of the report, not merely its filing — reduces the cost of equity for Indian listed firms. The question matters for two reasons. First, India represents the world's fifth-largest economy and the largest emerging market by listed firm count, yet direct capital market evidence on mandatory sustainability disclosure is essentially absent from the top-tier finance literature, which has focused almost exclusively on voluntary ESG disclosure in the United States and Western Europe </w:t>
      </w:r>
      <w:r>
        <w:rPr>
          <w:rFonts w:ascii="Times New Roman" w:hAnsi="Times New Roman" w:eastAsia="Times New Roman" w:cs="Times New Roman"/>
          <w:i/>
          <w:iCs/>
          <w:color w:val="C00000"/>
          <w:sz w:val="24"/>
          <w:szCs w:val="24"/>
        </w:rPr>
        <w:t>[CITE NEEDED: survey of ESG-capital market literature geography]</w:t>
      </w:r>
      <w:r>
        <w:rPr>
          <w:rFonts w:ascii="Times New Roman" w:hAnsi="Times New Roman" w:eastAsia="Times New Roman" w:cs="Times New Roman"/>
          <w:color w:val="000000"/>
          <w:sz w:val="24"/>
          <w:szCs w:val="24"/>
        </w:rPr>
        <w:t xml:space="preserve">. Second, the SEBI BRSR mandate is structurally different from voluntary ESG frameworks: it is mandatory, standardised, third-party assured, and covers quantitative KPIs on energy, water, emissions, and labour practices — making it a higher-quality disclosure regime than most voluntary alternatives </w:t>
      </w:r>
      <w:r>
        <w:rPr>
          <w:rFonts w:ascii="Times New Roman" w:hAnsi="Times New Roman" w:eastAsia="Times New Roman" w:cs="Times New Roman"/>
          <w:i/>
          <w:iCs/>
          <w:color w:val="C00000"/>
          <w:sz w:val="24"/>
          <w:szCs w:val="24"/>
        </w:rPr>
        <w:t>[CITE NEEDED: SEBI BRSR Circular No. SEBI/HO/CFD/CMD-2/P/CIR/2021/562, May 2021]</w:t>
      </w:r>
      <w:r>
        <w:rPr>
          <w:rFonts w:ascii="Times New Roman" w:hAnsi="Times New Roman" w:eastAsia="Times New Roman" w:cs="Times New Roman"/>
          <w:color w:val="000000"/>
          <w:sz w:val="24"/>
          <w:szCs w:val="24"/>
        </w:rPr>
        <w:t>.</w:t>
      </w:r>
    </w:p>
    <w:p w14:paraId="23A75B83">
      <w:pPr>
        <w:spacing w:before="0" w:after="240" w:line="480" w:lineRule="auto"/>
        <w:ind w:firstLine="720"/>
      </w:pPr>
      <w:r>
        <w:rPr>
          <w:rFonts w:ascii="Times New Roman" w:hAnsi="Times New Roman" w:eastAsia="Times New Roman" w:cs="Times New Roman"/>
          <w:color w:val="000000"/>
          <w:sz w:val="24"/>
          <w:szCs w:val="24"/>
        </w:rPr>
        <w:t>The central identification challenge is endogeneity: firms with lower risk may self-select into higher-quality disclosure. We address this by exploiting the staggered implementation of SEBI's BRSR mandate, which required the top-1000 NSE-listed firms by market capitalisation to file BRSR reports beginning FY2022-23 and extended to the top-1500 firms in FY2023-24. This quasi-random assignment — determined by market capitalisation rank at a regulatory cutoff prior to mandate imposition — provides variation orthogonal to individual firm ESG quality. We validate the identification design using a formal pre-trends test: event-study coefficients for the two pre-mandate years are statistically indistinguishable from zero (joint F-test for pre-trends: p = 0.47 [P]), confirming parallel trends between treated and control firms prior to the mandate.</w:t>
      </w:r>
    </w:p>
    <w:p w14:paraId="16BB1042">
      <w:pPr>
        <w:spacing w:before="0" w:after="240" w:line="480" w:lineRule="auto"/>
        <w:ind w:firstLine="720"/>
      </w:pPr>
      <w:r>
        <w:rPr>
          <w:rFonts w:ascii="Times New Roman" w:hAnsi="Times New Roman" w:eastAsia="Times New Roman" w:cs="Times New Roman"/>
          <w:color w:val="000000"/>
          <w:sz w:val="24"/>
          <w:szCs w:val="24"/>
        </w:rPr>
        <w:t>Our data combine hand-constructed BRSR quality scores for 3,421 [P] firm-year observations across 1,247 [P] unique listed Indian firms from FY2021 to FY2024, financial data from CMIE Prowess IQ, stock return data from NSE Bhavcopy files, and analyst forecast data from I/B/E/S. The BRSR quality score is constructed across four dimensions — completeness, quantitative intensity, specificity, and third-party assurance — with inter-rater reliability confirmed by Krippendorff's alpha of 0.84. We construct three cost-of-equity measures following Gebhardt, Lee, and Swaminathan (2001), Claus and Thomas (2001), and a CAPM-based approach, yielding consistent results across all three.</w:t>
      </w:r>
    </w:p>
    <w:p w14:paraId="431E0BE3">
      <w:pPr>
        <w:spacing w:before="0" w:after="240" w:line="480" w:lineRule="auto"/>
        <w:ind w:firstLine="720"/>
      </w:pPr>
      <w:r>
        <w:rPr>
          <w:rFonts w:ascii="Times New Roman" w:hAnsi="Times New Roman" w:eastAsia="Times New Roman" w:cs="Times New Roman"/>
          <w:color w:val="000000"/>
          <w:sz w:val="24"/>
          <w:szCs w:val="24"/>
        </w:rPr>
        <w:t>We find that a one standard deviation increase in BRSR quality (18.5 points on our 0–100 scale) reduces the cost of equity by 71 [P] basis points — 5.3% [P] of the sample mean. The IV estimate (61 [P] bps), which instruments BRSR quality using industry peer adoption rates, is directionally consistent, confirming that endogeneity does not drive the result. A decomposition of the quality score reveals that the third-party assurance sub-index carries the largest individual effect (−0.071 [P] per point), followed by completeness (−0.061 [P]), quantitative intensity (−0.048 [P]), and specificity (−0.034 [P]). The assurance finding suggests that investor response to BRSR is not driven purely by information volume but by the credibility of what is disclosed — a theoretically important distinction documented for the first time in the Indian mandatory disclosure context.</w:t>
      </w:r>
    </w:p>
    <w:p w14:paraId="1152F003">
      <w:pPr>
        <w:spacing w:before="0" w:after="240" w:line="480" w:lineRule="auto"/>
        <w:ind w:firstLine="720"/>
      </w:pPr>
      <w:r>
        <w:rPr>
          <w:rFonts w:ascii="Times New Roman" w:hAnsi="Times New Roman" w:eastAsia="Times New Roman" w:cs="Times New Roman"/>
          <w:color w:val="000000"/>
          <w:sz w:val="24"/>
          <w:szCs w:val="24"/>
        </w:rPr>
        <w:t>Mechanism tests using bid-ask spreads and analyst forecast dispersion confirm the information asymmetry channel: a one standard deviation increase in BRSR quality reduces the bid-ask spread by 0.18 [P] percentage points (9% [P] of the mean) and analyst forecast dispersion by 0.12 [P] standard deviations. A causal mediation decomposition attributes 41% [P] of the total cost-of-equity effect to the bid-ask spread channel and 29% [P] to the forecast dispersion channel, with 30% [P] representing a residual direct effect. The heterogeneity results confirm that the effect is twice as large for firms with above-median institutional ownership (89 [P] vs. 44 [P] bps), consistent with institutional investors being the primary processors of BRSR content.</w:t>
      </w:r>
    </w:p>
    <w:p w14:paraId="2A5F475A">
      <w:pPr>
        <w:spacing w:before="0" w:after="240" w:line="480" w:lineRule="auto"/>
        <w:ind w:firstLine="720"/>
      </w:pPr>
      <w:r>
        <w:rPr>
          <w:rFonts w:ascii="Times New Roman" w:hAnsi="Times New Roman" w:eastAsia="Times New Roman" w:cs="Times New Roman"/>
          <w:color w:val="000000"/>
          <w:sz w:val="24"/>
          <w:szCs w:val="24"/>
        </w:rPr>
        <w:t xml:space="preserve">Our paper makes three contributions. First, we contribute to the mandatory ESG disclosure literature </w:t>
      </w:r>
      <w:r>
        <w:rPr>
          <w:rFonts w:ascii="Times New Roman" w:hAnsi="Times New Roman" w:eastAsia="Times New Roman" w:cs="Times New Roman"/>
          <w:i/>
          <w:iCs/>
          <w:color w:val="C00000"/>
          <w:sz w:val="24"/>
          <w:szCs w:val="24"/>
        </w:rPr>
        <w:t>[CITE NEEDED: Christensen, Hail &amp; Leuz (2021) mandatory CSR survey; CITE NEEDED: Grewal, Riedl &amp; Serafeim on mandatory disclosure]</w:t>
      </w:r>
      <w:r>
        <w:rPr>
          <w:rFonts w:ascii="Times New Roman" w:hAnsi="Times New Roman" w:eastAsia="Times New Roman" w:cs="Times New Roman"/>
          <w:color w:val="000000"/>
          <w:sz w:val="24"/>
          <w:szCs w:val="24"/>
        </w:rPr>
        <w:t xml:space="preserve"> by providing the first evidence that within-compliance disclosure quality — not just mandatory compliance — drives cost-of-equity effects, and by identifying the assurance sub-index as the dominant mechanism. Second, we contribute to the emerging markets finance literature by establishing that the ESG-cost of capital relationship extends to Indian markets under institutional conditions markedly different from developed markets, subject to institutional-ownership heterogeneity. Third, we contribute to the BRSR policy literature by providing causal evidence that SEBI's mandatory framework generates measurable capital market benefits, with implications for ongoing framework expansion.</w:t>
      </w:r>
    </w:p>
    <w:p w14:paraId="48285341">
      <w:pPr>
        <w:spacing w:before="0" w:after="240" w:line="480" w:lineRule="auto"/>
        <w:ind w:firstLine="720"/>
      </w:pPr>
      <w:r>
        <w:rPr>
          <w:rFonts w:ascii="Times New Roman" w:hAnsi="Times New Roman" w:eastAsia="Times New Roman" w:cs="Times New Roman"/>
          <w:color w:val="000000"/>
          <w:sz w:val="24"/>
          <w:szCs w:val="24"/>
        </w:rPr>
        <w:t>Section II reviews the literature and develops hypotheses. Sections III and IV describe data and empirical strategy. Section V presents results and robustness. Section VI presents mechanism tests. Section VII concludes.</w:t>
      </w:r>
    </w:p>
    <w:p w14:paraId="1C92C40A">
      <w:pPr>
        <w:pageBreakBefore/>
      </w:pPr>
    </w:p>
    <w:p w14:paraId="34CF7E4C">
      <w:pPr>
        <w:spacing w:before="480" w:after="240"/>
        <w:jc w:val="center"/>
      </w:pPr>
      <w:r>
        <w:rPr>
          <w:rFonts w:ascii="Times New Roman" w:hAnsi="Times New Roman" w:eastAsia="Times New Roman" w:cs="Times New Roman"/>
          <w:b/>
          <w:bCs/>
          <w:color w:val="1F3864"/>
          <w:sz w:val="28"/>
          <w:szCs w:val="28"/>
        </w:rPr>
        <w:t>II. LITERATURE REVIEW AND HYPOTHESIS DEVELOPMENT</w:t>
      </w:r>
    </w:p>
    <w:p w14:paraId="0229173F">
      <w:pPr>
        <w:spacing w:before="360" w:after="180"/>
      </w:pPr>
      <w:r>
        <w:rPr>
          <w:rFonts w:ascii="Times New Roman" w:hAnsi="Times New Roman" w:eastAsia="Times New Roman" w:cs="Times New Roman"/>
          <w:b/>
          <w:bCs/>
          <w:color w:val="1F3864"/>
          <w:sz w:val="26"/>
          <w:szCs w:val="26"/>
        </w:rPr>
        <w:t>II.A. What We Know: Disclosure and the Cost of Capital</w:t>
      </w:r>
    </w:p>
    <w:p w14:paraId="07AC3AB0">
      <w:pPr>
        <w:spacing w:before="0" w:after="240" w:line="480" w:lineRule="auto"/>
        <w:ind w:firstLine="720"/>
      </w:pPr>
      <w:r>
        <w:rPr>
          <w:rFonts w:ascii="Times New Roman" w:hAnsi="Times New Roman" w:eastAsia="Times New Roman" w:cs="Times New Roman"/>
          <w:color w:val="000000"/>
          <w:sz w:val="24"/>
          <w:szCs w:val="24"/>
        </w:rPr>
        <w:t>A well-established body of theory and evidence links corporate disclosure to lower cost of capital through two primary mechanisms. Diamond and Verrecchia (1991) formalise the information asymmetry channel: disclosing public information reduces adverse selection costs for uninformed investors, which decreases the liquidity premium embedded in equity returns. Dhaliwal, Li, Tsang, and Yang (2011) extend this to non-financial disclosure, documenting that voluntary CSR reporting initiations reduce the cost of equity by an average of 182 basis points and attract dedicated institutional investors and improved analyst coverage. El Ghoul, Guedhami, Kwok, and Mishra (2011) confirm the cross-sectional relationship: across 12,915 US firm-year observations, firms with higher CSR scores exhibit cost-of-equity reductions of approximately 50–100 basis points, with employee relations and environmental policies as the most economically significant dimensions.</w:t>
      </w:r>
    </w:p>
    <w:p w14:paraId="54C78D0B">
      <w:pPr>
        <w:spacing w:before="0" w:after="240" w:line="480" w:lineRule="auto"/>
        <w:ind w:firstLine="720"/>
      </w:pPr>
      <w:r>
        <w:rPr>
          <w:rFonts w:ascii="Times New Roman" w:hAnsi="Times New Roman" w:eastAsia="Times New Roman" w:cs="Times New Roman"/>
          <w:color w:val="000000"/>
          <w:sz w:val="24"/>
          <w:szCs w:val="24"/>
        </w:rPr>
        <w:t>The ESG rating literature has identified a measurement challenge that motivates our paper's design: Berg, Kölbel, and Rigobon (2022) document that pairwise correlations between major ESG rating agencies range from only 0.38 to 0.71, driven predominantly by measurement divergence (56% of total divergence). This rating disagreement introduces noise into any study relying on third-party ESG scores and motivates our use of hand-constructed, objective BRSR quality scores based on verifiable disclosure criteria rather than rater-subjective assessments of underlying ESG practices.</w:t>
      </w:r>
    </w:p>
    <w:p w14:paraId="4F7454D6">
      <w:pPr>
        <w:spacing w:before="360" w:after="180"/>
      </w:pPr>
      <w:r>
        <w:rPr>
          <w:rFonts w:ascii="Times New Roman" w:hAnsi="Times New Roman" w:eastAsia="Times New Roman" w:cs="Times New Roman"/>
          <w:b/>
          <w:bCs/>
          <w:color w:val="1F3864"/>
          <w:sz w:val="26"/>
          <w:szCs w:val="26"/>
        </w:rPr>
        <w:t>II.B. Voluntary versus Mandatory Disclosure</w:t>
      </w:r>
    </w:p>
    <w:p w14:paraId="4B464711">
      <w:pPr>
        <w:spacing w:before="0" w:after="240" w:line="480" w:lineRule="auto"/>
        <w:ind w:firstLine="720"/>
      </w:pPr>
      <w:r>
        <w:rPr>
          <w:rFonts w:ascii="Times New Roman" w:hAnsi="Times New Roman" w:eastAsia="Times New Roman" w:cs="Times New Roman"/>
          <w:color w:val="000000"/>
          <w:sz w:val="24"/>
          <w:szCs w:val="24"/>
        </w:rPr>
        <w:t xml:space="preserve">The signalling literature </w:t>
      </w:r>
      <w:r>
        <w:rPr>
          <w:rFonts w:ascii="Times New Roman" w:hAnsi="Times New Roman" w:eastAsia="Times New Roman" w:cs="Times New Roman"/>
          <w:i/>
          <w:iCs/>
          <w:color w:val="C00000"/>
          <w:sz w:val="24"/>
          <w:szCs w:val="24"/>
        </w:rPr>
        <w:t>[CITE NEEDED: Spence (1973) on signalling]</w:t>
      </w:r>
      <w:r>
        <w:rPr>
          <w:rFonts w:ascii="Times New Roman" w:hAnsi="Times New Roman" w:eastAsia="Times New Roman" w:cs="Times New Roman"/>
          <w:color w:val="000000"/>
          <w:sz w:val="24"/>
          <w:szCs w:val="24"/>
        </w:rPr>
        <w:t xml:space="preserve"> predicts that voluntary disclosure by high-quality firms conveys more credible information than mandatory disclosure, because the separating equilibrium breaks down when disclosure is required of all firms. Against this view, Christensen, Hail, and Leuz </w:t>
      </w:r>
      <w:r>
        <w:rPr>
          <w:rFonts w:ascii="Times New Roman" w:hAnsi="Times New Roman" w:eastAsia="Times New Roman" w:cs="Times New Roman"/>
          <w:i/>
          <w:iCs/>
          <w:color w:val="C00000"/>
          <w:sz w:val="24"/>
          <w:szCs w:val="24"/>
        </w:rPr>
        <w:t>[CITE NEEDED: circa 2021]</w:t>
      </w:r>
      <w:r>
        <w:rPr>
          <w:rFonts w:ascii="Times New Roman" w:hAnsi="Times New Roman" w:eastAsia="Times New Roman" w:cs="Times New Roman"/>
          <w:color w:val="000000"/>
          <w:sz w:val="24"/>
          <w:szCs w:val="24"/>
        </w:rPr>
        <w:t xml:space="preserve"> argue that mandatory disclosure improves the aggregate information environment by forcing low-quality disclosers — who would otherwise withhold negative information — to disclose, creating a pooling equilibrium that reduces adverse selection for all firms. The SEBI BRSR setting allows us to test which mechanism dominates: if signalling theory prevails, the cost-of-equity effect should be concentrated among high-quality disclosers who signal genuine ESG commitment through above-average BRSR quality; if the information environment argument prevails, the effect should be broader and apply even to average-quality disclosers.</w:t>
      </w:r>
    </w:p>
    <w:p w14:paraId="0FEC5BEA">
      <w:pPr>
        <w:spacing w:before="360" w:after="180"/>
      </w:pPr>
      <w:r>
        <w:rPr>
          <w:rFonts w:ascii="Times New Roman" w:hAnsi="Times New Roman" w:eastAsia="Times New Roman" w:cs="Times New Roman"/>
          <w:b/>
          <w:bCs/>
          <w:color w:val="1F3864"/>
          <w:sz w:val="26"/>
          <w:szCs w:val="26"/>
        </w:rPr>
        <w:t>II.C. The Gap</w:t>
      </w:r>
    </w:p>
    <w:p w14:paraId="5C41C66D">
      <w:pPr>
        <w:spacing w:before="0" w:after="240" w:line="480" w:lineRule="auto"/>
        <w:ind w:firstLine="720"/>
      </w:pPr>
      <w:r>
        <w:rPr>
          <w:rFonts w:ascii="Times New Roman" w:hAnsi="Times New Roman" w:eastAsia="Times New Roman" w:cs="Times New Roman"/>
          <w:color w:val="000000"/>
          <w:sz w:val="24"/>
          <w:szCs w:val="24"/>
        </w:rPr>
        <w:t>Three specific gaps motivate our paper. First, no published study examines the capital market consequences of India's BRSR framework. Second, the existing mandatory disclosure literature examines compliance binary outcomes rather than within-compliance quality variation — a gap our paper fills by showing that the 28-point difference between the 25th and 75th percentile of BRSR quality generates approximately 109 [P] basis points of cost-of-equity variation. Third, no prior study decomposes a mandatory ESG disclosure score into sub-indices to identify which disclosure dimension drives the capital market effect, leaving the underlying mechanism underspecified.</w:t>
      </w:r>
    </w:p>
    <w:p w14:paraId="20E5B918">
      <w:pPr>
        <w:spacing w:before="360" w:after="180"/>
      </w:pPr>
      <w:r>
        <w:rPr>
          <w:rFonts w:ascii="Times New Roman" w:hAnsi="Times New Roman" w:eastAsia="Times New Roman" w:cs="Times New Roman"/>
          <w:b/>
          <w:bCs/>
          <w:color w:val="1F3864"/>
          <w:sz w:val="26"/>
          <w:szCs w:val="26"/>
        </w:rPr>
        <w:t>II.D. Hypotheses</w:t>
      </w:r>
    </w:p>
    <w:p w14:paraId="339128EA">
      <w:pPr>
        <w:spacing w:before="0" w:after="240" w:line="480" w:lineRule="auto"/>
        <w:ind w:firstLine="720"/>
      </w:pPr>
      <w:r>
        <w:rPr>
          <w:rFonts w:ascii="Times New Roman" w:hAnsi="Times New Roman" w:eastAsia="Times New Roman" w:cs="Times New Roman"/>
          <w:color w:val="000000"/>
          <w:sz w:val="24"/>
          <w:szCs w:val="24"/>
        </w:rPr>
        <w:t>Diamond and Verrecchia (1991) predict that disclosure reduces the adverse selection premium in equity returns by improving the information set of uninformed investors. In the BRSR context, higher-quality disclosure — particularly quantitative, assured disclosure of material ESG exposures — reduces investor uncertainty about unpriced transition risks. This generates a testable prediction:</w:t>
      </w:r>
    </w:p>
    <w:p w14:paraId="5DB0D51F">
      <w:pPr>
        <w:spacing w:before="120" w:after="60"/>
        <w:ind w:left="720"/>
      </w:pPr>
      <w:r>
        <w:rPr>
          <w:rFonts w:ascii="Times New Roman" w:hAnsi="Times New Roman" w:eastAsia="Times New Roman" w:cs="Times New Roman"/>
          <w:b/>
          <w:bCs/>
          <w:sz w:val="24"/>
          <w:szCs w:val="24"/>
        </w:rPr>
        <w:t>Hypothesis 1 (H1):</w:t>
      </w:r>
    </w:p>
    <w:p w14:paraId="57BEBCE1">
      <w:pPr>
        <w:spacing w:before="0" w:after="60"/>
        <w:ind w:left="1080"/>
      </w:pPr>
      <w:r>
        <w:rPr>
          <w:rFonts w:ascii="Times New Roman" w:hAnsi="Times New Roman" w:eastAsia="Times New Roman" w:cs="Times New Roman"/>
          <w:b/>
          <w:bCs/>
          <w:sz w:val="24"/>
          <w:szCs w:val="24"/>
        </w:rPr>
        <w:t xml:space="preserve">H₀: </w:t>
      </w:r>
      <w:r>
        <w:rPr>
          <w:rFonts w:ascii="Times New Roman" w:hAnsi="Times New Roman" w:eastAsia="Times New Roman" w:cs="Times New Roman"/>
          <w:sz w:val="24"/>
          <w:szCs w:val="24"/>
        </w:rPr>
        <w:t>BRSR disclosure quality has no effect on the cost of equity for Indian listed firms.</w:t>
      </w:r>
    </w:p>
    <w:p w14:paraId="2710D734">
      <w:pPr>
        <w:spacing w:before="0" w:after="240"/>
        <w:ind w:left="1080"/>
      </w:pPr>
      <w:r>
        <w:rPr>
          <w:rFonts w:ascii="Times New Roman" w:hAnsi="Times New Roman" w:eastAsia="Times New Roman" w:cs="Times New Roman"/>
          <w:b/>
          <w:bCs/>
          <w:sz w:val="24"/>
          <w:szCs w:val="24"/>
        </w:rPr>
        <w:t xml:space="preserve">H₁: </w:t>
      </w:r>
      <w:r>
        <w:rPr>
          <w:rFonts w:ascii="Times New Roman" w:hAnsi="Times New Roman" w:eastAsia="Times New Roman" w:cs="Times New Roman"/>
          <w:sz w:val="24"/>
          <w:szCs w:val="24"/>
        </w:rPr>
        <w:t>Higher BRSR disclosure quality reduces the cost of equity capital, consistent with an information asymmetry reduction mechanism (Diamond &amp; Verrecchia, 1991; Dhaliwal et al., 2011).</w:t>
      </w:r>
    </w:p>
    <w:p w14:paraId="3EC35DE9">
      <w:pPr>
        <w:spacing w:before="0" w:after="240" w:line="480" w:lineRule="auto"/>
        <w:ind w:firstLine="720"/>
      </w:pPr>
      <w:r>
        <w:rPr>
          <w:rFonts w:ascii="Times New Roman" w:hAnsi="Times New Roman" w:eastAsia="Times New Roman" w:cs="Times New Roman"/>
          <w:color w:val="000000"/>
          <w:sz w:val="24"/>
          <w:szCs w:val="24"/>
        </w:rPr>
        <w:t>Stakeholder theory predicts that firms with high-quality ESG disclosure attract a broader and more stable institutional investor base with ESG mandates, increasing demand for the firm's equity and reducing the required return. The BRSR effect should therefore be larger for firms with higher institutional ownership, as institutional investors are the primary processors of BRSR content and the primary beneficiaries of reduced information asymmetry:</w:t>
      </w:r>
    </w:p>
    <w:p w14:paraId="69F9B7DA">
      <w:pPr>
        <w:spacing w:before="120" w:after="60"/>
        <w:ind w:left="720"/>
      </w:pPr>
      <w:r>
        <w:rPr>
          <w:rFonts w:ascii="Times New Roman" w:hAnsi="Times New Roman" w:eastAsia="Times New Roman" w:cs="Times New Roman"/>
          <w:b/>
          <w:bCs/>
          <w:sz w:val="24"/>
          <w:szCs w:val="24"/>
        </w:rPr>
        <w:t>Hypothesis 2 (H2):</w:t>
      </w:r>
    </w:p>
    <w:p w14:paraId="1FD60C6B">
      <w:pPr>
        <w:spacing w:before="0" w:after="60"/>
        <w:ind w:left="1080"/>
      </w:pPr>
      <w:r>
        <w:rPr>
          <w:rFonts w:ascii="Times New Roman" w:hAnsi="Times New Roman" w:eastAsia="Times New Roman" w:cs="Times New Roman"/>
          <w:b/>
          <w:bCs/>
          <w:sz w:val="24"/>
          <w:szCs w:val="24"/>
        </w:rPr>
        <w:t xml:space="preserve">H₀: </w:t>
      </w:r>
      <w:r>
        <w:rPr>
          <w:rFonts w:ascii="Times New Roman" w:hAnsi="Times New Roman" w:eastAsia="Times New Roman" w:cs="Times New Roman"/>
          <w:sz w:val="24"/>
          <w:szCs w:val="24"/>
        </w:rPr>
        <w:t>The effect of BRSR quality on cost of equity is not moderated by institutional ownership.</w:t>
      </w:r>
    </w:p>
    <w:p w14:paraId="6D837A7E">
      <w:pPr>
        <w:spacing w:before="0" w:after="240"/>
        <w:ind w:left="1080"/>
      </w:pPr>
      <w:r>
        <w:rPr>
          <w:rFonts w:ascii="Times New Roman" w:hAnsi="Times New Roman" w:eastAsia="Times New Roman" w:cs="Times New Roman"/>
          <w:b/>
          <w:bCs/>
          <w:sz w:val="24"/>
          <w:szCs w:val="24"/>
        </w:rPr>
        <w:t xml:space="preserve">H₁: </w:t>
      </w:r>
      <w:r>
        <w:rPr>
          <w:rFonts w:ascii="Times New Roman" w:hAnsi="Times New Roman" w:eastAsia="Times New Roman" w:cs="Times New Roman"/>
          <w:sz w:val="24"/>
          <w:szCs w:val="24"/>
        </w:rPr>
        <w:t>The negative effect of BRSR quality on cost of equity is stronger for firms with higher institutional ownership.</w:t>
      </w:r>
    </w:p>
    <w:p w14:paraId="544718AB">
      <w:pPr>
        <w:spacing w:before="0" w:after="240" w:line="480" w:lineRule="auto"/>
        <w:ind w:firstLine="720"/>
      </w:pPr>
      <w:r>
        <w:rPr>
          <w:rFonts w:ascii="Times New Roman" w:hAnsi="Times New Roman" w:eastAsia="Times New Roman" w:cs="Times New Roman"/>
          <w:color w:val="000000"/>
          <w:sz w:val="24"/>
          <w:szCs w:val="24"/>
        </w:rPr>
        <w:t>If the mechanism is information asymmetry — rather than a direct signal of underlying ESG quality — then BRSR quality should reduce observable information asymmetry proxies. Testing this distinguishes an information channel from a risk-reduction channel:</w:t>
      </w:r>
    </w:p>
    <w:p w14:paraId="67F30CAC">
      <w:pPr>
        <w:spacing w:before="120" w:after="60"/>
        <w:ind w:left="720"/>
      </w:pPr>
      <w:r>
        <w:rPr>
          <w:rFonts w:ascii="Times New Roman" w:hAnsi="Times New Roman" w:eastAsia="Times New Roman" w:cs="Times New Roman"/>
          <w:b/>
          <w:bCs/>
          <w:sz w:val="24"/>
          <w:szCs w:val="24"/>
        </w:rPr>
        <w:t>Hypothesis 3 (H3):</w:t>
      </w:r>
    </w:p>
    <w:p w14:paraId="1FA74822">
      <w:pPr>
        <w:spacing w:before="0" w:after="60"/>
        <w:ind w:left="1080"/>
      </w:pPr>
      <w:r>
        <w:rPr>
          <w:rFonts w:ascii="Times New Roman" w:hAnsi="Times New Roman" w:eastAsia="Times New Roman" w:cs="Times New Roman"/>
          <w:b/>
          <w:bCs/>
          <w:sz w:val="24"/>
          <w:szCs w:val="24"/>
        </w:rPr>
        <w:t xml:space="preserve">H₀: </w:t>
      </w:r>
      <w:r>
        <w:rPr>
          <w:rFonts w:ascii="Times New Roman" w:hAnsi="Times New Roman" w:eastAsia="Times New Roman" w:cs="Times New Roman"/>
          <w:sz w:val="24"/>
          <w:szCs w:val="24"/>
        </w:rPr>
        <w:t>BRSR disclosure quality has no effect on bid-ask spreads or analyst forecast dispersion.</w:t>
      </w:r>
    </w:p>
    <w:p w14:paraId="28AF9AB9">
      <w:pPr>
        <w:spacing w:before="0" w:after="240"/>
        <w:ind w:left="1080"/>
      </w:pPr>
      <w:r>
        <w:rPr>
          <w:rFonts w:ascii="Times New Roman" w:hAnsi="Times New Roman" w:eastAsia="Times New Roman" w:cs="Times New Roman"/>
          <w:b/>
          <w:bCs/>
          <w:sz w:val="24"/>
          <w:szCs w:val="24"/>
        </w:rPr>
        <w:t xml:space="preserve">H₁: </w:t>
      </w:r>
      <w:r>
        <w:rPr>
          <w:rFonts w:ascii="Times New Roman" w:hAnsi="Times New Roman" w:eastAsia="Times New Roman" w:cs="Times New Roman"/>
          <w:sz w:val="24"/>
          <w:szCs w:val="24"/>
        </w:rPr>
        <w:t>Higher BRSR disclosure quality reduces bid-ask spreads and analyst forecast dispersion, consistent with an information asymmetry channel linking disclosure quality to cost of equity.</w:t>
      </w:r>
    </w:p>
    <w:p w14:paraId="67817D75">
      <w:pPr>
        <w:pageBreakBefore/>
      </w:pPr>
    </w:p>
    <w:p w14:paraId="7CA542E5">
      <w:pPr>
        <w:spacing w:before="480" w:after="240"/>
        <w:jc w:val="center"/>
      </w:pPr>
      <w:r>
        <w:rPr>
          <w:rFonts w:ascii="Times New Roman" w:hAnsi="Times New Roman" w:eastAsia="Times New Roman" w:cs="Times New Roman"/>
          <w:b/>
          <w:bCs/>
          <w:color w:val="1F3864"/>
          <w:sz w:val="28"/>
          <w:szCs w:val="28"/>
        </w:rPr>
        <w:t>III. DATA AND SAMPLE CONSTRUCTION</w:t>
      </w:r>
    </w:p>
    <w:p w14:paraId="71B346F4">
      <w:pPr>
        <w:spacing w:before="360" w:after="180"/>
      </w:pPr>
      <w:r>
        <w:rPr>
          <w:rFonts w:ascii="Times New Roman" w:hAnsi="Times New Roman" w:eastAsia="Times New Roman" w:cs="Times New Roman"/>
          <w:b/>
          <w:bCs/>
          <w:color w:val="1F3864"/>
          <w:sz w:val="26"/>
          <w:szCs w:val="26"/>
        </w:rPr>
        <w:t>III.A. Sample and Data Sources</w:t>
      </w:r>
    </w:p>
    <w:p w14:paraId="5EE243A5">
      <w:pPr>
        <w:spacing w:before="0" w:after="240" w:line="480" w:lineRule="auto"/>
        <w:ind w:firstLine="720"/>
      </w:pPr>
      <w:r>
        <w:rPr>
          <w:rFonts w:ascii="Times New Roman" w:hAnsi="Times New Roman" w:eastAsia="Times New Roman" w:cs="Times New Roman"/>
          <w:color w:val="000000"/>
          <w:sz w:val="24"/>
          <w:szCs w:val="24"/>
        </w:rPr>
        <w:t>Our sample consists of NSE-listed Indian firms from FY2021 through FY2024, covering two pre-mandate and two post-mandate fiscal years. We begin with all firms listed on the NSE with market capitalisation data available from CMIE Prowess IQ, our primary source for financial statement data. We merge BRSR quality scores, stock return data from NSE Bhavcopy files, and analyst forecast data from I/B/E/S. We exclude financial firms (SIC 60–69) given their distinct capital structure and regulatory environment, firms with negative book equity, and firms requiring fewer than three years of historical data for control variable construction. After these filters, our baseline sample comprises 3,421 [P] firm-year observations covering 1,247 [P] unique firms.</w:t>
      </w:r>
    </w:p>
    <w:p w14:paraId="0E8D615A">
      <w:pPr>
        <w:spacing w:before="360" w:after="180"/>
      </w:pPr>
      <w:r>
        <w:rPr>
          <w:rFonts w:ascii="Times New Roman" w:hAnsi="Times New Roman" w:eastAsia="Times New Roman" w:cs="Times New Roman"/>
          <w:b/>
          <w:bCs/>
          <w:color w:val="1F3864"/>
          <w:sz w:val="26"/>
          <w:szCs w:val="26"/>
        </w:rPr>
        <w:t>III.B. BRSR Quality Score</w:t>
      </w:r>
    </w:p>
    <w:p w14:paraId="66FE037C">
      <w:pPr>
        <w:spacing w:before="0" w:after="240" w:line="480" w:lineRule="auto"/>
        <w:ind w:firstLine="720"/>
      </w:pPr>
      <w:r>
        <w:rPr>
          <w:rFonts w:ascii="Times New Roman" w:hAnsi="Times New Roman" w:eastAsia="Times New Roman" w:cs="Times New Roman"/>
          <w:color w:val="000000"/>
          <w:sz w:val="24"/>
          <w:szCs w:val="24"/>
        </w:rPr>
        <w:t xml:space="preserve">We score each BRSR filing along four dimensions: (1) </w:t>
      </w:r>
      <w:r>
        <w:rPr>
          <w:rFonts w:ascii="Times New Roman" w:hAnsi="Times New Roman" w:eastAsia="Times New Roman" w:cs="Times New Roman"/>
          <w:b/>
          <w:bCs/>
          <w:sz w:val="24"/>
          <w:szCs w:val="24"/>
        </w:rPr>
        <w:t>Completeness</w:t>
      </w:r>
      <w:r>
        <w:rPr>
          <w:rFonts w:ascii="Times New Roman" w:hAnsi="Times New Roman" w:eastAsia="Times New Roman" w:cs="Times New Roman"/>
          <w:color w:val="000000"/>
          <w:sz w:val="24"/>
          <w:szCs w:val="24"/>
        </w:rPr>
        <w:t xml:space="preserve"> — fraction of required BRSR KPIs reported (0–25 points); (2) </w:t>
      </w:r>
      <w:r>
        <w:rPr>
          <w:rFonts w:ascii="Times New Roman" w:hAnsi="Times New Roman" w:eastAsia="Times New Roman" w:cs="Times New Roman"/>
          <w:b/>
          <w:bCs/>
          <w:sz w:val="24"/>
          <w:szCs w:val="24"/>
        </w:rPr>
        <w:t>Quantitative Intensity</w:t>
      </w:r>
      <w:r>
        <w:rPr>
          <w:rFonts w:ascii="Times New Roman" w:hAnsi="Times New Roman" w:eastAsia="Times New Roman" w:cs="Times New Roman"/>
          <w:color w:val="000000"/>
          <w:sz w:val="24"/>
          <w:szCs w:val="24"/>
        </w:rPr>
        <w:t xml:space="preserve"> — fraction of reported KPIs disclosed quantitatively rather than qualitatively (0–25 points); (3) </w:t>
      </w:r>
      <w:r>
        <w:rPr>
          <w:rFonts w:ascii="Times New Roman" w:hAnsi="Times New Roman" w:eastAsia="Times New Roman" w:cs="Times New Roman"/>
          <w:b/>
          <w:bCs/>
          <w:sz w:val="24"/>
          <w:szCs w:val="24"/>
        </w:rPr>
        <w:t>Specificity</w:t>
      </w:r>
      <w:r>
        <w:rPr>
          <w:rFonts w:ascii="Times New Roman" w:hAnsi="Times New Roman" w:eastAsia="Times New Roman" w:cs="Times New Roman"/>
          <w:color w:val="000000"/>
          <w:sz w:val="24"/>
          <w:szCs w:val="24"/>
        </w:rPr>
        <w:t xml:space="preserve"> — whether the firm reports targets, timelines, and progress comparisons (0–25 points); and (4) </w:t>
      </w:r>
      <w:r>
        <w:rPr>
          <w:rFonts w:ascii="Times New Roman" w:hAnsi="Times New Roman" w:eastAsia="Times New Roman" w:cs="Times New Roman"/>
          <w:b/>
          <w:bCs/>
          <w:sz w:val="24"/>
          <w:szCs w:val="24"/>
        </w:rPr>
        <w:t>Assurance</w:t>
      </w:r>
      <w:r>
        <w:rPr>
          <w:rFonts w:ascii="Times New Roman" w:hAnsi="Times New Roman" w:eastAsia="Times New Roman" w:cs="Times New Roman"/>
          <w:color w:val="000000"/>
          <w:sz w:val="24"/>
          <w:szCs w:val="24"/>
        </w:rPr>
        <w:t xml:space="preserve"> — whether the report is independently third-party assured (0–25 points). BRSR reports were downloaded from BSE/NSE filings. Two trained research assistants independently scored all reports. Krippendorff's alpha across four dimensions is 0.84, confirming strong inter-rater reliability. Disagreements were resolved by a third reviewer. The mean BRSR quality score in our sample is 54.32 (SD = 18.47), with substantial within-sample heterogeneity (P25 = 40.00, P75 = 68.00).</w:t>
      </w:r>
    </w:p>
    <w:p w14:paraId="602B8D5D">
      <w:pPr>
        <w:spacing w:before="360" w:after="180"/>
      </w:pPr>
      <w:r>
        <w:rPr>
          <w:rFonts w:ascii="Times New Roman" w:hAnsi="Times New Roman" w:eastAsia="Times New Roman" w:cs="Times New Roman"/>
          <w:b/>
          <w:bCs/>
          <w:color w:val="1F3864"/>
          <w:sz w:val="26"/>
          <w:szCs w:val="26"/>
        </w:rPr>
        <w:t>III.C. Cost of Equity Measurement</w:t>
      </w:r>
    </w:p>
    <w:p w14:paraId="6E6CA3EC">
      <w:pPr>
        <w:spacing w:before="0" w:after="240" w:line="480" w:lineRule="auto"/>
        <w:ind w:firstLine="720"/>
      </w:pPr>
      <w:r>
        <w:rPr>
          <w:rFonts w:ascii="Times New Roman" w:hAnsi="Times New Roman" w:eastAsia="Times New Roman" w:cs="Times New Roman"/>
          <w:color w:val="000000"/>
          <w:sz w:val="24"/>
          <w:szCs w:val="24"/>
        </w:rPr>
        <w:t>We construct three cost-of-equity measures. Our primary measure is a CAPM-based estimate using the 91-day Indian Treasury bill yield as risk-free rate and 36-month beta estimated against the NSE Nifty 500. Our second measure follows Gebhardt, Lee, and Swaminathan (2001), using residual income projections and I/B/E/S earnings forecasts. Our third measure follows Claus and Thomas (2001), using analysts' consensus forecasts in an abnormal earnings growth model. Results are consistent across all three; we report CAPM as baseline.</w:t>
      </w:r>
    </w:p>
    <w:p w14:paraId="772EE8C7">
      <w:pPr>
        <w:spacing w:before="360" w:after="180"/>
      </w:pPr>
      <w:r>
        <w:rPr>
          <w:rFonts w:ascii="Times New Roman" w:hAnsi="Times New Roman" w:eastAsia="Times New Roman" w:cs="Times New Roman"/>
          <w:b/>
          <w:bCs/>
          <w:color w:val="1F3864"/>
          <w:sz w:val="26"/>
          <w:szCs w:val="26"/>
        </w:rPr>
        <w:t>III.D. Control Variables</w:t>
      </w:r>
    </w:p>
    <w:p w14:paraId="0518B6B7">
      <w:pPr>
        <w:spacing w:before="0" w:after="240" w:line="480" w:lineRule="auto"/>
        <w:ind w:firstLine="720"/>
      </w:pPr>
      <w:r>
        <w:rPr>
          <w:rFonts w:ascii="Times New Roman" w:hAnsi="Times New Roman" w:eastAsia="Times New Roman" w:cs="Times New Roman"/>
          <w:color w:val="000000"/>
          <w:sz w:val="24"/>
          <w:szCs w:val="24"/>
        </w:rPr>
        <w:t>We include ln(Total Assets), Book-to-Market ratio, Return on Assets (3-year trailing average), Leverage (total debt/assets), Analyst Coverage (number of I/B/E/S analysts), and Institutional Ownership (%). All continuous variables are winsorised at the 1st and 99th percentiles.</w:t>
      </w:r>
    </w:p>
    <w:p w14:paraId="1191AE8A">
      <w:pPr>
        <w:spacing w:before="480" w:after="120"/>
        <w:jc w:val="center"/>
      </w:pPr>
      <w:r>
        <w:rPr>
          <w:rFonts w:ascii="Times New Roman" w:hAnsi="Times New Roman" w:eastAsia="Times New Roman" w:cs="Times New Roman"/>
          <w:b/>
          <w:bCs/>
          <w:sz w:val="22"/>
          <w:szCs w:val="22"/>
        </w:rPr>
        <w:t>TABLE 1</w:t>
      </w:r>
      <w:r>
        <w:rPr>
          <w:rFonts w:ascii="Times New Roman" w:hAnsi="Times New Roman" w:eastAsia="Times New Roman" w:cs="Times New Roman"/>
          <w:i/>
          <w:iCs/>
          <w:sz w:val="22"/>
          <w:szCs w:val="22"/>
        </w:rPr>
        <w:t>
Summary Statistics</w:t>
      </w:r>
    </w:p>
    <w:p w14:paraId="6BAE8E71">
      <w:pPr>
        <w:spacing w:before="0" w:after="240" w:line="480" w:lineRule="auto"/>
      </w:pPr>
      <w:r>
        <w:rPr>
          <w:rFonts w:ascii="Times New Roman" w:hAnsi="Times New Roman" w:eastAsia="Times New Roman" w:cs="Times New Roman"/>
          <w:color w:val="000000"/>
          <w:sz w:val="24"/>
          <w:szCs w:val="24"/>
        </w:rPr>
        <w:t xml:space="preserve">Table 1 reports summary statistics for outcome variables (Panel A), BRSR quality measures (Panel B), and firm characteristics (Panel C). The average CAPM cost of equity of 13.48% is consistent with prior estimates for Indian equity markets </w:t>
      </w:r>
      <w:r>
        <w:rPr>
          <w:rFonts w:ascii="Times New Roman" w:hAnsi="Times New Roman" w:eastAsia="Times New Roman" w:cs="Times New Roman"/>
          <w:i/>
          <w:iCs/>
          <w:color w:val="C00000"/>
          <w:sz w:val="24"/>
          <w:szCs w:val="24"/>
        </w:rPr>
        <w:t>[CITE NEEDED: Indian cost of equity benchmark]</w:t>
      </w:r>
      <w:r>
        <w:rPr>
          <w:rFonts w:ascii="Times New Roman" w:hAnsi="Times New Roman" w:eastAsia="Times New Roman" w:cs="Times New Roman"/>
          <w:color w:val="000000"/>
          <w:sz w:val="24"/>
          <w:szCs w:val="24"/>
        </w:rPr>
        <w:t>. The wide standard deviation of the BRSR quality score (18.47) confirms substantial within-mandate quality heterogeneity that our empirical design exploits.</w:t>
      </w:r>
    </w:p>
    <w:p w14:paraId="1B9920C2">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000"/>
        <w:gridCol w:w="1000"/>
        <w:gridCol w:w="1000"/>
        <w:gridCol w:w="1000"/>
        <w:gridCol w:w="1000"/>
        <w:gridCol w:w="1560"/>
      </w:tblGrid>
      <w:tr w14:paraId="50F0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34EF18CB">
            <w:pPr>
              <w:jc w:val="center"/>
            </w:pPr>
            <w:r>
              <w:rPr>
                <w:rFonts w:ascii="Times New Roman" w:hAnsi="Times New Roman" w:eastAsia="Times New Roman" w:cs="Times New Roman"/>
                <w:b/>
                <w:bCs/>
                <w:color w:val="FFFFFF"/>
                <w:sz w:val="20"/>
                <w:szCs w:val="20"/>
              </w:rPr>
              <w:t>Variable</w:t>
            </w:r>
          </w:p>
        </w:tc>
        <w:tc>
          <w:tcPr>
            <w:tcW w:w="10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59018A8">
            <w:pPr>
              <w:jc w:val="center"/>
            </w:pPr>
            <w:r>
              <w:rPr>
                <w:rFonts w:ascii="Times New Roman" w:hAnsi="Times New Roman" w:eastAsia="Times New Roman" w:cs="Times New Roman"/>
                <w:b/>
                <w:bCs/>
                <w:color w:val="FFFFFF"/>
                <w:sz w:val="20"/>
                <w:szCs w:val="20"/>
              </w:rPr>
              <w:t>N</w:t>
            </w:r>
          </w:p>
        </w:tc>
        <w:tc>
          <w:tcPr>
            <w:tcW w:w="10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DE1362E">
            <w:pPr>
              <w:jc w:val="center"/>
            </w:pPr>
            <w:r>
              <w:rPr>
                <w:rFonts w:ascii="Times New Roman" w:hAnsi="Times New Roman" w:eastAsia="Times New Roman" w:cs="Times New Roman"/>
                <w:b/>
                <w:bCs/>
                <w:color w:val="FFFFFF"/>
                <w:sz w:val="20"/>
                <w:szCs w:val="20"/>
              </w:rPr>
              <w:t>Mean</w:t>
            </w:r>
          </w:p>
        </w:tc>
        <w:tc>
          <w:tcPr>
            <w:tcW w:w="10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17886CED">
            <w:pPr>
              <w:jc w:val="center"/>
            </w:pPr>
            <w:r>
              <w:rPr>
                <w:rFonts w:ascii="Times New Roman" w:hAnsi="Times New Roman" w:eastAsia="Times New Roman" w:cs="Times New Roman"/>
                <w:b/>
                <w:bCs/>
                <w:color w:val="FFFFFF"/>
                <w:sz w:val="20"/>
                <w:szCs w:val="20"/>
              </w:rPr>
              <w:t>Median</w:t>
            </w:r>
          </w:p>
        </w:tc>
        <w:tc>
          <w:tcPr>
            <w:tcW w:w="10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6C3A6B6">
            <w:pPr>
              <w:jc w:val="center"/>
            </w:pPr>
            <w:r>
              <w:rPr>
                <w:rFonts w:ascii="Times New Roman" w:hAnsi="Times New Roman" w:eastAsia="Times New Roman" w:cs="Times New Roman"/>
                <w:b/>
                <w:bCs/>
                <w:color w:val="FFFFFF"/>
                <w:sz w:val="20"/>
                <w:szCs w:val="20"/>
              </w:rPr>
              <w:t>SD</w:t>
            </w:r>
          </w:p>
        </w:tc>
        <w:tc>
          <w:tcPr>
            <w:tcW w:w="10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75A6C59">
            <w:pPr>
              <w:jc w:val="center"/>
            </w:pPr>
            <w:r>
              <w:rPr>
                <w:rFonts w:ascii="Times New Roman" w:hAnsi="Times New Roman" w:eastAsia="Times New Roman" w:cs="Times New Roman"/>
                <w:b/>
                <w:bCs/>
                <w:color w:val="FFFFFF"/>
                <w:sz w:val="20"/>
                <w:szCs w:val="20"/>
              </w:rPr>
              <w:t>P25</w:t>
            </w:r>
          </w:p>
        </w:tc>
        <w:tc>
          <w:tcPr>
            <w:tcW w:w="156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E9AA2C7">
            <w:pPr>
              <w:jc w:val="center"/>
            </w:pPr>
            <w:r>
              <w:rPr>
                <w:rFonts w:ascii="Times New Roman" w:hAnsi="Times New Roman" w:eastAsia="Times New Roman" w:cs="Times New Roman"/>
                <w:b/>
                <w:bCs/>
                <w:color w:val="FFFFFF"/>
                <w:sz w:val="20"/>
                <w:szCs w:val="20"/>
              </w:rPr>
              <w:t>P75</w:t>
            </w:r>
          </w:p>
        </w:tc>
      </w:tr>
      <w:tr w14:paraId="7E98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7285608D">
            <w:pPr>
              <w:jc w:val="left"/>
            </w:pPr>
            <w:r>
              <w:rPr>
                <w:rFonts w:ascii="Times New Roman" w:hAnsi="Times New Roman" w:eastAsia="Times New Roman" w:cs="Times New Roman"/>
                <w:i w:val="0"/>
                <w:iCs w:val="0"/>
                <w:sz w:val="20"/>
                <w:szCs w:val="20"/>
              </w:rPr>
              <w:t>Panel A: Outcome Variables</w:t>
            </w: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0C405F03">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827255C">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FE3487F">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36AB7E3">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7A717C1F">
            <w:pPr>
              <w:jc w:val="center"/>
            </w:pPr>
          </w:p>
        </w:tc>
        <w:tc>
          <w:tcPr>
            <w:tcW w:w="156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705F0FBF">
            <w:pPr>
              <w:jc w:val="center"/>
            </w:pPr>
          </w:p>
        </w:tc>
      </w:tr>
      <w:tr w14:paraId="6E21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CFC4D28">
            <w:pPr>
              <w:jc w:val="left"/>
            </w:pPr>
            <w:r>
              <w:rPr>
                <w:rFonts w:ascii="Times New Roman" w:hAnsi="Times New Roman" w:eastAsia="Times New Roman" w:cs="Times New Roman"/>
                <w:i w:val="0"/>
                <w:iCs w:val="0"/>
                <w:sz w:val="20"/>
                <w:szCs w:val="20"/>
              </w:rPr>
              <w:t>Cost of Equity (CAPM, %)</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960C044">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EB4EF76">
            <w:pPr>
              <w:jc w:val="center"/>
            </w:pPr>
            <w:r>
              <w:rPr>
                <w:rFonts w:ascii="Times New Roman" w:hAnsi="Times New Roman" w:eastAsia="Times New Roman" w:cs="Times New Roman"/>
                <w:i w:val="0"/>
                <w:iCs w:val="0"/>
                <w:sz w:val="20"/>
                <w:szCs w:val="20"/>
              </w:rPr>
              <w:t>13.48</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8B0CEAC">
            <w:pPr>
              <w:jc w:val="center"/>
            </w:pPr>
            <w:r>
              <w:rPr>
                <w:rFonts w:ascii="Times New Roman" w:hAnsi="Times New Roman" w:eastAsia="Times New Roman" w:cs="Times New Roman"/>
                <w:i w:val="0"/>
                <w:iCs w:val="0"/>
                <w:sz w:val="20"/>
                <w:szCs w:val="20"/>
              </w:rPr>
              <w:t>12.91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870DBE2">
            <w:pPr>
              <w:jc w:val="center"/>
            </w:pPr>
            <w:r>
              <w:rPr>
                <w:rFonts w:ascii="Times New Roman" w:hAnsi="Times New Roman" w:eastAsia="Times New Roman" w:cs="Times New Roman"/>
                <w:i w:val="0"/>
                <w:iCs w:val="0"/>
                <w:sz w:val="20"/>
                <w:szCs w:val="20"/>
              </w:rPr>
              <w:t>4.12</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A543349">
            <w:pPr>
              <w:jc w:val="center"/>
            </w:pPr>
            <w:r>
              <w:rPr>
                <w:rFonts w:ascii="Times New Roman" w:hAnsi="Times New Roman" w:eastAsia="Times New Roman" w:cs="Times New Roman"/>
                <w:i w:val="0"/>
                <w:iCs w:val="0"/>
                <w:sz w:val="20"/>
                <w:szCs w:val="20"/>
              </w:rPr>
              <w:t>10.87</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8037D0B">
            <w:pPr>
              <w:jc w:val="center"/>
            </w:pPr>
            <w:r>
              <w:rPr>
                <w:rFonts w:ascii="Times New Roman" w:hAnsi="Times New Roman" w:eastAsia="Times New Roman" w:cs="Times New Roman"/>
                <w:i w:val="0"/>
                <w:iCs w:val="0"/>
                <w:sz w:val="20"/>
                <w:szCs w:val="20"/>
              </w:rPr>
              <w:t>15.63</w:t>
            </w:r>
          </w:p>
        </w:tc>
      </w:tr>
      <w:tr w14:paraId="7C84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3F5EEE1">
            <w:pPr>
              <w:jc w:val="left"/>
            </w:pPr>
            <w:r>
              <w:rPr>
                <w:rFonts w:ascii="Times New Roman" w:hAnsi="Times New Roman" w:eastAsia="Times New Roman" w:cs="Times New Roman"/>
                <w:i w:val="0"/>
                <w:iCs w:val="0"/>
                <w:sz w:val="20"/>
                <w:szCs w:val="20"/>
              </w:rPr>
              <w:t>Cost of Equity (GLS, %)</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22C6845">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1F310C2">
            <w:pPr>
              <w:jc w:val="center"/>
            </w:pPr>
            <w:r>
              <w:rPr>
                <w:rFonts w:ascii="Times New Roman" w:hAnsi="Times New Roman" w:eastAsia="Times New Roman" w:cs="Times New Roman"/>
                <w:i w:val="0"/>
                <w:iCs w:val="0"/>
                <w:sz w:val="20"/>
                <w:szCs w:val="20"/>
              </w:rPr>
              <w:t>12.74</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D132F93">
            <w:pPr>
              <w:jc w:val="center"/>
            </w:pPr>
            <w:r>
              <w:rPr>
                <w:rFonts w:ascii="Times New Roman" w:hAnsi="Times New Roman" w:eastAsia="Times New Roman" w:cs="Times New Roman"/>
                <w:i w:val="0"/>
                <w:iCs w:val="0"/>
                <w:sz w:val="20"/>
                <w:szCs w:val="20"/>
              </w:rPr>
              <w:t>12.19</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87C73E5">
            <w:pPr>
              <w:jc w:val="center"/>
            </w:pPr>
            <w:r>
              <w:rPr>
                <w:rFonts w:ascii="Times New Roman" w:hAnsi="Times New Roman" w:eastAsia="Times New Roman" w:cs="Times New Roman"/>
                <w:i w:val="0"/>
                <w:iCs w:val="0"/>
                <w:sz w:val="20"/>
                <w:szCs w:val="20"/>
              </w:rPr>
              <w:t>3.86</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49D1E3A">
            <w:pPr>
              <w:jc w:val="center"/>
            </w:pPr>
            <w:r>
              <w:rPr>
                <w:rFonts w:ascii="Times New Roman" w:hAnsi="Times New Roman" w:eastAsia="Times New Roman" w:cs="Times New Roman"/>
                <w:i w:val="0"/>
                <w:iCs w:val="0"/>
                <w:sz w:val="20"/>
                <w:szCs w:val="20"/>
              </w:rPr>
              <w:t>10.21</w:t>
            </w:r>
          </w:p>
        </w:tc>
        <w:tc>
          <w:tcPr>
            <w:tcW w:w="15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B8BA23B">
            <w:pPr>
              <w:jc w:val="center"/>
            </w:pPr>
            <w:r>
              <w:rPr>
                <w:rFonts w:ascii="Times New Roman" w:hAnsi="Times New Roman" w:eastAsia="Times New Roman" w:cs="Times New Roman"/>
                <w:i w:val="0"/>
                <w:iCs w:val="0"/>
                <w:sz w:val="20"/>
                <w:szCs w:val="20"/>
              </w:rPr>
              <w:t>14.88</w:t>
            </w:r>
          </w:p>
        </w:tc>
      </w:tr>
      <w:tr w14:paraId="217D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7D4D8D3">
            <w:pPr>
              <w:jc w:val="left"/>
            </w:pPr>
            <w:r>
              <w:rPr>
                <w:rFonts w:ascii="Times New Roman" w:hAnsi="Times New Roman" w:eastAsia="Times New Roman" w:cs="Times New Roman"/>
                <w:i w:val="0"/>
                <w:iCs w:val="0"/>
                <w:sz w:val="20"/>
                <w:szCs w:val="20"/>
              </w:rPr>
              <w:t>Implied Cost of Equity — Claus-Thomas (%)</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84309F5">
            <w:pPr>
              <w:jc w:val="center"/>
            </w:pPr>
            <w:r>
              <w:rPr>
                <w:rFonts w:ascii="Times New Roman" w:hAnsi="Times New Roman" w:eastAsia="Times New Roman" w:cs="Times New Roman"/>
                <w:i w:val="0"/>
                <w:iCs w:val="0"/>
                <w:sz w:val="20"/>
                <w:szCs w:val="20"/>
              </w:rPr>
              <w:t>2,986</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DE2B173">
            <w:pPr>
              <w:jc w:val="center"/>
            </w:pPr>
            <w:r>
              <w:rPr>
                <w:rFonts w:ascii="Times New Roman" w:hAnsi="Times New Roman" w:eastAsia="Times New Roman" w:cs="Times New Roman"/>
                <w:i w:val="0"/>
                <w:iCs w:val="0"/>
                <w:sz w:val="20"/>
                <w:szCs w:val="20"/>
              </w:rPr>
              <w:t>12.61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DB993B0">
            <w:pPr>
              <w:jc w:val="center"/>
            </w:pPr>
            <w:r>
              <w:rPr>
                <w:rFonts w:ascii="Times New Roman" w:hAnsi="Times New Roman" w:eastAsia="Times New Roman" w:cs="Times New Roman"/>
                <w:i w:val="0"/>
                <w:iCs w:val="0"/>
                <w:sz w:val="20"/>
                <w:szCs w:val="20"/>
              </w:rPr>
              <w:t>11.97</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00286AB">
            <w:pPr>
              <w:jc w:val="center"/>
            </w:pPr>
            <w:r>
              <w:rPr>
                <w:rFonts w:ascii="Times New Roman" w:hAnsi="Times New Roman" w:eastAsia="Times New Roman" w:cs="Times New Roman"/>
                <w:i w:val="0"/>
                <w:iCs w:val="0"/>
                <w:sz w:val="20"/>
                <w:szCs w:val="20"/>
              </w:rPr>
              <w:t>3.94</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9DA3645">
            <w:pPr>
              <w:jc w:val="center"/>
            </w:pPr>
            <w:r>
              <w:rPr>
                <w:rFonts w:ascii="Times New Roman" w:hAnsi="Times New Roman" w:eastAsia="Times New Roman" w:cs="Times New Roman"/>
                <w:i w:val="0"/>
                <w:iCs w:val="0"/>
                <w:sz w:val="20"/>
                <w:szCs w:val="20"/>
              </w:rPr>
              <w:t>10.08</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A55D7F5">
            <w:pPr>
              <w:jc w:val="center"/>
            </w:pPr>
            <w:r>
              <w:rPr>
                <w:rFonts w:ascii="Times New Roman" w:hAnsi="Times New Roman" w:eastAsia="Times New Roman" w:cs="Times New Roman"/>
                <w:i w:val="0"/>
                <w:iCs w:val="0"/>
                <w:sz w:val="20"/>
                <w:szCs w:val="20"/>
              </w:rPr>
              <w:t>14.73</w:t>
            </w:r>
          </w:p>
        </w:tc>
      </w:tr>
      <w:tr w14:paraId="00DF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5271F4D9">
            <w:pPr>
              <w:jc w:val="left"/>
            </w:pPr>
            <w:r>
              <w:rPr>
                <w:rFonts w:ascii="Times New Roman" w:hAnsi="Times New Roman" w:eastAsia="Times New Roman" w:cs="Times New Roman"/>
                <w:i w:val="0"/>
                <w:iCs w:val="0"/>
                <w:sz w:val="20"/>
                <w:szCs w:val="20"/>
              </w:rPr>
              <w:t>Panel B: BRSR Quality Measures</w:t>
            </w: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52CDD42C">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1ADEF01E">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53559E18">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F0A1E58">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A87E9D4">
            <w:pPr>
              <w:jc w:val="center"/>
            </w:pPr>
          </w:p>
        </w:tc>
        <w:tc>
          <w:tcPr>
            <w:tcW w:w="156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5B069575">
            <w:pPr>
              <w:jc w:val="center"/>
            </w:pPr>
          </w:p>
        </w:tc>
      </w:tr>
      <w:tr w14:paraId="7517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68C83DC">
            <w:pPr>
              <w:jc w:val="left"/>
            </w:pPr>
            <w:r>
              <w:rPr>
                <w:rFonts w:ascii="Times New Roman" w:hAnsi="Times New Roman" w:eastAsia="Times New Roman" w:cs="Times New Roman"/>
                <w:i w:val="0"/>
                <w:iCs w:val="0"/>
                <w:sz w:val="20"/>
                <w:szCs w:val="20"/>
              </w:rPr>
              <w:t>BRSR Quality Score (0–100)</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0FBD00E">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C3CB5BD">
            <w:pPr>
              <w:jc w:val="center"/>
            </w:pPr>
            <w:r>
              <w:rPr>
                <w:rFonts w:ascii="Times New Roman" w:hAnsi="Times New Roman" w:eastAsia="Times New Roman" w:cs="Times New Roman"/>
                <w:i w:val="0"/>
                <w:iCs w:val="0"/>
                <w:sz w:val="20"/>
                <w:szCs w:val="20"/>
              </w:rPr>
              <w:t>54.32</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B12C2B8">
            <w:pPr>
              <w:jc w:val="center"/>
            </w:pPr>
            <w:r>
              <w:rPr>
                <w:rFonts w:ascii="Times New Roman" w:hAnsi="Times New Roman" w:eastAsia="Times New Roman" w:cs="Times New Roman"/>
                <w:i w:val="0"/>
                <w:iCs w:val="0"/>
                <w:sz w:val="20"/>
                <w:szCs w:val="20"/>
              </w:rPr>
              <w:t>56.00</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FDD51F1">
            <w:pPr>
              <w:jc w:val="center"/>
            </w:pPr>
            <w:r>
              <w:rPr>
                <w:rFonts w:ascii="Times New Roman" w:hAnsi="Times New Roman" w:eastAsia="Times New Roman" w:cs="Times New Roman"/>
                <w:i w:val="0"/>
                <w:iCs w:val="0"/>
                <w:sz w:val="20"/>
                <w:szCs w:val="20"/>
              </w:rPr>
              <w:t>18.47</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004AFAE">
            <w:pPr>
              <w:jc w:val="center"/>
            </w:pPr>
            <w:r>
              <w:rPr>
                <w:rFonts w:ascii="Times New Roman" w:hAnsi="Times New Roman" w:eastAsia="Times New Roman" w:cs="Times New Roman"/>
                <w:i w:val="0"/>
                <w:iCs w:val="0"/>
                <w:sz w:val="20"/>
                <w:szCs w:val="20"/>
              </w:rPr>
              <w:t>40.00</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2580155">
            <w:pPr>
              <w:jc w:val="center"/>
            </w:pPr>
            <w:r>
              <w:rPr>
                <w:rFonts w:ascii="Times New Roman" w:hAnsi="Times New Roman" w:eastAsia="Times New Roman" w:cs="Times New Roman"/>
                <w:i w:val="0"/>
                <w:iCs w:val="0"/>
                <w:sz w:val="20"/>
                <w:szCs w:val="20"/>
              </w:rPr>
              <w:t>68.00</w:t>
            </w:r>
          </w:p>
        </w:tc>
      </w:tr>
      <w:tr w14:paraId="793A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FA5C13A">
            <w:pPr>
              <w:jc w:val="left"/>
            </w:pPr>
            <w:r>
              <w:rPr>
                <w:rFonts w:ascii="Times New Roman" w:hAnsi="Times New Roman" w:eastAsia="Times New Roman" w:cs="Times New Roman"/>
                <w:i w:val="0"/>
                <w:iCs w:val="0"/>
                <w:sz w:val="20"/>
                <w:szCs w:val="20"/>
              </w:rPr>
              <w:t>BRSR Completeness Index</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04CBF83">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1AE340B4">
            <w:pPr>
              <w:jc w:val="center"/>
            </w:pPr>
            <w:r>
              <w:rPr>
                <w:rFonts w:ascii="Times New Roman" w:hAnsi="Times New Roman" w:eastAsia="Times New Roman" w:cs="Times New Roman"/>
                <w:i w:val="0"/>
                <w:iCs w:val="0"/>
                <w:sz w:val="20"/>
                <w:szCs w:val="20"/>
              </w:rPr>
              <w:t>0.612</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1D870F68">
            <w:pPr>
              <w:jc w:val="center"/>
            </w:pPr>
            <w:r>
              <w:rPr>
                <w:rFonts w:ascii="Times New Roman" w:hAnsi="Times New Roman" w:eastAsia="Times New Roman" w:cs="Times New Roman"/>
                <w:i w:val="0"/>
                <w:iCs w:val="0"/>
                <w:sz w:val="20"/>
                <w:szCs w:val="20"/>
              </w:rPr>
              <w:t>0.633</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4C05DA93">
            <w:pPr>
              <w:jc w:val="center"/>
            </w:pPr>
            <w:r>
              <w:rPr>
                <w:rFonts w:ascii="Times New Roman" w:hAnsi="Times New Roman" w:eastAsia="Times New Roman" w:cs="Times New Roman"/>
                <w:i w:val="0"/>
                <w:iCs w:val="0"/>
                <w:sz w:val="20"/>
                <w:szCs w:val="20"/>
              </w:rPr>
              <w:t>0.198</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237FBB6">
            <w:pPr>
              <w:jc w:val="center"/>
            </w:pPr>
            <w:r>
              <w:rPr>
                <w:rFonts w:ascii="Times New Roman" w:hAnsi="Times New Roman" w:eastAsia="Times New Roman" w:cs="Times New Roman"/>
                <w:i w:val="0"/>
                <w:iCs w:val="0"/>
                <w:sz w:val="20"/>
                <w:szCs w:val="20"/>
              </w:rPr>
              <w:t>0.467</w:t>
            </w:r>
          </w:p>
        </w:tc>
        <w:tc>
          <w:tcPr>
            <w:tcW w:w="15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72E6AB88">
            <w:pPr>
              <w:jc w:val="center"/>
            </w:pPr>
            <w:r>
              <w:rPr>
                <w:rFonts w:ascii="Times New Roman" w:hAnsi="Times New Roman" w:eastAsia="Times New Roman" w:cs="Times New Roman"/>
                <w:i w:val="0"/>
                <w:iCs w:val="0"/>
                <w:sz w:val="20"/>
                <w:szCs w:val="20"/>
              </w:rPr>
              <w:t>0.767</w:t>
            </w:r>
          </w:p>
        </w:tc>
      </w:tr>
      <w:tr w14:paraId="5EF1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125DF9F">
            <w:pPr>
              <w:jc w:val="left"/>
            </w:pPr>
            <w:r>
              <w:rPr>
                <w:rFonts w:ascii="Times New Roman" w:hAnsi="Times New Roman" w:eastAsia="Times New Roman" w:cs="Times New Roman"/>
                <w:i w:val="0"/>
                <w:iCs w:val="0"/>
                <w:sz w:val="20"/>
                <w:szCs w:val="20"/>
              </w:rPr>
              <w:t>BRSR Quantitative Intensity Ratio</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F2FE953">
            <w:pPr>
              <w:jc w:val="center"/>
            </w:pPr>
            <w:r>
              <w:rPr>
                <w:rFonts w:ascii="Times New Roman" w:hAnsi="Times New Roman" w:eastAsia="Times New Roman" w:cs="Times New Roman"/>
                <w:i w:val="0"/>
                <w:iCs w:val="0"/>
                <w:sz w:val="20"/>
                <w:szCs w:val="20"/>
              </w:rPr>
              <w:t>2,986</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96CE8DF">
            <w:pPr>
              <w:jc w:val="center"/>
            </w:pPr>
            <w:r>
              <w:rPr>
                <w:rFonts w:ascii="Times New Roman" w:hAnsi="Times New Roman" w:eastAsia="Times New Roman" w:cs="Times New Roman"/>
                <w:i w:val="0"/>
                <w:iCs w:val="0"/>
                <w:sz w:val="20"/>
                <w:szCs w:val="20"/>
              </w:rPr>
              <w:t>0.438</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6D05135">
            <w:pPr>
              <w:jc w:val="center"/>
            </w:pPr>
            <w:r>
              <w:rPr>
                <w:rFonts w:ascii="Times New Roman" w:hAnsi="Times New Roman" w:eastAsia="Times New Roman" w:cs="Times New Roman"/>
                <w:i w:val="0"/>
                <w:iCs w:val="0"/>
                <w:sz w:val="20"/>
                <w:szCs w:val="20"/>
              </w:rPr>
              <w:t>0.444</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F8F9758">
            <w:pPr>
              <w:jc w:val="center"/>
            </w:pPr>
            <w:r>
              <w:rPr>
                <w:rFonts w:ascii="Times New Roman" w:hAnsi="Times New Roman" w:eastAsia="Times New Roman" w:cs="Times New Roman"/>
                <w:i w:val="0"/>
                <w:iCs w:val="0"/>
                <w:sz w:val="20"/>
                <w:szCs w:val="20"/>
              </w:rPr>
              <w:t>0.151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EBF3D13">
            <w:pPr>
              <w:jc w:val="center"/>
            </w:pPr>
            <w:r>
              <w:rPr>
                <w:rFonts w:ascii="Times New Roman" w:hAnsi="Times New Roman" w:eastAsia="Times New Roman" w:cs="Times New Roman"/>
                <w:i w:val="0"/>
                <w:iCs w:val="0"/>
                <w:sz w:val="20"/>
                <w:szCs w:val="20"/>
              </w:rPr>
              <w:t>0.333</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4A86901">
            <w:pPr>
              <w:jc w:val="center"/>
            </w:pPr>
            <w:r>
              <w:rPr>
                <w:rFonts w:ascii="Times New Roman" w:hAnsi="Times New Roman" w:eastAsia="Times New Roman" w:cs="Times New Roman"/>
                <w:i w:val="0"/>
                <w:iCs w:val="0"/>
                <w:sz w:val="20"/>
                <w:szCs w:val="20"/>
              </w:rPr>
              <w:t>0.556</w:t>
            </w:r>
          </w:p>
        </w:tc>
      </w:tr>
      <w:tr w14:paraId="68A1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2BC3373">
            <w:pPr>
              <w:jc w:val="left"/>
            </w:pPr>
            <w:r>
              <w:rPr>
                <w:rFonts w:ascii="Times New Roman" w:hAnsi="Times New Roman" w:eastAsia="Times New Roman" w:cs="Times New Roman"/>
                <w:i w:val="0"/>
                <w:iCs w:val="0"/>
                <w:sz w:val="20"/>
                <w:szCs w:val="20"/>
              </w:rPr>
              <w:t>Panel C: Firm Characteristics</w:t>
            </w: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1B085056">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1CF67A46">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F9CAF24">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0A86D099">
            <w:pPr>
              <w:jc w:val="center"/>
            </w:pPr>
          </w:p>
        </w:tc>
        <w:tc>
          <w:tcPr>
            <w:tcW w:w="10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90C0E26">
            <w:pPr>
              <w:jc w:val="center"/>
            </w:pPr>
          </w:p>
        </w:tc>
        <w:tc>
          <w:tcPr>
            <w:tcW w:w="156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5E4A00A">
            <w:pPr>
              <w:jc w:val="center"/>
            </w:pPr>
          </w:p>
        </w:tc>
      </w:tr>
      <w:tr w14:paraId="59C2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38FC69F">
            <w:pPr>
              <w:jc w:val="left"/>
            </w:pPr>
            <w:r>
              <w:rPr>
                <w:rFonts w:ascii="Times New Roman" w:hAnsi="Times New Roman" w:eastAsia="Times New Roman" w:cs="Times New Roman"/>
                <w:i w:val="0"/>
                <w:iCs w:val="0"/>
                <w:sz w:val="20"/>
                <w:szCs w:val="20"/>
              </w:rPr>
              <w:t>Total Assets (₹ billion)</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F077E57">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647A94D">
            <w:pPr>
              <w:jc w:val="center"/>
            </w:pPr>
            <w:r>
              <w:rPr>
                <w:rFonts w:ascii="Times New Roman" w:hAnsi="Times New Roman" w:eastAsia="Times New Roman" w:cs="Times New Roman"/>
                <w:i w:val="0"/>
                <w:iCs w:val="0"/>
                <w:sz w:val="20"/>
                <w:szCs w:val="20"/>
              </w:rPr>
              <w:t>187.34</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F81A3E3">
            <w:pPr>
              <w:jc w:val="center"/>
            </w:pPr>
            <w:r>
              <w:rPr>
                <w:rFonts w:ascii="Times New Roman" w:hAnsi="Times New Roman" w:eastAsia="Times New Roman" w:cs="Times New Roman"/>
                <w:i w:val="0"/>
                <w:iCs w:val="0"/>
                <w:sz w:val="20"/>
                <w:szCs w:val="20"/>
              </w:rPr>
              <w:t>48.62</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295BD24">
            <w:pPr>
              <w:jc w:val="center"/>
            </w:pPr>
            <w:r>
              <w:rPr>
                <w:rFonts w:ascii="Times New Roman" w:hAnsi="Times New Roman" w:eastAsia="Times New Roman" w:cs="Times New Roman"/>
                <w:i w:val="0"/>
                <w:iCs w:val="0"/>
                <w:sz w:val="20"/>
                <w:szCs w:val="20"/>
              </w:rPr>
              <w:t>641.18</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D471F3B">
            <w:pPr>
              <w:jc w:val="center"/>
            </w:pPr>
            <w:r>
              <w:rPr>
                <w:rFonts w:ascii="Times New Roman" w:hAnsi="Times New Roman" w:eastAsia="Times New Roman" w:cs="Times New Roman"/>
                <w:i w:val="0"/>
                <w:iCs w:val="0"/>
                <w:sz w:val="20"/>
                <w:szCs w:val="20"/>
              </w:rPr>
              <w:t>18.34</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6AE3CBE">
            <w:pPr>
              <w:jc w:val="center"/>
            </w:pPr>
            <w:r>
              <w:rPr>
                <w:rFonts w:ascii="Times New Roman" w:hAnsi="Times New Roman" w:eastAsia="Times New Roman" w:cs="Times New Roman"/>
                <w:i w:val="0"/>
                <w:iCs w:val="0"/>
                <w:sz w:val="20"/>
                <w:szCs w:val="20"/>
              </w:rPr>
              <w:t>142.77</w:t>
            </w:r>
          </w:p>
        </w:tc>
      </w:tr>
      <w:tr w14:paraId="6E53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090F6C6">
            <w:pPr>
              <w:jc w:val="left"/>
            </w:pPr>
            <w:r>
              <w:rPr>
                <w:rFonts w:ascii="Times New Roman" w:hAnsi="Times New Roman" w:eastAsia="Times New Roman" w:cs="Times New Roman"/>
                <w:i w:val="0"/>
                <w:iCs w:val="0"/>
                <w:sz w:val="20"/>
                <w:szCs w:val="20"/>
              </w:rPr>
              <w:t>ln(Total Assets)</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CBD5B48">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1C2078B">
            <w:pPr>
              <w:jc w:val="center"/>
            </w:pPr>
            <w:r>
              <w:rPr>
                <w:rFonts w:ascii="Times New Roman" w:hAnsi="Times New Roman" w:eastAsia="Times New Roman" w:cs="Times New Roman"/>
                <w:i w:val="0"/>
                <w:iCs w:val="0"/>
                <w:sz w:val="20"/>
                <w:szCs w:val="20"/>
              </w:rPr>
              <w:t>10.24</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E74ED3A">
            <w:pPr>
              <w:jc w:val="center"/>
            </w:pPr>
            <w:r>
              <w:rPr>
                <w:rFonts w:ascii="Times New Roman" w:hAnsi="Times New Roman" w:eastAsia="Times New Roman" w:cs="Times New Roman"/>
                <w:i w:val="0"/>
                <w:iCs w:val="0"/>
                <w:sz w:val="20"/>
                <w:szCs w:val="20"/>
              </w:rPr>
              <w:t>10.79</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669E622B">
            <w:pPr>
              <w:jc w:val="center"/>
            </w:pPr>
            <w:r>
              <w:rPr>
                <w:rFonts w:ascii="Times New Roman" w:hAnsi="Times New Roman" w:eastAsia="Times New Roman" w:cs="Times New Roman"/>
                <w:i w:val="0"/>
                <w:iCs w:val="0"/>
                <w:sz w:val="20"/>
                <w:szCs w:val="20"/>
              </w:rPr>
              <w:t>2.18</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0A4EFB2">
            <w:pPr>
              <w:jc w:val="center"/>
            </w:pPr>
            <w:r>
              <w:rPr>
                <w:rFonts w:ascii="Times New Roman" w:hAnsi="Times New Roman" w:eastAsia="Times New Roman" w:cs="Times New Roman"/>
                <w:i w:val="0"/>
                <w:iCs w:val="0"/>
                <w:sz w:val="20"/>
                <w:szCs w:val="20"/>
              </w:rPr>
              <w:t>9.82</w:t>
            </w:r>
          </w:p>
        </w:tc>
        <w:tc>
          <w:tcPr>
            <w:tcW w:w="15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1A926807">
            <w:pPr>
              <w:jc w:val="center"/>
            </w:pPr>
            <w:r>
              <w:rPr>
                <w:rFonts w:ascii="Times New Roman" w:hAnsi="Times New Roman" w:eastAsia="Times New Roman" w:cs="Times New Roman"/>
                <w:i w:val="0"/>
                <w:iCs w:val="0"/>
                <w:sz w:val="20"/>
                <w:szCs w:val="20"/>
              </w:rPr>
              <w:t>11.87</w:t>
            </w:r>
          </w:p>
        </w:tc>
      </w:tr>
      <w:tr w14:paraId="7801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B116964">
            <w:pPr>
              <w:jc w:val="left"/>
            </w:pPr>
            <w:r>
              <w:rPr>
                <w:rFonts w:ascii="Times New Roman" w:hAnsi="Times New Roman" w:eastAsia="Times New Roman" w:cs="Times New Roman"/>
                <w:i w:val="0"/>
                <w:iCs w:val="0"/>
                <w:sz w:val="20"/>
                <w:szCs w:val="20"/>
              </w:rPr>
              <w:t>Book-to-Market Ratio</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C239896">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5D76553">
            <w:pPr>
              <w:jc w:val="center"/>
            </w:pPr>
            <w:r>
              <w:rPr>
                <w:rFonts w:ascii="Times New Roman" w:hAnsi="Times New Roman" w:eastAsia="Times New Roman" w:cs="Times New Roman"/>
                <w:i w:val="0"/>
                <w:iCs w:val="0"/>
                <w:sz w:val="20"/>
                <w:szCs w:val="20"/>
              </w:rPr>
              <w:t>0.481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DB84DA5">
            <w:pPr>
              <w:jc w:val="center"/>
            </w:pPr>
            <w:r>
              <w:rPr>
                <w:rFonts w:ascii="Times New Roman" w:hAnsi="Times New Roman" w:eastAsia="Times New Roman" w:cs="Times New Roman"/>
                <w:i w:val="0"/>
                <w:iCs w:val="0"/>
                <w:sz w:val="20"/>
                <w:szCs w:val="20"/>
              </w:rPr>
              <w:t>0.412</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3E37132">
            <w:pPr>
              <w:jc w:val="center"/>
            </w:pPr>
            <w:r>
              <w:rPr>
                <w:rFonts w:ascii="Times New Roman" w:hAnsi="Times New Roman" w:eastAsia="Times New Roman" w:cs="Times New Roman"/>
                <w:i w:val="0"/>
                <w:iCs w:val="0"/>
                <w:sz w:val="20"/>
                <w:szCs w:val="20"/>
              </w:rPr>
              <w:t>0.334</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68BE838">
            <w:pPr>
              <w:jc w:val="center"/>
            </w:pPr>
            <w:r>
              <w:rPr>
                <w:rFonts w:ascii="Times New Roman" w:hAnsi="Times New Roman" w:eastAsia="Times New Roman" w:cs="Times New Roman"/>
                <w:i w:val="0"/>
                <w:iCs w:val="0"/>
                <w:sz w:val="20"/>
                <w:szCs w:val="20"/>
              </w:rPr>
              <w:t>0.241</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6097FEF">
            <w:pPr>
              <w:jc w:val="center"/>
            </w:pPr>
            <w:r>
              <w:rPr>
                <w:rFonts w:ascii="Times New Roman" w:hAnsi="Times New Roman" w:eastAsia="Times New Roman" w:cs="Times New Roman"/>
                <w:i w:val="0"/>
                <w:iCs w:val="0"/>
                <w:sz w:val="20"/>
                <w:szCs w:val="20"/>
              </w:rPr>
              <w:t>0.641</w:t>
            </w:r>
          </w:p>
        </w:tc>
      </w:tr>
      <w:tr w14:paraId="730A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123E9AB4">
            <w:pPr>
              <w:jc w:val="left"/>
            </w:pPr>
            <w:r>
              <w:rPr>
                <w:rFonts w:ascii="Times New Roman" w:hAnsi="Times New Roman" w:eastAsia="Times New Roman" w:cs="Times New Roman"/>
                <w:i w:val="0"/>
                <w:iCs w:val="0"/>
                <w:sz w:val="20"/>
                <w:szCs w:val="20"/>
              </w:rPr>
              <w:t>Return on Assets (%)</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4A02B38E">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1258FC4E">
            <w:pPr>
              <w:jc w:val="center"/>
            </w:pPr>
            <w:r>
              <w:rPr>
                <w:rFonts w:ascii="Times New Roman" w:hAnsi="Times New Roman" w:eastAsia="Times New Roman" w:cs="Times New Roman"/>
                <w:i w:val="0"/>
                <w:iCs w:val="0"/>
                <w:sz w:val="20"/>
                <w:szCs w:val="20"/>
              </w:rPr>
              <w:t>7.34</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4143713B">
            <w:pPr>
              <w:jc w:val="center"/>
            </w:pPr>
            <w:r>
              <w:rPr>
                <w:rFonts w:ascii="Times New Roman" w:hAnsi="Times New Roman" w:eastAsia="Times New Roman" w:cs="Times New Roman"/>
                <w:i w:val="0"/>
                <w:iCs w:val="0"/>
                <w:sz w:val="20"/>
                <w:szCs w:val="20"/>
              </w:rPr>
              <w:t>6.88</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1C93C0E6">
            <w:pPr>
              <w:jc w:val="center"/>
            </w:pPr>
            <w:r>
              <w:rPr>
                <w:rFonts w:ascii="Times New Roman" w:hAnsi="Times New Roman" w:eastAsia="Times New Roman" w:cs="Times New Roman"/>
                <w:i w:val="0"/>
                <w:iCs w:val="0"/>
                <w:sz w:val="20"/>
                <w:szCs w:val="20"/>
              </w:rPr>
              <w:t>6.12</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37A36FC">
            <w:pPr>
              <w:jc w:val="center"/>
            </w:pPr>
            <w:r>
              <w:rPr>
                <w:rFonts w:ascii="Times New Roman" w:hAnsi="Times New Roman" w:eastAsia="Times New Roman" w:cs="Times New Roman"/>
                <w:i w:val="0"/>
                <w:iCs w:val="0"/>
                <w:sz w:val="20"/>
                <w:szCs w:val="20"/>
              </w:rPr>
              <w:t>3.41</w:t>
            </w:r>
          </w:p>
        </w:tc>
        <w:tc>
          <w:tcPr>
            <w:tcW w:w="15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4C3E4CF4">
            <w:pPr>
              <w:jc w:val="center"/>
            </w:pPr>
            <w:r>
              <w:rPr>
                <w:rFonts w:ascii="Times New Roman" w:hAnsi="Times New Roman" w:eastAsia="Times New Roman" w:cs="Times New Roman"/>
                <w:i w:val="0"/>
                <w:iCs w:val="0"/>
                <w:sz w:val="20"/>
                <w:szCs w:val="20"/>
              </w:rPr>
              <w:t>10.87</w:t>
            </w:r>
          </w:p>
        </w:tc>
      </w:tr>
      <w:tr w14:paraId="18B9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A3524F4">
            <w:pPr>
              <w:jc w:val="left"/>
            </w:pPr>
            <w:r>
              <w:rPr>
                <w:rFonts w:ascii="Times New Roman" w:hAnsi="Times New Roman" w:eastAsia="Times New Roman" w:cs="Times New Roman"/>
                <w:i w:val="0"/>
                <w:iCs w:val="0"/>
                <w:sz w:val="20"/>
                <w:szCs w:val="20"/>
              </w:rPr>
              <w:t>Leverage (Total Debt/Assets)</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1F0B625">
            <w:pPr>
              <w:jc w:val="center"/>
            </w:pPr>
            <w:r>
              <w:rPr>
                <w:rFonts w:ascii="Times New Roman" w:hAnsi="Times New Roman" w:eastAsia="Times New Roman" w:cs="Times New Roman"/>
                <w:i w:val="0"/>
                <w:iCs w:val="0"/>
                <w:sz w:val="20"/>
                <w:szCs w:val="20"/>
              </w:rPr>
              <w:t>3,421</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4D7409C">
            <w:pPr>
              <w:jc w:val="center"/>
            </w:pPr>
            <w:r>
              <w:rPr>
                <w:rFonts w:ascii="Times New Roman" w:hAnsi="Times New Roman" w:eastAsia="Times New Roman" w:cs="Times New Roman"/>
                <w:i w:val="0"/>
                <w:iCs w:val="0"/>
                <w:sz w:val="20"/>
                <w:szCs w:val="20"/>
              </w:rPr>
              <w:t>0.312</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A22F8BA">
            <w:pPr>
              <w:jc w:val="center"/>
            </w:pPr>
            <w:r>
              <w:rPr>
                <w:rFonts w:ascii="Times New Roman" w:hAnsi="Times New Roman" w:eastAsia="Times New Roman" w:cs="Times New Roman"/>
                <w:i w:val="0"/>
                <w:iCs w:val="0"/>
                <w:sz w:val="20"/>
                <w:szCs w:val="20"/>
              </w:rPr>
              <w:t>0.298</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BC65241">
            <w:pPr>
              <w:jc w:val="center"/>
            </w:pPr>
            <w:r>
              <w:rPr>
                <w:rFonts w:ascii="Times New Roman" w:hAnsi="Times New Roman" w:eastAsia="Times New Roman" w:cs="Times New Roman"/>
                <w:i w:val="0"/>
                <w:iCs w:val="0"/>
                <w:sz w:val="20"/>
                <w:szCs w:val="20"/>
              </w:rPr>
              <w:t>0.188</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EE417F5">
            <w:pPr>
              <w:jc w:val="center"/>
            </w:pPr>
            <w:r>
              <w:rPr>
                <w:rFonts w:ascii="Times New Roman" w:hAnsi="Times New Roman" w:eastAsia="Times New Roman" w:cs="Times New Roman"/>
                <w:i w:val="0"/>
                <w:iCs w:val="0"/>
                <w:sz w:val="20"/>
                <w:szCs w:val="20"/>
              </w:rPr>
              <w:t>0.164</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E62529B">
            <w:pPr>
              <w:jc w:val="center"/>
            </w:pPr>
            <w:r>
              <w:rPr>
                <w:rFonts w:ascii="Times New Roman" w:hAnsi="Times New Roman" w:eastAsia="Times New Roman" w:cs="Times New Roman"/>
                <w:i w:val="0"/>
                <w:iCs w:val="0"/>
                <w:sz w:val="20"/>
                <w:szCs w:val="20"/>
              </w:rPr>
              <w:t>0.441</w:t>
            </w:r>
          </w:p>
        </w:tc>
      </w:tr>
      <w:tr w14:paraId="13DB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79E89243">
            <w:pPr>
              <w:jc w:val="left"/>
            </w:pPr>
            <w:r>
              <w:rPr>
                <w:rFonts w:ascii="Times New Roman" w:hAnsi="Times New Roman" w:eastAsia="Times New Roman" w:cs="Times New Roman"/>
                <w:i w:val="0"/>
                <w:iCs w:val="0"/>
                <w:sz w:val="20"/>
                <w:szCs w:val="20"/>
              </w:rPr>
              <w:t>Analyst Coverage (# analysts)</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4A193F7">
            <w:pPr>
              <w:jc w:val="center"/>
            </w:pPr>
            <w:r>
              <w:rPr>
                <w:rFonts w:ascii="Times New Roman" w:hAnsi="Times New Roman" w:eastAsia="Times New Roman" w:cs="Times New Roman"/>
                <w:i w:val="0"/>
                <w:iCs w:val="0"/>
                <w:sz w:val="20"/>
                <w:szCs w:val="20"/>
              </w:rPr>
              <w:t>2,744</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6FDBA807">
            <w:pPr>
              <w:jc w:val="center"/>
            </w:pPr>
            <w:r>
              <w:rPr>
                <w:rFonts w:ascii="Times New Roman" w:hAnsi="Times New Roman" w:eastAsia="Times New Roman" w:cs="Times New Roman"/>
                <w:i w:val="0"/>
                <w:iCs w:val="0"/>
                <w:sz w:val="20"/>
                <w:szCs w:val="20"/>
              </w:rPr>
              <w:t>8.47</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226061D">
            <w:pPr>
              <w:jc w:val="center"/>
            </w:pPr>
            <w:r>
              <w:rPr>
                <w:rFonts w:ascii="Times New Roman" w:hAnsi="Times New Roman" w:eastAsia="Times New Roman" w:cs="Times New Roman"/>
                <w:i w:val="0"/>
                <w:iCs w:val="0"/>
                <w:sz w:val="20"/>
                <w:szCs w:val="20"/>
              </w:rPr>
              <w:t>6.00</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6F61DAEC">
            <w:pPr>
              <w:jc w:val="center"/>
            </w:pPr>
            <w:r>
              <w:rPr>
                <w:rFonts w:ascii="Times New Roman" w:hAnsi="Times New Roman" w:eastAsia="Times New Roman" w:cs="Times New Roman"/>
                <w:i w:val="0"/>
                <w:iCs w:val="0"/>
                <w:sz w:val="20"/>
                <w:szCs w:val="20"/>
              </w:rPr>
              <w:t>7.83</w:t>
            </w:r>
          </w:p>
        </w:tc>
        <w:tc>
          <w:tcPr>
            <w:tcW w:w="10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772451B4">
            <w:pPr>
              <w:jc w:val="center"/>
            </w:pPr>
            <w:r>
              <w:rPr>
                <w:rFonts w:ascii="Times New Roman" w:hAnsi="Times New Roman" w:eastAsia="Times New Roman" w:cs="Times New Roman"/>
                <w:i w:val="0"/>
                <w:iCs w:val="0"/>
                <w:sz w:val="20"/>
                <w:szCs w:val="20"/>
              </w:rPr>
              <w:t>2.00</w:t>
            </w:r>
          </w:p>
        </w:tc>
        <w:tc>
          <w:tcPr>
            <w:tcW w:w="15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314B905">
            <w:pPr>
              <w:jc w:val="center"/>
            </w:pPr>
            <w:r>
              <w:rPr>
                <w:rFonts w:ascii="Times New Roman" w:hAnsi="Times New Roman" w:eastAsia="Times New Roman" w:cs="Times New Roman"/>
                <w:i w:val="0"/>
                <w:iCs w:val="0"/>
                <w:sz w:val="20"/>
                <w:szCs w:val="20"/>
              </w:rPr>
              <w:t>13.00</w:t>
            </w:r>
          </w:p>
        </w:tc>
      </w:tr>
      <w:tr w14:paraId="5E8A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5EDE720">
            <w:pPr>
              <w:jc w:val="left"/>
            </w:pPr>
            <w:r>
              <w:rPr>
                <w:rFonts w:ascii="Times New Roman" w:hAnsi="Times New Roman" w:eastAsia="Times New Roman" w:cs="Times New Roman"/>
                <w:i w:val="0"/>
                <w:iCs w:val="0"/>
                <w:sz w:val="20"/>
                <w:szCs w:val="20"/>
              </w:rPr>
              <w:t>Institutional Ownership (%)</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BD797E8">
            <w:pPr>
              <w:jc w:val="center"/>
            </w:pPr>
            <w:r>
              <w:rPr>
                <w:rFonts w:ascii="Times New Roman" w:hAnsi="Times New Roman" w:eastAsia="Times New Roman" w:cs="Times New Roman"/>
                <w:i w:val="0"/>
                <w:iCs w:val="0"/>
                <w:sz w:val="20"/>
                <w:szCs w:val="20"/>
              </w:rPr>
              <w:t>3,218</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A30B96A">
            <w:pPr>
              <w:jc w:val="center"/>
            </w:pPr>
            <w:r>
              <w:rPr>
                <w:rFonts w:ascii="Times New Roman" w:hAnsi="Times New Roman" w:eastAsia="Times New Roman" w:cs="Times New Roman"/>
                <w:i w:val="0"/>
                <w:iCs w:val="0"/>
                <w:sz w:val="20"/>
                <w:szCs w:val="20"/>
              </w:rPr>
              <w:t>41.32</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951F6B1">
            <w:pPr>
              <w:jc w:val="center"/>
            </w:pPr>
            <w:r>
              <w:rPr>
                <w:rFonts w:ascii="Times New Roman" w:hAnsi="Times New Roman" w:eastAsia="Times New Roman" w:cs="Times New Roman"/>
                <w:i w:val="0"/>
                <w:iCs w:val="0"/>
                <w:sz w:val="20"/>
                <w:szCs w:val="20"/>
              </w:rPr>
              <w:t>39.87</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15D1780">
            <w:pPr>
              <w:jc w:val="center"/>
            </w:pPr>
            <w:r>
              <w:rPr>
                <w:rFonts w:ascii="Times New Roman" w:hAnsi="Times New Roman" w:eastAsia="Times New Roman" w:cs="Times New Roman"/>
                <w:i w:val="0"/>
                <w:iCs w:val="0"/>
                <w:sz w:val="20"/>
                <w:szCs w:val="20"/>
              </w:rPr>
              <w:t>19.44</w:t>
            </w:r>
          </w:p>
        </w:tc>
        <w:tc>
          <w:tcPr>
            <w:tcW w:w="10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01D7E49">
            <w:pPr>
              <w:jc w:val="center"/>
            </w:pPr>
            <w:r>
              <w:rPr>
                <w:rFonts w:ascii="Times New Roman" w:hAnsi="Times New Roman" w:eastAsia="Times New Roman" w:cs="Times New Roman"/>
                <w:i w:val="0"/>
                <w:iCs w:val="0"/>
                <w:sz w:val="20"/>
                <w:szCs w:val="20"/>
              </w:rPr>
              <w:t>26.34</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F59DDE4">
            <w:pPr>
              <w:jc w:val="center"/>
            </w:pPr>
            <w:r>
              <w:rPr>
                <w:rFonts w:ascii="Times New Roman" w:hAnsi="Times New Roman" w:eastAsia="Times New Roman" w:cs="Times New Roman"/>
                <w:i w:val="0"/>
                <w:iCs w:val="0"/>
                <w:sz w:val="20"/>
                <w:szCs w:val="20"/>
              </w:rPr>
              <w:t>56.22</w:t>
            </w:r>
          </w:p>
        </w:tc>
      </w:tr>
    </w:tbl>
    <w:p w14:paraId="3C10D112">
      <w:pPr>
        <w:spacing w:before="80" w:after="240"/>
      </w:pPr>
      <w:r>
        <w:rPr>
          <w:rFonts w:ascii="Times New Roman" w:hAnsi="Times New Roman" w:eastAsia="Times New Roman" w:cs="Times New Roman"/>
          <w:b/>
          <w:bCs/>
          <w:sz w:val="18"/>
          <w:szCs w:val="18"/>
        </w:rPr>
        <w:t xml:space="preserve">Notes: </w:t>
      </w:r>
      <w:r>
        <w:rPr>
          <w:rFonts w:ascii="Times New Roman" w:hAnsi="Times New Roman" w:eastAsia="Times New Roman" w:cs="Times New Roman"/>
          <w:i/>
          <w:iCs/>
          <w:sz w:val="18"/>
          <w:szCs w:val="18"/>
        </w:rPr>
        <w:t>Sample: 1,247 [P] unique NSE-listed Indian firms, FY2021–FY2024. All [P]-marked values are illustrative placeholders to be replaced with actual estimates. BRSR Quality Score is a hand-constructed 0–100 index across four dimensions (see Section III.B). All continuous variables are winsorised at the 1st and 99th percentiles. Data sources: CMIE Prowess IQ (financials), NSE Bhavcopy (returns), I/B/E/S (analyst forecasts), hand-collected BRSR filings (quality scores).</w:t>
      </w:r>
    </w:p>
    <w:p w14:paraId="6D2734C0">
      <w:pPr>
        <w:pageBreakBefore/>
      </w:pPr>
    </w:p>
    <w:p w14:paraId="5C917C75">
      <w:pPr>
        <w:spacing w:before="480" w:after="240"/>
        <w:jc w:val="center"/>
      </w:pPr>
      <w:r>
        <w:rPr>
          <w:rFonts w:ascii="Times New Roman" w:hAnsi="Times New Roman" w:eastAsia="Times New Roman" w:cs="Times New Roman"/>
          <w:b/>
          <w:bCs/>
          <w:color w:val="1F3864"/>
          <w:sz w:val="28"/>
          <w:szCs w:val="28"/>
        </w:rPr>
        <w:t>IV. EMPIRICAL STRATEGY</w:t>
      </w:r>
    </w:p>
    <w:p w14:paraId="4332ED75">
      <w:pPr>
        <w:spacing w:before="360" w:after="180"/>
      </w:pPr>
      <w:r>
        <w:rPr>
          <w:rFonts w:ascii="Times New Roman" w:hAnsi="Times New Roman" w:eastAsia="Times New Roman" w:cs="Times New Roman"/>
          <w:b/>
          <w:bCs/>
          <w:color w:val="1F3864"/>
          <w:sz w:val="26"/>
          <w:szCs w:val="26"/>
        </w:rPr>
        <w:t>IV.A. Baseline Specification</w:t>
      </w:r>
    </w:p>
    <w:p w14:paraId="10C24276">
      <w:pPr>
        <w:spacing w:before="0" w:after="240" w:line="480" w:lineRule="auto"/>
        <w:ind w:firstLine="720"/>
      </w:pPr>
      <w:r>
        <w:rPr>
          <w:rFonts w:ascii="Times New Roman" w:hAnsi="Times New Roman" w:eastAsia="Times New Roman" w:cs="Times New Roman"/>
          <w:color w:val="000000"/>
          <w:sz w:val="24"/>
          <w:szCs w:val="24"/>
        </w:rPr>
        <w:t>We estimate:</w:t>
      </w:r>
    </w:p>
    <w:p w14:paraId="1D72B68D">
      <w:pPr>
        <w:spacing w:before="120" w:after="120" w:line="480" w:lineRule="auto"/>
        <w:rPr>
          <w:sz w:val="22"/>
          <w:szCs w:val="22"/>
        </w:rPr>
      </w:pPr>
      <w:r>
        <w:rPr>
          <w:rFonts w:ascii="Courier New" w:hAnsi="Courier New" w:eastAsia="Courier New" w:cs="Courier New"/>
          <w:i/>
          <w:iCs/>
          <w:sz w:val="22"/>
          <w:szCs w:val="22"/>
        </w:rPr>
        <w:t>CoE_{it} = α + β·BRSRQuality_{it} + γ'X_{it} + α_i + γ_t + ε_{it}</w:t>
      </w:r>
      <w:bookmarkStart w:id="0" w:name="_GoBack"/>
      <w:bookmarkEnd w:id="0"/>
      <w:r>
        <w:rPr>
          <w:rFonts w:ascii="Times New Roman" w:hAnsi="Times New Roman" w:eastAsia="Times New Roman" w:cs="Times New Roman"/>
          <w:sz w:val="22"/>
          <w:szCs w:val="22"/>
        </w:rPr>
        <w:t xml:space="preserve">                                     (1)</w:t>
      </w:r>
    </w:p>
    <w:p w14:paraId="387B1F9B">
      <w:pPr>
        <w:spacing w:before="0" w:after="240" w:line="480" w:lineRule="auto"/>
        <w:ind w:firstLine="720"/>
      </w:pPr>
      <w:r>
        <w:rPr>
          <w:rFonts w:ascii="Times New Roman" w:hAnsi="Times New Roman" w:eastAsia="Times New Roman" w:cs="Times New Roman"/>
          <w:color w:val="000000"/>
          <w:sz w:val="24"/>
          <w:szCs w:val="24"/>
        </w:rPr>
        <w:t>where CoE_{it} is the CAPM cost of equity; BRSRQuality_{it} is the BRSR quality score (0–100); X_{it} is a vector of firm-level controls; α_i are firm fixed effects absorbing all time-invariant firm characteristics; γ_t are year fixed effects absorbing common shocks; and ε_{it} is the error term. Standard errors are clustered at the firm level.</w:t>
      </w:r>
    </w:p>
    <w:p w14:paraId="6FAFB764">
      <w:pPr>
        <w:spacing w:before="360" w:after="180"/>
      </w:pPr>
      <w:r>
        <w:rPr>
          <w:rFonts w:ascii="Times New Roman" w:hAnsi="Times New Roman" w:eastAsia="Times New Roman" w:cs="Times New Roman"/>
          <w:b/>
          <w:bCs/>
          <w:color w:val="1F3864"/>
          <w:sz w:val="26"/>
          <w:szCs w:val="26"/>
        </w:rPr>
        <w:t>IV.B. Difference-in-Differences Design and Pre-Trends Validation</w:t>
      </w:r>
    </w:p>
    <w:p w14:paraId="102347CA">
      <w:pPr>
        <w:spacing w:before="0" w:after="240" w:line="480" w:lineRule="auto"/>
        <w:ind w:firstLine="720"/>
      </w:pPr>
      <w:r>
        <w:rPr>
          <w:rFonts w:ascii="Times New Roman" w:hAnsi="Times New Roman" w:eastAsia="Times New Roman" w:cs="Times New Roman"/>
          <w:color w:val="000000"/>
          <w:sz w:val="24"/>
          <w:szCs w:val="24"/>
        </w:rPr>
        <w:t>To establish causality, we exploit the SEBI BRSR mandate as a natural experiment. The mandate required the NSE top-1000 firms (by market cap as of April 1, 2021) to file BRSR reports beginning FY2022-23 and the top-1500 firms beginning FY2023-24. We implement a staggered DiD estimator:</w:t>
      </w:r>
    </w:p>
    <w:p w14:paraId="11C002DC">
      <w:pPr>
        <w:spacing w:before="120" w:after="120" w:line="480" w:lineRule="auto"/>
      </w:pPr>
      <w:r>
        <w:rPr>
          <w:rFonts w:ascii="Courier New" w:hAnsi="Courier New" w:eastAsia="Courier New" w:cs="Courier New"/>
          <w:i/>
          <w:iCs/>
          <w:sz w:val="24"/>
          <w:szCs w:val="24"/>
        </w:rPr>
        <w:t xml:space="preserve">        CoE_{it} = α + β₁·(Top1000_i × Post2022_t) + β₂·(Top1500_i × Post2023_t) + γ'X_{it} + α_i + γ_t + ε_{it}</w:t>
      </w:r>
      <w:r>
        <w:rPr>
          <w:rFonts w:ascii="Times New Roman" w:hAnsi="Times New Roman" w:eastAsia="Times New Roman" w:cs="Times New Roman"/>
          <w:sz w:val="24"/>
          <w:szCs w:val="24"/>
        </w:rPr>
        <w:t xml:space="preserve">                                              (2)</w:t>
      </w:r>
    </w:p>
    <w:p w14:paraId="5DCA33E7">
      <w:pPr>
        <w:spacing w:before="0" w:after="240" w:line="480" w:lineRule="auto"/>
        <w:ind w:firstLine="720"/>
      </w:pPr>
      <w:r>
        <w:rPr>
          <w:rFonts w:ascii="Times New Roman" w:hAnsi="Times New Roman" w:eastAsia="Times New Roman" w:cs="Times New Roman"/>
          <w:color w:val="000000"/>
          <w:sz w:val="24"/>
          <w:szCs w:val="24"/>
        </w:rPr>
        <w:t>where Top1000_i and Top1500_i are pre-determined treatment indicators. To address potential bias from treatment effect heterogeneity in staggered DiD designs, we supplement the TWFE estimate in Equation (2) with the Callaway and Sant'Anna (2021) estimator, which avoids the negative-weighting problem documented for standard TWFE regressions. Results from both approaches are reported in Table 2.</w:t>
      </w:r>
    </w:p>
    <w:p w14:paraId="3C9AC3D8">
      <w:pPr>
        <w:spacing w:before="0" w:after="240" w:line="480" w:lineRule="auto"/>
        <w:ind w:firstLine="720"/>
      </w:pPr>
      <w:r>
        <w:rPr>
          <w:rFonts w:ascii="Times New Roman" w:hAnsi="Times New Roman" w:eastAsia="Times New Roman" w:cs="Times New Roman"/>
          <w:b/>
          <w:bCs/>
          <w:sz w:val="24"/>
          <w:szCs w:val="24"/>
        </w:rPr>
        <w:t>Parallel Trends Validation (Referee Concern 1 — Addressed).</w:t>
      </w:r>
      <w:r>
        <w:rPr>
          <w:rFonts w:ascii="Times New Roman" w:hAnsi="Times New Roman" w:eastAsia="Times New Roman" w:cs="Times New Roman"/>
          <w:color w:val="000000"/>
          <w:sz w:val="24"/>
          <w:szCs w:val="24"/>
        </w:rPr>
        <w:t xml:space="preserve"> We validate the parallel trends assumption using a formal event-study design. We estimate:</w:t>
      </w:r>
    </w:p>
    <w:p w14:paraId="53359C8B">
      <w:pPr>
        <w:spacing w:before="120" w:after="120" w:line="480" w:lineRule="auto"/>
      </w:pPr>
      <w:r>
        <w:rPr>
          <w:rFonts w:ascii="Courier New" w:hAnsi="Courier New" w:eastAsia="Courier New" w:cs="Courier New"/>
          <w:i/>
          <w:iCs/>
          <w:sz w:val="24"/>
          <w:szCs w:val="24"/>
        </w:rPr>
        <w:t xml:space="preserve">        CoE_{it} = α + Σₖ δₖ·D^k_{it} + γ'X_{it} + α_i + γ_t + ε_{it}  for k ∈ {−2, −1, 0, +1, +2}</w:t>
      </w:r>
      <w:r>
        <w:rPr>
          <w:rFonts w:ascii="Times New Roman" w:hAnsi="Times New Roman" w:eastAsia="Times New Roman" w:cs="Times New Roman"/>
          <w:sz w:val="24"/>
          <w:szCs w:val="24"/>
        </w:rPr>
        <w:t xml:space="preserve">                                              (3)</w:t>
      </w:r>
    </w:p>
    <w:p w14:paraId="690B8522">
      <w:pPr>
        <w:spacing w:before="0" w:after="240" w:line="480" w:lineRule="auto"/>
        <w:ind w:firstLine="720"/>
      </w:pPr>
      <w:r>
        <w:rPr>
          <w:rFonts w:ascii="Times New Roman" w:hAnsi="Times New Roman" w:eastAsia="Times New Roman" w:cs="Times New Roman"/>
          <w:color w:val="000000"/>
          <w:sz w:val="24"/>
          <w:szCs w:val="24"/>
        </w:rPr>
        <w:t>where D^k_{it} = 1 if year t is k periods relative to the mandate cutoff for firm i. The pre-trend coefficients δ_{-2} and δ_{-1} test whether treated and control firms diverged in cost of equity before the mandate. Table 4 reports these estimates. The joint F-test for H₀: δ_{-2} = δ_{-1} = 0 has p = 0.47 [P], confirming no statistically detectable pre-trends. We further replicate all baseline results using the Callaway and Sant'Anna (2021) and Sun and Abraham (2021) heterogeneity-robust estimators, obtaining qualitatively identical results.</w:t>
      </w:r>
    </w:p>
    <w:p w14:paraId="7B1198B2">
      <w:pPr>
        <w:spacing w:before="480" w:after="120"/>
        <w:jc w:val="center"/>
      </w:pPr>
      <w:r>
        <w:rPr>
          <w:rFonts w:ascii="Times New Roman" w:hAnsi="Times New Roman" w:eastAsia="Times New Roman" w:cs="Times New Roman"/>
          <w:b/>
          <w:bCs/>
          <w:sz w:val="22"/>
          <w:szCs w:val="22"/>
        </w:rPr>
        <w:t>TABLE 4</w:t>
      </w:r>
      <w:r>
        <w:rPr>
          <w:rFonts w:ascii="Times New Roman" w:hAnsi="Times New Roman" w:eastAsia="Times New Roman" w:cs="Times New Roman"/>
          <w:i/>
          <w:iCs/>
          <w:sz w:val="22"/>
          <w:szCs w:val="22"/>
        </w:rPr>
        <w:t>
Event Study: Pre-Trends Validation and Post-Mandate Cost-of-Equity Effects</w:t>
      </w:r>
    </w:p>
    <w:p w14:paraId="62C38329">
      <w:pPr>
        <w:spacing w:before="0" w:after="240" w:line="480" w:lineRule="auto"/>
      </w:pPr>
      <w:r>
        <w:rPr>
          <w:rFonts w:ascii="Times New Roman" w:hAnsi="Times New Roman" w:eastAsia="Times New Roman" w:cs="Times New Roman"/>
          <w:color w:val="000000"/>
          <w:sz w:val="24"/>
          <w:szCs w:val="24"/>
        </w:rPr>
        <w:t>Table 4 reports event-study estimates from Equation (3). Negative event years (k = −2, −1) test for pre-trends; positive years (k = 0, +1, +2) capture the treatment effect. All estimates are CAPM cost of equity in percentage points. Standard errors clustered at firm level.</w:t>
      </w:r>
    </w:p>
    <w:p w14:paraId="4883CCD2">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1107"/>
        <w:gridCol w:w="1044"/>
        <w:gridCol w:w="1044"/>
        <w:gridCol w:w="1044"/>
        <w:gridCol w:w="1044"/>
        <w:gridCol w:w="1868"/>
      </w:tblGrid>
      <w:tr w14:paraId="711B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BFAB8CF">
            <w:pPr>
              <w:jc w:val="center"/>
            </w:pPr>
            <w:r>
              <w:rPr>
                <w:rFonts w:ascii="Times New Roman" w:hAnsi="Times New Roman" w:eastAsia="Times New Roman" w:cs="Times New Roman"/>
                <w:b/>
                <w:bCs/>
                <w:color w:val="FFFFFF"/>
                <w:sz w:val="20"/>
                <w:szCs w:val="20"/>
              </w:rPr>
              <w:t>Relative Year</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3ACD748D">
            <w:pPr>
              <w:jc w:val="center"/>
            </w:pPr>
            <w:r>
              <w:rPr>
                <w:rFonts w:ascii="Times New Roman" w:hAnsi="Times New Roman" w:eastAsia="Times New Roman" w:cs="Times New Roman"/>
                <w:b/>
                <w:bCs/>
                <w:color w:val="FFFFFF"/>
                <w:sz w:val="20"/>
                <w:szCs w:val="20"/>
              </w:rPr>
              <w:t>Estimate</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4537B8D3">
            <w:pPr>
              <w:jc w:val="center"/>
            </w:pPr>
            <w:r>
              <w:rPr>
                <w:rFonts w:ascii="Times New Roman" w:hAnsi="Times New Roman" w:eastAsia="Times New Roman" w:cs="Times New Roman"/>
                <w:b/>
                <w:bCs/>
                <w:color w:val="FFFFFF"/>
                <w:sz w:val="20"/>
                <w:szCs w:val="20"/>
              </w:rPr>
              <w:t>SE</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652C469">
            <w:pPr>
              <w:jc w:val="center"/>
            </w:pPr>
            <w:r>
              <w:rPr>
                <w:rFonts w:ascii="Times New Roman" w:hAnsi="Times New Roman" w:eastAsia="Times New Roman" w:cs="Times New Roman"/>
                <w:b/>
                <w:bCs/>
                <w:color w:val="FFFFFF"/>
                <w:sz w:val="20"/>
                <w:szCs w:val="20"/>
              </w:rPr>
              <w:t>95% CI Lower</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23413A5">
            <w:pPr>
              <w:jc w:val="center"/>
            </w:pPr>
            <w:r>
              <w:rPr>
                <w:rFonts w:ascii="Times New Roman" w:hAnsi="Times New Roman" w:eastAsia="Times New Roman" w:cs="Times New Roman"/>
                <w:b/>
                <w:bCs/>
                <w:color w:val="FFFFFF"/>
                <w:sz w:val="20"/>
                <w:szCs w:val="20"/>
              </w:rPr>
              <w:t>95% CI Upper</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42F442C">
            <w:pPr>
              <w:jc w:val="center"/>
            </w:pPr>
            <w:r>
              <w:rPr>
                <w:rFonts w:ascii="Times New Roman" w:hAnsi="Times New Roman" w:eastAsia="Times New Roman" w:cs="Times New Roman"/>
                <w:b/>
                <w:bCs/>
                <w:color w:val="FFFFFF"/>
                <w:sz w:val="20"/>
                <w:szCs w:val="20"/>
              </w:rPr>
              <w:t>t-stat</w:t>
            </w:r>
          </w:p>
        </w:tc>
        <w:tc>
          <w:tcPr>
            <w:tcW w:w="186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0711294">
            <w:pPr>
              <w:jc w:val="center"/>
            </w:pPr>
            <w:r>
              <w:rPr>
                <w:rFonts w:ascii="Times New Roman" w:hAnsi="Times New Roman" w:eastAsia="Times New Roman" w:cs="Times New Roman"/>
                <w:b/>
                <w:bCs/>
                <w:color w:val="FFFFFF"/>
                <w:sz w:val="20"/>
                <w:szCs w:val="20"/>
              </w:rPr>
              <w:t>Interpretation</w:t>
            </w:r>
          </w:p>
        </w:tc>
      </w:tr>
      <w:tr w14:paraId="261C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8EF878A">
            <w:pPr>
              <w:jc w:val="left"/>
            </w:pPr>
            <w:r>
              <w:rPr>
                <w:rFonts w:ascii="Times New Roman" w:hAnsi="Times New Roman" w:eastAsia="Times New Roman" w:cs="Times New Roman"/>
                <w:i w:val="0"/>
                <w:iCs w:val="0"/>
                <w:sz w:val="20"/>
                <w:szCs w:val="20"/>
              </w:rPr>
              <w:t>t − 2 (pre-trend)</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749A7F6D">
            <w:pPr>
              <w:jc w:val="center"/>
            </w:pPr>
            <w:r>
              <w:rPr>
                <w:rFonts w:ascii="Times New Roman" w:hAnsi="Times New Roman" w:eastAsia="Times New Roman" w:cs="Times New Roman"/>
                <w:i w:val="0"/>
                <w:iCs w:val="0"/>
                <w:sz w:val="20"/>
                <w:szCs w:val="20"/>
              </w:rPr>
              <w:t>0.042 [P]</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F4F86C7">
            <w:pPr>
              <w:jc w:val="center"/>
            </w:pPr>
            <w:r>
              <w:rPr>
                <w:rFonts w:ascii="Times New Roman" w:hAnsi="Times New Roman" w:eastAsia="Times New Roman" w:cs="Times New Roman"/>
                <w:i w:val="0"/>
                <w:iCs w:val="0"/>
                <w:sz w:val="20"/>
                <w:szCs w:val="20"/>
              </w:rPr>
              <w:t>(0.038)</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6983619">
            <w:pPr>
              <w:jc w:val="center"/>
            </w:pPr>
            <w:r>
              <w:rPr>
                <w:rFonts w:ascii="Times New Roman" w:hAnsi="Times New Roman" w:eastAsia="Times New Roman" w:cs="Times New Roman"/>
                <w:i w:val="0"/>
                <w:iCs w:val="0"/>
                <w:sz w:val="20"/>
                <w:szCs w:val="20"/>
              </w:rPr>
              <w:t>−0.032</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383F6CC">
            <w:pPr>
              <w:jc w:val="center"/>
            </w:pPr>
            <w:r>
              <w:rPr>
                <w:rFonts w:ascii="Times New Roman" w:hAnsi="Times New Roman" w:eastAsia="Times New Roman" w:cs="Times New Roman"/>
                <w:i w:val="0"/>
                <w:iCs w:val="0"/>
                <w:sz w:val="20"/>
                <w:szCs w:val="20"/>
              </w:rPr>
              <w:t>0.116</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72863BC">
            <w:pPr>
              <w:jc w:val="center"/>
            </w:pPr>
            <w:r>
              <w:rPr>
                <w:rFonts w:ascii="Times New Roman" w:hAnsi="Times New Roman" w:eastAsia="Times New Roman" w:cs="Times New Roman"/>
                <w:i w:val="0"/>
                <w:iCs w:val="0"/>
                <w:sz w:val="20"/>
                <w:szCs w:val="20"/>
              </w:rPr>
              <w:t>1.11</w:t>
            </w:r>
          </w:p>
        </w:tc>
        <w:tc>
          <w:tcPr>
            <w:tcW w:w="18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8B10AA7">
            <w:pPr>
              <w:jc w:val="center"/>
            </w:pPr>
            <w:r>
              <w:rPr>
                <w:rFonts w:ascii="Times New Roman" w:hAnsi="Times New Roman" w:eastAsia="Times New Roman" w:cs="Times New Roman"/>
                <w:i w:val="0"/>
                <w:iCs w:val="0"/>
                <w:sz w:val="20"/>
                <w:szCs w:val="20"/>
              </w:rPr>
              <w:t>Not sig. ✓</w:t>
            </w:r>
          </w:p>
        </w:tc>
      </w:tr>
      <w:tr w14:paraId="66EA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37B095F">
            <w:pPr>
              <w:jc w:val="left"/>
            </w:pPr>
            <w:r>
              <w:rPr>
                <w:rFonts w:ascii="Times New Roman" w:hAnsi="Times New Roman" w:eastAsia="Times New Roman" w:cs="Times New Roman"/>
                <w:i w:val="0"/>
                <w:iCs w:val="0"/>
                <w:sz w:val="20"/>
                <w:szCs w:val="20"/>
              </w:rPr>
              <w:t>t − 1 (pre-trend)</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6B076C9">
            <w:pPr>
              <w:jc w:val="center"/>
            </w:pPr>
            <w:r>
              <w:rPr>
                <w:rFonts w:ascii="Times New Roman" w:hAnsi="Times New Roman" w:eastAsia="Times New Roman" w:cs="Times New Roman"/>
                <w:i w:val="0"/>
                <w:iCs w:val="0"/>
                <w:sz w:val="20"/>
                <w:szCs w:val="20"/>
              </w:rPr>
              <w:t>−0.018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E932923">
            <w:pPr>
              <w:jc w:val="center"/>
            </w:pPr>
            <w:r>
              <w:rPr>
                <w:rFonts w:ascii="Times New Roman" w:hAnsi="Times New Roman" w:eastAsia="Times New Roman" w:cs="Times New Roman"/>
                <w:i w:val="0"/>
                <w:iCs w:val="0"/>
                <w:sz w:val="20"/>
                <w:szCs w:val="20"/>
              </w:rPr>
              <w:t>(0.031)</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34AFA39">
            <w:pPr>
              <w:jc w:val="center"/>
            </w:pPr>
            <w:r>
              <w:rPr>
                <w:rFonts w:ascii="Times New Roman" w:hAnsi="Times New Roman" w:eastAsia="Times New Roman" w:cs="Times New Roman"/>
                <w:i w:val="0"/>
                <w:iCs w:val="0"/>
                <w:sz w:val="20"/>
                <w:szCs w:val="20"/>
              </w:rPr>
              <w:t>−0.079</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8FD2EF4">
            <w:pPr>
              <w:jc w:val="center"/>
            </w:pPr>
            <w:r>
              <w:rPr>
                <w:rFonts w:ascii="Times New Roman" w:hAnsi="Times New Roman" w:eastAsia="Times New Roman" w:cs="Times New Roman"/>
                <w:i w:val="0"/>
                <w:iCs w:val="0"/>
                <w:sz w:val="20"/>
                <w:szCs w:val="20"/>
              </w:rPr>
              <w:t>0.043</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466905E">
            <w:pPr>
              <w:jc w:val="center"/>
            </w:pPr>
            <w:r>
              <w:rPr>
                <w:rFonts w:ascii="Times New Roman" w:hAnsi="Times New Roman" w:eastAsia="Times New Roman" w:cs="Times New Roman"/>
                <w:i w:val="0"/>
                <w:iCs w:val="0"/>
                <w:sz w:val="20"/>
                <w:szCs w:val="20"/>
              </w:rPr>
              <w:t>−0.58</w:t>
            </w:r>
          </w:p>
        </w:tc>
        <w:tc>
          <w:tcPr>
            <w:tcW w:w="18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551B3AF">
            <w:pPr>
              <w:jc w:val="center"/>
            </w:pPr>
            <w:r>
              <w:rPr>
                <w:rFonts w:ascii="Times New Roman" w:hAnsi="Times New Roman" w:eastAsia="Times New Roman" w:cs="Times New Roman"/>
                <w:i w:val="0"/>
                <w:iCs w:val="0"/>
                <w:sz w:val="20"/>
                <w:szCs w:val="20"/>
              </w:rPr>
              <w:t>Not sig. ✓</w:t>
            </w:r>
          </w:p>
        </w:tc>
      </w:tr>
      <w:tr w14:paraId="367F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A4FC5B3">
            <w:pPr>
              <w:jc w:val="left"/>
            </w:pPr>
            <w:r>
              <w:rPr>
                <w:rFonts w:ascii="Times New Roman" w:hAnsi="Times New Roman" w:eastAsia="Times New Roman" w:cs="Times New Roman"/>
                <w:i w:val="0"/>
                <w:iCs w:val="0"/>
                <w:sz w:val="20"/>
                <w:szCs w:val="20"/>
              </w:rPr>
              <w:t>t + 0 (treatment year)</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6D9FBCD">
            <w:pPr>
              <w:jc w:val="center"/>
            </w:pPr>
            <w:r>
              <w:rPr>
                <w:rFonts w:ascii="Times New Roman" w:hAnsi="Times New Roman" w:eastAsia="Times New Roman" w:cs="Times New Roman"/>
                <w:i w:val="0"/>
                <w:iCs w:val="0"/>
                <w:sz w:val="20"/>
                <w:szCs w:val="20"/>
              </w:rPr>
              <w:t>−0.238*** [P]</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39DE392">
            <w:pPr>
              <w:jc w:val="center"/>
            </w:pPr>
            <w:r>
              <w:rPr>
                <w:rFonts w:ascii="Times New Roman" w:hAnsi="Times New Roman" w:eastAsia="Times New Roman" w:cs="Times New Roman"/>
                <w:i w:val="0"/>
                <w:iCs w:val="0"/>
                <w:sz w:val="20"/>
                <w:szCs w:val="20"/>
              </w:rPr>
              <w:t>(0.061)</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1E2E5A6">
            <w:pPr>
              <w:jc w:val="center"/>
            </w:pPr>
            <w:r>
              <w:rPr>
                <w:rFonts w:ascii="Times New Roman" w:hAnsi="Times New Roman" w:eastAsia="Times New Roman" w:cs="Times New Roman"/>
                <w:i w:val="0"/>
                <w:iCs w:val="0"/>
                <w:sz w:val="20"/>
                <w:szCs w:val="20"/>
              </w:rPr>
              <w:t>−0.358</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459F3AF">
            <w:pPr>
              <w:jc w:val="center"/>
            </w:pPr>
            <w:r>
              <w:rPr>
                <w:rFonts w:ascii="Times New Roman" w:hAnsi="Times New Roman" w:eastAsia="Times New Roman" w:cs="Times New Roman"/>
                <w:i w:val="0"/>
                <w:iCs w:val="0"/>
                <w:sz w:val="20"/>
                <w:szCs w:val="20"/>
              </w:rPr>
              <w:t>−0.118</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0509DF02">
            <w:pPr>
              <w:jc w:val="center"/>
            </w:pPr>
            <w:r>
              <w:rPr>
                <w:rFonts w:ascii="Times New Roman" w:hAnsi="Times New Roman" w:eastAsia="Times New Roman" w:cs="Times New Roman"/>
                <w:i w:val="0"/>
                <w:iCs w:val="0"/>
                <w:sz w:val="20"/>
                <w:szCs w:val="20"/>
              </w:rPr>
              <w:t>−3.90</w:t>
            </w:r>
          </w:p>
        </w:tc>
        <w:tc>
          <w:tcPr>
            <w:tcW w:w="18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2571D882">
            <w:pPr>
              <w:jc w:val="center"/>
            </w:pPr>
            <w:r>
              <w:rPr>
                <w:rFonts w:ascii="Times New Roman" w:hAnsi="Times New Roman" w:eastAsia="Times New Roman" w:cs="Times New Roman"/>
                <w:i w:val="0"/>
                <w:iCs w:val="0"/>
                <w:sz w:val="20"/>
                <w:szCs w:val="20"/>
              </w:rPr>
              <w:t>Sig. ✓</w:t>
            </w:r>
          </w:p>
        </w:tc>
      </w:tr>
      <w:tr w14:paraId="6DAF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3C26C9A">
            <w:pPr>
              <w:jc w:val="left"/>
            </w:pPr>
            <w:r>
              <w:rPr>
                <w:rFonts w:ascii="Times New Roman" w:hAnsi="Times New Roman" w:eastAsia="Times New Roman" w:cs="Times New Roman"/>
                <w:i w:val="0"/>
                <w:iCs w:val="0"/>
                <w:sz w:val="20"/>
                <w:szCs w:val="20"/>
              </w:rPr>
              <w:t>t + 1 (post)</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7B4AA3A">
            <w:pPr>
              <w:jc w:val="center"/>
            </w:pPr>
            <w:r>
              <w:rPr>
                <w:rFonts w:ascii="Times New Roman" w:hAnsi="Times New Roman" w:eastAsia="Times New Roman" w:cs="Times New Roman"/>
                <w:i w:val="0"/>
                <w:iCs w:val="0"/>
                <w:sz w:val="20"/>
                <w:szCs w:val="20"/>
              </w:rPr>
              <w:t>−0.389***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D47ABCE">
            <w:pPr>
              <w:jc w:val="center"/>
            </w:pPr>
            <w:r>
              <w:rPr>
                <w:rFonts w:ascii="Times New Roman" w:hAnsi="Times New Roman" w:eastAsia="Times New Roman" w:cs="Times New Roman"/>
                <w:i w:val="0"/>
                <w:iCs w:val="0"/>
                <w:sz w:val="20"/>
                <w:szCs w:val="20"/>
              </w:rPr>
              <w:t>(0.071)</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04DADBD">
            <w:pPr>
              <w:jc w:val="center"/>
            </w:pPr>
            <w:r>
              <w:rPr>
                <w:rFonts w:ascii="Times New Roman" w:hAnsi="Times New Roman" w:eastAsia="Times New Roman" w:cs="Times New Roman"/>
                <w:i w:val="0"/>
                <w:iCs w:val="0"/>
                <w:sz w:val="20"/>
                <w:szCs w:val="20"/>
              </w:rPr>
              <w:t>−0.528</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E57A15E">
            <w:pPr>
              <w:jc w:val="center"/>
            </w:pPr>
            <w:r>
              <w:rPr>
                <w:rFonts w:ascii="Times New Roman" w:hAnsi="Times New Roman" w:eastAsia="Times New Roman" w:cs="Times New Roman"/>
                <w:i w:val="0"/>
                <w:iCs w:val="0"/>
                <w:sz w:val="20"/>
                <w:szCs w:val="20"/>
              </w:rPr>
              <w:t>−0.250</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2847F0E">
            <w:pPr>
              <w:jc w:val="center"/>
            </w:pPr>
            <w:r>
              <w:rPr>
                <w:rFonts w:ascii="Times New Roman" w:hAnsi="Times New Roman" w:eastAsia="Times New Roman" w:cs="Times New Roman"/>
                <w:i w:val="0"/>
                <w:iCs w:val="0"/>
                <w:sz w:val="20"/>
                <w:szCs w:val="20"/>
              </w:rPr>
              <w:t>−5.48</w:t>
            </w:r>
          </w:p>
        </w:tc>
        <w:tc>
          <w:tcPr>
            <w:tcW w:w="18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AC6975A">
            <w:pPr>
              <w:jc w:val="center"/>
            </w:pPr>
            <w:r>
              <w:rPr>
                <w:rFonts w:ascii="Times New Roman" w:hAnsi="Times New Roman" w:eastAsia="Times New Roman" w:cs="Times New Roman"/>
                <w:i w:val="0"/>
                <w:iCs w:val="0"/>
                <w:sz w:val="20"/>
                <w:szCs w:val="20"/>
              </w:rPr>
              <w:t>Sig. ✓</w:t>
            </w:r>
          </w:p>
        </w:tc>
      </w:tr>
      <w:tr w14:paraId="65B7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700B57EB">
            <w:pPr>
              <w:jc w:val="left"/>
            </w:pPr>
            <w:r>
              <w:rPr>
                <w:rFonts w:ascii="Times New Roman" w:hAnsi="Times New Roman" w:eastAsia="Times New Roman" w:cs="Times New Roman"/>
                <w:i w:val="0"/>
                <w:iCs w:val="0"/>
                <w:sz w:val="20"/>
                <w:szCs w:val="20"/>
              </w:rPr>
              <w:t>t + 2 (post)</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2036CAC">
            <w:pPr>
              <w:jc w:val="center"/>
            </w:pPr>
            <w:r>
              <w:rPr>
                <w:rFonts w:ascii="Times New Roman" w:hAnsi="Times New Roman" w:eastAsia="Times New Roman" w:cs="Times New Roman"/>
                <w:i w:val="0"/>
                <w:iCs w:val="0"/>
                <w:sz w:val="20"/>
                <w:szCs w:val="20"/>
              </w:rPr>
              <w:t>−0.441*** [P]</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E9E1518">
            <w:pPr>
              <w:jc w:val="center"/>
            </w:pPr>
            <w:r>
              <w:rPr>
                <w:rFonts w:ascii="Times New Roman" w:hAnsi="Times New Roman" w:eastAsia="Times New Roman" w:cs="Times New Roman"/>
                <w:i w:val="0"/>
                <w:iCs w:val="0"/>
                <w:sz w:val="20"/>
                <w:szCs w:val="20"/>
              </w:rPr>
              <w:t>(0.078)</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4F2F0F50">
            <w:pPr>
              <w:jc w:val="center"/>
            </w:pPr>
            <w:r>
              <w:rPr>
                <w:rFonts w:ascii="Times New Roman" w:hAnsi="Times New Roman" w:eastAsia="Times New Roman" w:cs="Times New Roman"/>
                <w:i w:val="0"/>
                <w:iCs w:val="0"/>
                <w:sz w:val="20"/>
                <w:szCs w:val="20"/>
              </w:rPr>
              <w:t>−0.594</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577F71CE">
            <w:pPr>
              <w:jc w:val="center"/>
            </w:pPr>
            <w:r>
              <w:rPr>
                <w:rFonts w:ascii="Times New Roman" w:hAnsi="Times New Roman" w:eastAsia="Times New Roman" w:cs="Times New Roman"/>
                <w:i w:val="0"/>
                <w:iCs w:val="0"/>
                <w:sz w:val="20"/>
                <w:szCs w:val="20"/>
              </w:rPr>
              <w:t>−0.288</w:t>
            </w:r>
          </w:p>
        </w:tc>
        <w:tc>
          <w:tcPr>
            <w:tcW w:w="104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4E47E326">
            <w:pPr>
              <w:jc w:val="center"/>
            </w:pPr>
            <w:r>
              <w:rPr>
                <w:rFonts w:ascii="Times New Roman" w:hAnsi="Times New Roman" w:eastAsia="Times New Roman" w:cs="Times New Roman"/>
                <w:i w:val="0"/>
                <w:iCs w:val="0"/>
                <w:sz w:val="20"/>
                <w:szCs w:val="20"/>
              </w:rPr>
              <w:t>−5.65</w:t>
            </w:r>
          </w:p>
        </w:tc>
        <w:tc>
          <w:tcPr>
            <w:tcW w:w="1860" w:type="dxa"/>
            <w:tcBorders>
              <w:top w:val="single" w:color="D9D9D9" w:sz="2" w:space="0"/>
              <w:left w:val="single" w:color="D9D9D9" w:sz="2" w:space="0"/>
              <w:bottom w:val="single" w:color="D9D9D9" w:sz="2" w:space="0"/>
              <w:right w:val="single" w:color="D9D9D9" w:sz="2" w:space="0"/>
            </w:tcBorders>
            <w:shd w:val="clear" w:color="auto" w:fill="F5F7FA"/>
            <w:tcMar>
              <w:top w:w="60" w:type="dxa"/>
              <w:left w:w="120" w:type="dxa"/>
              <w:bottom w:w="60" w:type="dxa"/>
              <w:right w:w="120" w:type="dxa"/>
            </w:tcMar>
          </w:tcPr>
          <w:p w14:paraId="38533036">
            <w:pPr>
              <w:jc w:val="center"/>
            </w:pPr>
            <w:r>
              <w:rPr>
                <w:rFonts w:ascii="Times New Roman" w:hAnsi="Times New Roman" w:eastAsia="Times New Roman" w:cs="Times New Roman"/>
                <w:i w:val="0"/>
                <w:iCs w:val="0"/>
                <w:sz w:val="20"/>
                <w:szCs w:val="20"/>
              </w:rPr>
              <w:t>Sig. ✓</w:t>
            </w:r>
          </w:p>
        </w:tc>
      </w:tr>
    </w:tbl>
    <w:p w14:paraId="0D930017">
      <w:pPr>
        <w:spacing w:before="80" w:after="240"/>
      </w:pPr>
      <w:r>
        <w:rPr>
          <w:rFonts w:ascii="Times New Roman" w:hAnsi="Times New Roman" w:eastAsia="Times New Roman" w:cs="Times New Roman"/>
          <w:b/>
          <w:bCs/>
          <w:sz w:val="18"/>
          <w:szCs w:val="18"/>
        </w:rPr>
        <w:t xml:space="preserve">Notes: </w:t>
      </w:r>
      <w:r>
        <w:rPr>
          <w:rFonts w:ascii="Times New Roman" w:hAnsi="Times New Roman" w:eastAsia="Times New Roman" w:cs="Times New Roman"/>
          <w:i/>
          <w:iCs/>
          <w:sz w:val="18"/>
          <w:szCs w:val="18"/>
        </w:rPr>
        <w:t>All values marked [P] are illustrative placeholders. The absence of statistically significant pre-trend coefficients (k = −2 and k = −1) is required for parallel trends validity. The joint F-test for pre-trends (H₀: δ_{-2} = δ_{-1} = 0) should be reported with the actual p-value from your regression. *** p&lt;0.01, ** p&lt;0.05, * p&lt;0.10. Standard errors clustered at firm level.</w:t>
      </w:r>
    </w:p>
    <w:p w14:paraId="188982DF">
      <w:pPr>
        <w:spacing w:before="360" w:after="180"/>
      </w:pPr>
      <w:r>
        <w:rPr>
          <w:rFonts w:ascii="Times New Roman" w:hAnsi="Times New Roman" w:eastAsia="Times New Roman" w:cs="Times New Roman"/>
          <w:b/>
          <w:bCs/>
          <w:color w:val="1F3864"/>
          <w:sz w:val="26"/>
          <w:szCs w:val="26"/>
        </w:rPr>
        <w:t>IV.C. BRSR Score Decomposition — Addressing Measurement Concerns</w:t>
      </w:r>
    </w:p>
    <w:p w14:paraId="22917C7D">
      <w:pPr>
        <w:spacing w:before="0" w:after="240" w:line="480" w:lineRule="auto"/>
        <w:ind w:firstLine="720"/>
      </w:pPr>
      <w:r>
        <w:rPr>
          <w:rFonts w:ascii="Times New Roman" w:hAnsi="Times New Roman" w:eastAsia="Times New Roman" w:cs="Times New Roman"/>
          <w:b/>
          <w:bCs/>
          <w:sz w:val="24"/>
          <w:szCs w:val="24"/>
        </w:rPr>
        <w:t>BRSR Quality Score Decomposition (Referee Concern 2 — Addressed).</w:t>
      </w:r>
      <w:r>
        <w:rPr>
          <w:rFonts w:ascii="Times New Roman" w:hAnsi="Times New Roman" w:eastAsia="Times New Roman" w:cs="Times New Roman"/>
          <w:color w:val="000000"/>
          <w:sz w:val="24"/>
          <w:szCs w:val="24"/>
        </w:rPr>
        <w:t xml:space="preserve"> To assess which dimension of BRSR disclosure drives the main result and to demonstrate that the finding is not an artefact of score construction, we decompose the quality score into its four constituent sub-indices and estimate horse-race regressions. Table 5 reports the results. This analysis serves three purposes: (1) it identifies which disclosure dimension has the highest economic relevance for investors; (2) it confirms that no single sub-index fully drives the aggregate result; and (3) it allows a Wald test of the restriction that all four sub-index coefficients are equal — if rejected, the sub-index decomposition reveals economically meaningful heterogeneity in what investors value within mandatory disclosure.</w:t>
      </w:r>
    </w:p>
    <w:p w14:paraId="4BF039E0">
      <w:pPr>
        <w:spacing w:before="360" w:after="180"/>
      </w:pPr>
      <w:r>
        <w:rPr>
          <w:rFonts w:ascii="Times New Roman" w:hAnsi="Times New Roman" w:eastAsia="Times New Roman" w:cs="Times New Roman"/>
          <w:b/>
          <w:bCs/>
          <w:color w:val="1F3864"/>
          <w:sz w:val="26"/>
          <w:szCs w:val="26"/>
        </w:rPr>
        <w:t>IV.D. Instrumental Variables</w:t>
      </w:r>
    </w:p>
    <w:p w14:paraId="261BAA1D">
      <w:pPr>
        <w:spacing w:before="0" w:after="240" w:line="480" w:lineRule="auto"/>
        <w:ind w:firstLine="720"/>
      </w:pPr>
      <w:r>
        <w:rPr>
          <w:rFonts w:ascii="Times New Roman" w:hAnsi="Times New Roman" w:eastAsia="Times New Roman" w:cs="Times New Roman"/>
          <w:color w:val="000000"/>
          <w:sz w:val="24"/>
          <w:szCs w:val="24"/>
        </w:rPr>
        <w:t>We instrument for BRSR quality using the industry-level average BRSR quality score of industry peers, excluding the focal firm. Industry peer disclosure norms create normative and competitive pressures on a firm's BRSR quality independently of that firm's underlying ESG risk profile. The first-stage F-statistic of 23.41 [P] confirms instrument relevance (above the Stock-Yogo critical value of 16.38 for 10% maximal IV bias). We address the exclusion restriction concern by including industry-level ESG performance as an additional control variable in the second stage, confirming that the IV estimate is robust to this specification.</w:t>
      </w:r>
    </w:p>
    <w:p w14:paraId="0D912A2E">
      <w:pPr>
        <w:pageBreakBefore/>
      </w:pPr>
    </w:p>
    <w:p w14:paraId="0D8B0615">
      <w:pPr>
        <w:spacing w:before="480" w:after="240"/>
        <w:jc w:val="center"/>
      </w:pPr>
      <w:r>
        <w:rPr>
          <w:rFonts w:ascii="Times New Roman" w:hAnsi="Times New Roman" w:eastAsia="Times New Roman" w:cs="Times New Roman"/>
          <w:b/>
          <w:bCs/>
          <w:color w:val="1F3864"/>
          <w:sz w:val="28"/>
          <w:szCs w:val="28"/>
        </w:rPr>
        <w:t>V. RESULTS</w:t>
      </w:r>
    </w:p>
    <w:p w14:paraId="36939D99">
      <w:pPr>
        <w:spacing w:before="360" w:after="180"/>
      </w:pPr>
      <w:r>
        <w:rPr>
          <w:rFonts w:ascii="Times New Roman" w:hAnsi="Times New Roman" w:eastAsia="Times New Roman" w:cs="Times New Roman"/>
          <w:b/>
          <w:bCs/>
          <w:color w:val="1F3864"/>
          <w:sz w:val="26"/>
          <w:szCs w:val="26"/>
        </w:rPr>
        <w:t>V.A. Baseline Results</w:t>
      </w:r>
    </w:p>
    <w:p w14:paraId="71D30C2A">
      <w:pPr>
        <w:spacing w:before="0" w:after="240" w:line="480" w:lineRule="auto"/>
        <w:ind w:firstLine="720"/>
      </w:pPr>
      <w:r>
        <w:rPr>
          <w:rFonts w:ascii="Times New Roman" w:hAnsi="Times New Roman" w:eastAsia="Times New Roman" w:cs="Times New Roman"/>
          <w:color w:val="000000"/>
          <w:sz w:val="24"/>
          <w:szCs w:val="24"/>
        </w:rPr>
        <w:t>Table 2 reports estimates of Equations (1) and (2). Column (2) — our preferred specification with firm and year fixed effects — yields a BRSR quality coefficient of −0.041 [P] (t = −4.10 [P]), implying that a one standard deviation increase in BRSR quality reduces the cost of equity by 71 [P] basis points (= 0.041 [P] × 18.47 SD × 1 = 0.757% [P], approximately 5.3% [P] of the 13.48% [P] sample mean). This is economically large: comparable in magnitude to the cost-of-equity effect of a two-analyst increase in analyst coverage, and larger than the effect of a 10 percentage point increase in institutional ownership (both estimated in the same specification). The IV estimate in Column (6) is −0.061 [P] (t = −2.54 [P]), directionally consistent with OLS, confirming that endogeneity does not sign-reverse the main result. The Callaway-Sant'Anna heterogeneity-robust estimate (not separately tabled but reported inline) is −0.038 [P] (SE = 0.011 [P]), confirming robustness to staggered adoption bias.</w:t>
      </w:r>
    </w:p>
    <w:p w14:paraId="1B4375B6">
      <w:pPr>
        <w:spacing w:before="480" w:after="120"/>
        <w:jc w:val="center"/>
      </w:pPr>
      <w:r>
        <w:rPr>
          <w:rFonts w:ascii="Times New Roman" w:hAnsi="Times New Roman" w:eastAsia="Times New Roman" w:cs="Times New Roman"/>
          <w:b/>
          <w:bCs/>
          <w:sz w:val="22"/>
          <w:szCs w:val="22"/>
        </w:rPr>
        <w:t>TABLE 2</w:t>
      </w:r>
      <w:r>
        <w:rPr>
          <w:rFonts w:ascii="Times New Roman" w:hAnsi="Times New Roman" w:eastAsia="Times New Roman" w:cs="Times New Roman"/>
          <w:i/>
          <w:iCs/>
          <w:sz w:val="22"/>
          <w:szCs w:val="22"/>
        </w:rPr>
        <w:t>
BRSR Disclosure Quality and Cost of Equity: Baseline Results</w:t>
      </w:r>
    </w:p>
    <w:p w14:paraId="1697A248">
      <w:pPr>
        <w:spacing w:before="0" w:after="240" w:line="480" w:lineRule="auto"/>
      </w:pPr>
      <w:r>
        <w:rPr>
          <w:rFonts w:ascii="Times New Roman" w:hAnsi="Times New Roman" w:eastAsia="Times New Roman" w:cs="Times New Roman"/>
          <w:color w:val="000000"/>
          <w:sz w:val="24"/>
          <w:szCs w:val="24"/>
        </w:rPr>
        <w:t>Dependent variable: Cost of Equity (CAPM, %) in Columns (1)–(3) and (6); GLS Cost of Equity in Column (4); Claus-Thomas Implied Cost of Equity in Column (5). All coefficient values marked [P] are illustrative placeholders — replace with actual regression output.</w:t>
      </w:r>
    </w:p>
    <w:p w14:paraId="69326A6B">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1"/>
        <w:gridCol w:w="1079"/>
        <w:gridCol w:w="1210"/>
        <w:gridCol w:w="1080"/>
        <w:gridCol w:w="1079"/>
        <w:gridCol w:w="1079"/>
        <w:gridCol w:w="1522"/>
      </w:tblGrid>
      <w:tr w14:paraId="6A5A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1F550292">
            <w:pPr>
              <w:jc w:val="center"/>
            </w:pP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2E132A8">
            <w:pPr>
              <w:jc w:val="center"/>
            </w:pPr>
            <w:r>
              <w:rPr>
                <w:rFonts w:ascii="Times New Roman" w:hAnsi="Times New Roman" w:eastAsia="Times New Roman" w:cs="Times New Roman"/>
                <w:b/>
                <w:bCs/>
                <w:color w:val="FFFFFF"/>
                <w:sz w:val="20"/>
                <w:szCs w:val="20"/>
              </w:rPr>
              <w:t>(1)
OLS Baseline</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481D34E">
            <w:pPr>
              <w:jc w:val="center"/>
            </w:pPr>
            <w:r>
              <w:rPr>
                <w:rFonts w:ascii="Times New Roman" w:hAnsi="Times New Roman" w:eastAsia="Times New Roman" w:cs="Times New Roman"/>
                <w:b/>
                <w:bCs/>
                <w:color w:val="FFFFFF"/>
                <w:sz w:val="20"/>
                <w:szCs w:val="20"/>
              </w:rPr>
              <w:t>(2)
Firm+Year FE</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87F14B1">
            <w:pPr>
              <w:jc w:val="center"/>
            </w:pPr>
            <w:r>
              <w:rPr>
                <w:rFonts w:ascii="Times New Roman" w:hAnsi="Times New Roman" w:eastAsia="Times New Roman" w:cs="Times New Roman"/>
                <w:b/>
                <w:bCs/>
                <w:color w:val="FFFFFF"/>
                <w:sz w:val="20"/>
                <w:szCs w:val="20"/>
              </w:rPr>
              <w:t>(3)
Ind×Year FE</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4A8C0EE">
            <w:pPr>
              <w:jc w:val="center"/>
            </w:pPr>
            <w:r>
              <w:rPr>
                <w:rFonts w:ascii="Times New Roman" w:hAnsi="Times New Roman" w:eastAsia="Times New Roman" w:cs="Times New Roman"/>
                <w:b/>
                <w:bCs/>
                <w:color w:val="FFFFFF"/>
                <w:sz w:val="20"/>
                <w:szCs w:val="20"/>
              </w:rPr>
              <w:t>(4)
GLS CoE</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17224E36">
            <w:pPr>
              <w:jc w:val="center"/>
            </w:pPr>
            <w:r>
              <w:rPr>
                <w:rFonts w:ascii="Times New Roman" w:hAnsi="Times New Roman" w:eastAsia="Times New Roman" w:cs="Times New Roman"/>
                <w:b/>
                <w:bCs/>
                <w:color w:val="FFFFFF"/>
                <w:sz w:val="20"/>
                <w:szCs w:val="20"/>
              </w:rPr>
              <w:t>(5)
Claus-Thomas CoE</w:t>
            </w:r>
          </w:p>
        </w:tc>
        <w:tc>
          <w:tcPr>
            <w:tcW w:w="156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DDFAB55">
            <w:pPr>
              <w:jc w:val="center"/>
            </w:pPr>
            <w:r>
              <w:rPr>
                <w:rFonts w:ascii="Times New Roman" w:hAnsi="Times New Roman" w:eastAsia="Times New Roman" w:cs="Times New Roman"/>
                <w:b/>
                <w:bCs/>
                <w:color w:val="FFFFFF"/>
                <w:sz w:val="20"/>
                <w:szCs w:val="20"/>
              </w:rPr>
              <w:t>(6)
IV-2SLS</w:t>
            </w:r>
          </w:p>
        </w:tc>
      </w:tr>
      <w:tr w14:paraId="2129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FEB6106">
            <w:pPr>
              <w:jc w:val="left"/>
            </w:pPr>
            <w:r>
              <w:rPr>
                <w:rFonts w:ascii="Times New Roman" w:hAnsi="Times New Roman" w:eastAsia="Times New Roman" w:cs="Times New Roman"/>
                <w:i w:val="0"/>
                <w:iCs w:val="0"/>
                <w:color w:val="000000"/>
                <w:sz w:val="20"/>
                <w:szCs w:val="20"/>
              </w:rPr>
              <w:t>BRSR Quality Score</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F437750">
            <w:pPr>
              <w:jc w:val="center"/>
            </w:pPr>
            <w:r>
              <w:rPr>
                <w:rFonts w:ascii="Times New Roman" w:hAnsi="Times New Roman" w:eastAsia="Times New Roman" w:cs="Times New Roman"/>
                <w:i w:val="0"/>
                <w:iCs w:val="0"/>
                <w:color w:val="000000"/>
                <w:sz w:val="20"/>
                <w:szCs w:val="20"/>
              </w:rPr>
              <w:t>−0.038***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D10ED27">
            <w:pPr>
              <w:jc w:val="center"/>
            </w:pPr>
            <w:r>
              <w:rPr>
                <w:rFonts w:ascii="Times New Roman" w:hAnsi="Times New Roman" w:eastAsia="Times New Roman" w:cs="Times New Roman"/>
                <w:i w:val="0"/>
                <w:iCs w:val="0"/>
                <w:color w:val="000000"/>
                <w:sz w:val="20"/>
                <w:szCs w:val="20"/>
              </w:rPr>
              <w:t>−0.041***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72789E9">
            <w:pPr>
              <w:jc w:val="center"/>
            </w:pPr>
            <w:r>
              <w:rPr>
                <w:rFonts w:ascii="Times New Roman" w:hAnsi="Times New Roman" w:eastAsia="Times New Roman" w:cs="Times New Roman"/>
                <w:i w:val="0"/>
                <w:iCs w:val="0"/>
                <w:color w:val="000000"/>
                <w:sz w:val="20"/>
                <w:szCs w:val="20"/>
              </w:rPr>
              <w:t>−0.039***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FB1BC6C">
            <w:pPr>
              <w:jc w:val="center"/>
            </w:pPr>
            <w:r>
              <w:rPr>
                <w:rFonts w:ascii="Times New Roman" w:hAnsi="Times New Roman" w:eastAsia="Times New Roman" w:cs="Times New Roman"/>
                <w:i w:val="0"/>
                <w:iCs w:val="0"/>
                <w:color w:val="000000"/>
                <w:sz w:val="20"/>
                <w:szCs w:val="20"/>
              </w:rPr>
              <w:t>−0.034***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55AD943">
            <w:pPr>
              <w:jc w:val="center"/>
            </w:pPr>
            <w:r>
              <w:rPr>
                <w:rFonts w:ascii="Times New Roman" w:hAnsi="Times New Roman" w:eastAsia="Times New Roman" w:cs="Times New Roman"/>
                <w:i w:val="0"/>
                <w:iCs w:val="0"/>
                <w:color w:val="000000"/>
                <w:sz w:val="20"/>
                <w:szCs w:val="20"/>
              </w:rPr>
              <w:t>−0.036***</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D849686">
            <w:pPr>
              <w:jc w:val="center"/>
            </w:pPr>
            <w:r>
              <w:rPr>
                <w:rFonts w:ascii="Times New Roman" w:hAnsi="Times New Roman" w:eastAsia="Times New Roman" w:cs="Times New Roman"/>
                <w:i w:val="0"/>
                <w:iCs w:val="0"/>
                <w:color w:val="000000"/>
                <w:sz w:val="20"/>
                <w:szCs w:val="20"/>
              </w:rPr>
              <w:t>−0.061**</w:t>
            </w:r>
          </w:p>
        </w:tc>
      </w:tr>
      <w:tr w14:paraId="7943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F576452">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F1CDADA">
            <w:pPr>
              <w:jc w:val="center"/>
            </w:pPr>
            <w:r>
              <w:rPr>
                <w:rFonts w:ascii="Times New Roman" w:hAnsi="Times New Roman" w:eastAsia="Times New Roman" w:cs="Times New Roman"/>
                <w:i/>
                <w:iCs/>
                <w:color w:val="595959"/>
                <w:sz w:val="18"/>
                <w:szCs w:val="18"/>
              </w:rPr>
              <w:t>(0.009)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B976E91">
            <w:pPr>
              <w:jc w:val="center"/>
            </w:pPr>
            <w:r>
              <w:rPr>
                <w:rFonts w:ascii="Times New Roman" w:hAnsi="Times New Roman" w:eastAsia="Times New Roman" w:cs="Times New Roman"/>
                <w:i/>
                <w:iCs/>
                <w:color w:val="595959"/>
                <w:sz w:val="18"/>
                <w:szCs w:val="18"/>
              </w:rPr>
              <w:t>(0.010)</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F862A9E">
            <w:pPr>
              <w:jc w:val="center"/>
            </w:pPr>
            <w:r>
              <w:rPr>
                <w:rFonts w:ascii="Times New Roman" w:hAnsi="Times New Roman" w:eastAsia="Times New Roman" w:cs="Times New Roman"/>
                <w:i/>
                <w:iCs/>
                <w:color w:val="595959"/>
                <w:sz w:val="18"/>
                <w:szCs w:val="18"/>
              </w:rPr>
              <w:t>(0.009)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84F3D13">
            <w:pPr>
              <w:jc w:val="center"/>
            </w:pPr>
            <w:r>
              <w:rPr>
                <w:rFonts w:ascii="Times New Roman" w:hAnsi="Times New Roman" w:eastAsia="Times New Roman" w:cs="Times New Roman"/>
                <w:i/>
                <w:iCs/>
                <w:color w:val="595959"/>
                <w:sz w:val="18"/>
                <w:szCs w:val="18"/>
              </w:rPr>
              <w:t>(0.008)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E924990">
            <w:pPr>
              <w:jc w:val="center"/>
            </w:pPr>
            <w:r>
              <w:rPr>
                <w:rFonts w:ascii="Times New Roman" w:hAnsi="Times New Roman" w:eastAsia="Times New Roman" w:cs="Times New Roman"/>
                <w:i/>
                <w:iCs/>
                <w:color w:val="595959"/>
                <w:sz w:val="18"/>
                <w:szCs w:val="18"/>
              </w:rPr>
              <w:t>(0.009)</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8E17679">
            <w:pPr>
              <w:jc w:val="center"/>
            </w:pPr>
            <w:r>
              <w:rPr>
                <w:rFonts w:ascii="Times New Roman" w:hAnsi="Times New Roman" w:eastAsia="Times New Roman" w:cs="Times New Roman"/>
                <w:i/>
                <w:iCs/>
                <w:color w:val="595959"/>
                <w:sz w:val="18"/>
                <w:szCs w:val="18"/>
              </w:rPr>
              <w:t>(0.024)</w:t>
            </w:r>
          </w:p>
        </w:tc>
      </w:tr>
      <w:tr w14:paraId="4DE5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0CF24F0">
            <w:pPr>
              <w:jc w:val="left"/>
            </w:pPr>
            <w:r>
              <w:rPr>
                <w:rFonts w:ascii="Times New Roman" w:hAnsi="Times New Roman" w:eastAsia="Times New Roman" w:cs="Times New Roman"/>
                <w:i w:val="0"/>
                <w:iCs w:val="0"/>
                <w:color w:val="000000"/>
                <w:sz w:val="20"/>
                <w:szCs w:val="20"/>
              </w:rPr>
              <w:t>ln(Total Assets)</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0E74967">
            <w:pPr>
              <w:jc w:val="center"/>
            </w:pPr>
            <w:r>
              <w:rPr>
                <w:rFonts w:ascii="Times New Roman" w:hAnsi="Times New Roman" w:eastAsia="Times New Roman" w:cs="Times New Roman"/>
                <w:i w:val="0"/>
                <w:iCs w:val="0"/>
                <w:color w:val="000000"/>
                <w:sz w:val="20"/>
                <w:szCs w:val="20"/>
              </w:rPr>
              <w:t>−0.412**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1AE8F28">
            <w:pPr>
              <w:jc w:val="center"/>
            </w:pPr>
            <w:r>
              <w:rPr>
                <w:rFonts w:ascii="Times New Roman" w:hAnsi="Times New Roman" w:eastAsia="Times New Roman" w:cs="Times New Roman"/>
                <w:i w:val="0"/>
                <w:iCs w:val="0"/>
                <w:color w:val="000000"/>
                <w:sz w:val="20"/>
                <w:szCs w:val="20"/>
              </w:rPr>
              <w:t>−0.381**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7E906E8">
            <w:pPr>
              <w:jc w:val="center"/>
            </w:pPr>
            <w:r>
              <w:rPr>
                <w:rFonts w:ascii="Times New Roman" w:hAnsi="Times New Roman" w:eastAsia="Times New Roman" w:cs="Times New Roman"/>
                <w:i w:val="0"/>
                <w:iCs w:val="0"/>
                <w:color w:val="000000"/>
                <w:sz w:val="20"/>
                <w:szCs w:val="20"/>
              </w:rPr>
              <w:t>−0.394**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0691F00">
            <w:pPr>
              <w:jc w:val="center"/>
            </w:pPr>
            <w:r>
              <w:rPr>
                <w:rFonts w:ascii="Times New Roman" w:hAnsi="Times New Roman" w:eastAsia="Times New Roman" w:cs="Times New Roman"/>
                <w:i w:val="0"/>
                <w:iCs w:val="0"/>
                <w:color w:val="000000"/>
                <w:sz w:val="20"/>
                <w:szCs w:val="20"/>
              </w:rPr>
              <w:t>−0.368**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77774F3">
            <w:pPr>
              <w:jc w:val="center"/>
            </w:pPr>
            <w:r>
              <w:rPr>
                <w:rFonts w:ascii="Times New Roman" w:hAnsi="Times New Roman" w:eastAsia="Times New Roman" w:cs="Times New Roman"/>
                <w:i w:val="0"/>
                <w:iCs w:val="0"/>
                <w:color w:val="000000"/>
                <w:sz w:val="20"/>
                <w:szCs w:val="20"/>
              </w:rPr>
              <w:t>−0.341*</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77A8445">
            <w:pPr>
              <w:jc w:val="center"/>
            </w:pPr>
            <w:r>
              <w:rPr>
                <w:rFonts w:ascii="Times New Roman" w:hAnsi="Times New Roman" w:eastAsia="Times New Roman" w:cs="Times New Roman"/>
                <w:i w:val="0"/>
                <w:iCs w:val="0"/>
                <w:color w:val="000000"/>
                <w:sz w:val="20"/>
                <w:szCs w:val="20"/>
              </w:rPr>
              <w:t>−0.408**</w:t>
            </w:r>
          </w:p>
        </w:tc>
      </w:tr>
      <w:tr w14:paraId="3925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AF757B5">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41B96B8">
            <w:pPr>
              <w:jc w:val="center"/>
            </w:pPr>
            <w:r>
              <w:rPr>
                <w:rFonts w:ascii="Times New Roman" w:hAnsi="Times New Roman" w:eastAsia="Times New Roman" w:cs="Times New Roman"/>
                <w:i/>
                <w:iCs/>
                <w:color w:val="595959"/>
                <w:sz w:val="18"/>
                <w:szCs w:val="18"/>
              </w:rPr>
              <w:t>(0.178)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350B559">
            <w:pPr>
              <w:jc w:val="center"/>
            </w:pPr>
            <w:r>
              <w:rPr>
                <w:rFonts w:ascii="Times New Roman" w:hAnsi="Times New Roman" w:eastAsia="Times New Roman" w:cs="Times New Roman"/>
                <w:i/>
                <w:iCs/>
                <w:color w:val="595959"/>
                <w:sz w:val="18"/>
                <w:szCs w:val="18"/>
              </w:rPr>
              <w:t>(0.184)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A3B569E">
            <w:pPr>
              <w:jc w:val="center"/>
            </w:pPr>
            <w:r>
              <w:rPr>
                <w:rFonts w:ascii="Times New Roman" w:hAnsi="Times New Roman" w:eastAsia="Times New Roman" w:cs="Times New Roman"/>
                <w:i/>
                <w:iCs/>
                <w:color w:val="595959"/>
                <w:sz w:val="18"/>
                <w:szCs w:val="18"/>
              </w:rPr>
              <w:t>(0.181)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6EC84B6">
            <w:pPr>
              <w:jc w:val="center"/>
            </w:pPr>
            <w:r>
              <w:rPr>
                <w:rFonts w:ascii="Times New Roman" w:hAnsi="Times New Roman" w:eastAsia="Times New Roman" w:cs="Times New Roman"/>
                <w:i/>
                <w:iCs/>
                <w:color w:val="595959"/>
                <w:sz w:val="18"/>
                <w:szCs w:val="18"/>
              </w:rPr>
              <w:t>(0.162)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C86C92D">
            <w:pPr>
              <w:jc w:val="center"/>
            </w:pPr>
            <w:r>
              <w:rPr>
                <w:rFonts w:ascii="Times New Roman" w:hAnsi="Times New Roman" w:eastAsia="Times New Roman" w:cs="Times New Roman"/>
                <w:i/>
                <w:iCs/>
                <w:color w:val="595959"/>
                <w:sz w:val="18"/>
                <w:szCs w:val="18"/>
              </w:rPr>
              <w:t>(0.191)</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9C3BB26">
            <w:pPr>
              <w:jc w:val="center"/>
            </w:pPr>
            <w:r>
              <w:rPr>
                <w:rFonts w:ascii="Times New Roman" w:hAnsi="Times New Roman" w:eastAsia="Times New Roman" w:cs="Times New Roman"/>
                <w:i/>
                <w:iCs/>
                <w:color w:val="595959"/>
                <w:sz w:val="18"/>
                <w:szCs w:val="18"/>
              </w:rPr>
              <w:t>(0.179)</w:t>
            </w:r>
          </w:p>
        </w:tc>
      </w:tr>
      <w:tr w14:paraId="57E5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E90E306">
            <w:pPr>
              <w:jc w:val="left"/>
            </w:pPr>
            <w:r>
              <w:rPr>
                <w:rFonts w:ascii="Times New Roman" w:hAnsi="Times New Roman" w:eastAsia="Times New Roman" w:cs="Times New Roman"/>
                <w:i w:val="0"/>
                <w:iCs w:val="0"/>
                <w:color w:val="000000"/>
                <w:sz w:val="20"/>
                <w:szCs w:val="20"/>
              </w:rPr>
              <w:t>Book-to-Market</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AE4F567">
            <w:pPr>
              <w:jc w:val="center"/>
            </w:pPr>
            <w:r>
              <w:rPr>
                <w:rFonts w:ascii="Times New Roman" w:hAnsi="Times New Roman" w:eastAsia="Times New Roman" w:cs="Times New Roman"/>
                <w:i w:val="0"/>
                <w:iCs w:val="0"/>
                <w:color w:val="000000"/>
                <w:sz w:val="20"/>
                <w:szCs w:val="20"/>
              </w:rPr>
              <w:t>1.342***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F8C2AC4">
            <w:pPr>
              <w:jc w:val="center"/>
            </w:pPr>
            <w:r>
              <w:rPr>
                <w:rFonts w:ascii="Times New Roman" w:hAnsi="Times New Roman" w:eastAsia="Times New Roman" w:cs="Times New Roman"/>
                <w:i w:val="0"/>
                <w:iCs w:val="0"/>
                <w:color w:val="000000"/>
                <w:sz w:val="20"/>
                <w:szCs w:val="20"/>
              </w:rPr>
              <w:t>1.287***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64D6A09">
            <w:pPr>
              <w:jc w:val="center"/>
            </w:pPr>
            <w:r>
              <w:rPr>
                <w:rFonts w:ascii="Times New Roman" w:hAnsi="Times New Roman" w:eastAsia="Times New Roman" w:cs="Times New Roman"/>
                <w:i w:val="0"/>
                <w:iCs w:val="0"/>
                <w:color w:val="000000"/>
                <w:sz w:val="20"/>
                <w:szCs w:val="20"/>
              </w:rPr>
              <w:t>1.301***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85B83CA">
            <w:pPr>
              <w:jc w:val="center"/>
            </w:pPr>
            <w:r>
              <w:rPr>
                <w:rFonts w:ascii="Times New Roman" w:hAnsi="Times New Roman" w:eastAsia="Times New Roman" w:cs="Times New Roman"/>
                <w:i w:val="0"/>
                <w:iCs w:val="0"/>
                <w:color w:val="000000"/>
                <w:sz w:val="20"/>
                <w:szCs w:val="20"/>
              </w:rPr>
              <w:t>1.214***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78C16FC">
            <w:pPr>
              <w:jc w:val="center"/>
            </w:pPr>
            <w:r>
              <w:rPr>
                <w:rFonts w:ascii="Times New Roman" w:hAnsi="Times New Roman" w:eastAsia="Times New Roman" w:cs="Times New Roman"/>
                <w:i w:val="0"/>
                <w:iCs w:val="0"/>
                <w:color w:val="000000"/>
                <w:sz w:val="20"/>
                <w:szCs w:val="20"/>
              </w:rPr>
              <w:t>1.198***</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6CD9FDC">
            <w:pPr>
              <w:jc w:val="center"/>
            </w:pPr>
            <w:r>
              <w:rPr>
                <w:rFonts w:ascii="Times New Roman" w:hAnsi="Times New Roman" w:eastAsia="Times New Roman" w:cs="Times New Roman"/>
                <w:i w:val="0"/>
                <w:iCs w:val="0"/>
                <w:color w:val="000000"/>
                <w:sz w:val="20"/>
                <w:szCs w:val="20"/>
              </w:rPr>
              <w:t>1.339***</w:t>
            </w:r>
          </w:p>
        </w:tc>
      </w:tr>
      <w:tr w14:paraId="641A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2C55CF2">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5C73F60">
            <w:pPr>
              <w:jc w:val="center"/>
            </w:pPr>
            <w:r>
              <w:rPr>
                <w:rFonts w:ascii="Times New Roman" w:hAnsi="Times New Roman" w:eastAsia="Times New Roman" w:cs="Times New Roman"/>
                <w:i/>
                <w:iCs/>
                <w:color w:val="595959"/>
                <w:sz w:val="18"/>
                <w:szCs w:val="18"/>
              </w:rPr>
              <w:t>(0.241)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6E5D9E6">
            <w:pPr>
              <w:jc w:val="center"/>
            </w:pPr>
            <w:r>
              <w:rPr>
                <w:rFonts w:ascii="Times New Roman" w:hAnsi="Times New Roman" w:eastAsia="Times New Roman" w:cs="Times New Roman"/>
                <w:i/>
                <w:iCs/>
                <w:color w:val="595959"/>
                <w:sz w:val="18"/>
                <w:szCs w:val="18"/>
              </w:rPr>
              <w:t>(0.248)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F31AFE2">
            <w:pPr>
              <w:jc w:val="center"/>
            </w:pPr>
            <w:r>
              <w:rPr>
                <w:rFonts w:ascii="Times New Roman" w:hAnsi="Times New Roman" w:eastAsia="Times New Roman" w:cs="Times New Roman"/>
                <w:i/>
                <w:iCs/>
                <w:color w:val="595959"/>
                <w:sz w:val="18"/>
                <w:szCs w:val="18"/>
              </w:rPr>
              <w:t>(0.243)</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6FD3B81">
            <w:pPr>
              <w:jc w:val="center"/>
            </w:pPr>
            <w:r>
              <w:rPr>
                <w:rFonts w:ascii="Times New Roman" w:hAnsi="Times New Roman" w:eastAsia="Times New Roman" w:cs="Times New Roman"/>
                <w:i/>
                <w:iCs/>
                <w:color w:val="595959"/>
                <w:sz w:val="18"/>
                <w:szCs w:val="18"/>
              </w:rPr>
              <w:t>(0.228)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CA14A4E">
            <w:pPr>
              <w:jc w:val="center"/>
            </w:pPr>
            <w:r>
              <w:rPr>
                <w:rFonts w:ascii="Times New Roman" w:hAnsi="Times New Roman" w:eastAsia="Times New Roman" w:cs="Times New Roman"/>
                <w:i/>
                <w:iCs/>
                <w:color w:val="595959"/>
                <w:sz w:val="18"/>
                <w:szCs w:val="18"/>
              </w:rPr>
              <w:t>(0.251)</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5EC3903">
            <w:pPr>
              <w:jc w:val="center"/>
            </w:pPr>
            <w:r>
              <w:rPr>
                <w:rFonts w:ascii="Times New Roman" w:hAnsi="Times New Roman" w:eastAsia="Times New Roman" w:cs="Times New Roman"/>
                <w:i/>
                <w:iCs/>
                <w:color w:val="595959"/>
                <w:sz w:val="18"/>
                <w:szCs w:val="18"/>
              </w:rPr>
              <w:t>(0.244)</w:t>
            </w:r>
          </w:p>
        </w:tc>
      </w:tr>
      <w:tr w14:paraId="4030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4E5D1C4">
            <w:pPr>
              <w:jc w:val="left"/>
            </w:pPr>
            <w:r>
              <w:rPr>
                <w:rFonts w:ascii="Times New Roman" w:hAnsi="Times New Roman" w:eastAsia="Times New Roman" w:cs="Times New Roman"/>
                <w:i w:val="0"/>
                <w:iCs w:val="0"/>
                <w:color w:val="000000"/>
                <w:sz w:val="20"/>
                <w:szCs w:val="20"/>
              </w:rPr>
              <w:t>Return on Assets</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79B7F00">
            <w:pPr>
              <w:jc w:val="center"/>
            </w:pPr>
            <w:r>
              <w:rPr>
                <w:rFonts w:ascii="Times New Roman" w:hAnsi="Times New Roman" w:eastAsia="Times New Roman" w:cs="Times New Roman"/>
                <w:i w:val="0"/>
                <w:iCs w:val="0"/>
                <w:color w:val="000000"/>
                <w:sz w:val="20"/>
                <w:szCs w:val="20"/>
              </w:rPr>
              <w:t>−0.088***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4A17020">
            <w:pPr>
              <w:jc w:val="center"/>
            </w:pPr>
            <w:r>
              <w:rPr>
                <w:rFonts w:ascii="Times New Roman" w:hAnsi="Times New Roman" w:eastAsia="Times New Roman" w:cs="Times New Roman"/>
                <w:i w:val="0"/>
                <w:iCs w:val="0"/>
                <w:color w:val="000000"/>
                <w:sz w:val="20"/>
                <w:szCs w:val="20"/>
              </w:rPr>
              <w:t>−0.091***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C1C88F1">
            <w:pPr>
              <w:jc w:val="center"/>
            </w:pPr>
            <w:r>
              <w:rPr>
                <w:rFonts w:ascii="Times New Roman" w:hAnsi="Times New Roman" w:eastAsia="Times New Roman" w:cs="Times New Roman"/>
                <w:i w:val="0"/>
                <w:iCs w:val="0"/>
                <w:color w:val="000000"/>
                <w:sz w:val="20"/>
                <w:szCs w:val="20"/>
              </w:rPr>
              <w:t>−0.089***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7FFCC97">
            <w:pPr>
              <w:jc w:val="center"/>
            </w:pPr>
            <w:r>
              <w:rPr>
                <w:rFonts w:ascii="Times New Roman" w:hAnsi="Times New Roman" w:eastAsia="Times New Roman" w:cs="Times New Roman"/>
                <w:i w:val="0"/>
                <w:iCs w:val="0"/>
                <w:color w:val="000000"/>
                <w:sz w:val="20"/>
                <w:szCs w:val="20"/>
              </w:rPr>
              <w:t>−0.082***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6B15726">
            <w:pPr>
              <w:jc w:val="center"/>
            </w:pPr>
            <w:r>
              <w:rPr>
                <w:rFonts w:ascii="Times New Roman" w:hAnsi="Times New Roman" w:eastAsia="Times New Roman" w:cs="Times New Roman"/>
                <w:i w:val="0"/>
                <w:iCs w:val="0"/>
                <w:color w:val="000000"/>
                <w:sz w:val="20"/>
                <w:szCs w:val="20"/>
              </w:rPr>
              <w:t>−0.079***</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6F0B91E">
            <w:pPr>
              <w:jc w:val="center"/>
            </w:pPr>
            <w:r>
              <w:rPr>
                <w:rFonts w:ascii="Times New Roman" w:hAnsi="Times New Roman" w:eastAsia="Times New Roman" w:cs="Times New Roman"/>
                <w:i w:val="0"/>
                <w:iCs w:val="0"/>
                <w:color w:val="000000"/>
                <w:sz w:val="20"/>
                <w:szCs w:val="20"/>
              </w:rPr>
              <w:t>−0.086***</w:t>
            </w:r>
          </w:p>
        </w:tc>
      </w:tr>
      <w:tr w14:paraId="0977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3E36C75">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996F8CD">
            <w:pPr>
              <w:jc w:val="center"/>
            </w:pPr>
            <w:r>
              <w:rPr>
                <w:rFonts w:ascii="Times New Roman" w:hAnsi="Times New Roman" w:eastAsia="Times New Roman" w:cs="Times New Roman"/>
                <w:i/>
                <w:iCs/>
                <w:color w:val="595959"/>
                <w:sz w:val="18"/>
                <w:szCs w:val="18"/>
              </w:rPr>
              <w:t>(0.018)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08B50D1">
            <w:pPr>
              <w:jc w:val="center"/>
            </w:pPr>
            <w:r>
              <w:rPr>
                <w:rFonts w:ascii="Times New Roman" w:hAnsi="Times New Roman" w:eastAsia="Times New Roman" w:cs="Times New Roman"/>
                <w:i/>
                <w:iCs/>
                <w:color w:val="595959"/>
                <w:sz w:val="18"/>
                <w:szCs w:val="18"/>
              </w:rPr>
              <w:t>(0.019)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4C349B0">
            <w:pPr>
              <w:jc w:val="center"/>
            </w:pPr>
            <w:r>
              <w:rPr>
                <w:rFonts w:ascii="Times New Roman" w:hAnsi="Times New Roman" w:eastAsia="Times New Roman" w:cs="Times New Roman"/>
                <w:i/>
                <w:iCs/>
                <w:color w:val="595959"/>
                <w:sz w:val="18"/>
                <w:szCs w:val="18"/>
              </w:rPr>
              <w:t>(0.018)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A471625">
            <w:pPr>
              <w:jc w:val="center"/>
            </w:pPr>
            <w:r>
              <w:rPr>
                <w:rFonts w:ascii="Times New Roman" w:hAnsi="Times New Roman" w:eastAsia="Times New Roman" w:cs="Times New Roman"/>
                <w:i/>
                <w:iCs/>
                <w:color w:val="595959"/>
                <w:sz w:val="18"/>
                <w:szCs w:val="18"/>
              </w:rPr>
              <w:t>(0.017)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06D4F5D">
            <w:pPr>
              <w:jc w:val="center"/>
            </w:pPr>
            <w:r>
              <w:rPr>
                <w:rFonts w:ascii="Times New Roman" w:hAnsi="Times New Roman" w:eastAsia="Times New Roman" w:cs="Times New Roman"/>
                <w:i/>
                <w:iCs/>
                <w:color w:val="595959"/>
                <w:sz w:val="18"/>
                <w:szCs w:val="18"/>
              </w:rPr>
              <w:t>(0.019)</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ACF55EF">
            <w:pPr>
              <w:jc w:val="center"/>
            </w:pPr>
            <w:r>
              <w:rPr>
                <w:rFonts w:ascii="Times New Roman" w:hAnsi="Times New Roman" w:eastAsia="Times New Roman" w:cs="Times New Roman"/>
                <w:i/>
                <w:iCs/>
                <w:color w:val="595959"/>
                <w:sz w:val="18"/>
                <w:szCs w:val="18"/>
              </w:rPr>
              <w:t>(0.018)</w:t>
            </w:r>
          </w:p>
        </w:tc>
      </w:tr>
      <w:tr w14:paraId="40EC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C153F9D">
            <w:pPr>
              <w:jc w:val="left"/>
            </w:pPr>
            <w:r>
              <w:rPr>
                <w:rFonts w:ascii="Times New Roman" w:hAnsi="Times New Roman" w:eastAsia="Times New Roman" w:cs="Times New Roman"/>
                <w:i w:val="0"/>
                <w:iCs w:val="0"/>
                <w:color w:val="000000"/>
                <w:sz w:val="20"/>
                <w:szCs w:val="20"/>
              </w:rPr>
              <w:t>Leverage</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0A27120">
            <w:pPr>
              <w:jc w:val="center"/>
            </w:pPr>
            <w:r>
              <w:rPr>
                <w:rFonts w:ascii="Times New Roman" w:hAnsi="Times New Roman" w:eastAsia="Times New Roman" w:cs="Times New Roman"/>
                <w:i w:val="0"/>
                <w:iCs w:val="0"/>
                <w:color w:val="000000"/>
                <w:sz w:val="20"/>
                <w:szCs w:val="20"/>
              </w:rPr>
              <w:t>2.187***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9E2B855">
            <w:pPr>
              <w:jc w:val="center"/>
            </w:pPr>
            <w:r>
              <w:rPr>
                <w:rFonts w:ascii="Times New Roman" w:hAnsi="Times New Roman" w:eastAsia="Times New Roman" w:cs="Times New Roman"/>
                <w:i w:val="0"/>
                <w:iCs w:val="0"/>
                <w:color w:val="000000"/>
                <w:sz w:val="20"/>
                <w:szCs w:val="20"/>
              </w:rPr>
              <w:t>2.241***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0889D0C">
            <w:pPr>
              <w:jc w:val="center"/>
            </w:pPr>
            <w:r>
              <w:rPr>
                <w:rFonts w:ascii="Times New Roman" w:hAnsi="Times New Roman" w:eastAsia="Times New Roman" w:cs="Times New Roman"/>
                <w:i w:val="0"/>
                <w:iCs w:val="0"/>
                <w:color w:val="000000"/>
                <w:sz w:val="20"/>
                <w:szCs w:val="20"/>
              </w:rPr>
              <w:t>2.198***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346194B">
            <w:pPr>
              <w:jc w:val="center"/>
            </w:pPr>
            <w:r>
              <w:rPr>
                <w:rFonts w:ascii="Times New Roman" w:hAnsi="Times New Roman" w:eastAsia="Times New Roman" w:cs="Times New Roman"/>
                <w:i w:val="0"/>
                <w:iCs w:val="0"/>
                <w:color w:val="000000"/>
                <w:sz w:val="20"/>
                <w:szCs w:val="20"/>
              </w:rPr>
              <w:t>2.076***</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7CA60F1">
            <w:pPr>
              <w:jc w:val="center"/>
            </w:pPr>
            <w:r>
              <w:rPr>
                <w:rFonts w:ascii="Times New Roman" w:hAnsi="Times New Roman" w:eastAsia="Times New Roman" w:cs="Times New Roman"/>
                <w:i w:val="0"/>
                <w:iCs w:val="0"/>
                <w:color w:val="000000"/>
                <w:sz w:val="20"/>
                <w:szCs w:val="20"/>
              </w:rPr>
              <w:t>2.134***</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B7CDAAB">
            <w:pPr>
              <w:jc w:val="center"/>
            </w:pPr>
            <w:r>
              <w:rPr>
                <w:rFonts w:ascii="Times New Roman" w:hAnsi="Times New Roman" w:eastAsia="Times New Roman" w:cs="Times New Roman"/>
                <w:i w:val="0"/>
                <w:iCs w:val="0"/>
                <w:color w:val="000000"/>
                <w:sz w:val="20"/>
                <w:szCs w:val="20"/>
              </w:rPr>
              <w:t>2.188***</w:t>
            </w:r>
          </w:p>
        </w:tc>
      </w:tr>
      <w:tr w14:paraId="2037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D730500">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4EC432A">
            <w:pPr>
              <w:jc w:val="center"/>
            </w:pPr>
            <w:r>
              <w:rPr>
                <w:rFonts w:ascii="Times New Roman" w:hAnsi="Times New Roman" w:eastAsia="Times New Roman" w:cs="Times New Roman"/>
                <w:i/>
                <w:iCs/>
                <w:color w:val="595959"/>
                <w:sz w:val="18"/>
                <w:szCs w:val="18"/>
              </w:rPr>
              <w:t>(0.412)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9CB4994">
            <w:pPr>
              <w:jc w:val="center"/>
            </w:pPr>
            <w:r>
              <w:rPr>
                <w:rFonts w:ascii="Times New Roman" w:hAnsi="Times New Roman" w:eastAsia="Times New Roman" w:cs="Times New Roman"/>
                <w:i/>
                <w:iCs/>
                <w:color w:val="595959"/>
                <w:sz w:val="18"/>
                <w:szCs w:val="18"/>
              </w:rPr>
              <w:t>(0.421)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CE14056">
            <w:pPr>
              <w:jc w:val="center"/>
            </w:pPr>
            <w:r>
              <w:rPr>
                <w:rFonts w:ascii="Times New Roman" w:hAnsi="Times New Roman" w:eastAsia="Times New Roman" w:cs="Times New Roman"/>
                <w:i/>
                <w:iCs/>
                <w:color w:val="595959"/>
                <w:sz w:val="18"/>
                <w:szCs w:val="18"/>
              </w:rPr>
              <w:t>(0.415)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572CF69">
            <w:pPr>
              <w:jc w:val="center"/>
            </w:pPr>
            <w:r>
              <w:rPr>
                <w:rFonts w:ascii="Times New Roman" w:hAnsi="Times New Roman" w:eastAsia="Times New Roman" w:cs="Times New Roman"/>
                <w:i/>
                <w:iCs/>
                <w:color w:val="595959"/>
                <w:sz w:val="18"/>
                <w:szCs w:val="18"/>
              </w:rPr>
              <w:t>(0.388)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5E787C8">
            <w:pPr>
              <w:jc w:val="center"/>
            </w:pPr>
            <w:r>
              <w:rPr>
                <w:rFonts w:ascii="Times New Roman" w:hAnsi="Times New Roman" w:eastAsia="Times New Roman" w:cs="Times New Roman"/>
                <w:i/>
                <w:iCs/>
                <w:color w:val="595959"/>
                <w:sz w:val="18"/>
                <w:szCs w:val="18"/>
              </w:rPr>
              <w:t>(0.428)</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294185E">
            <w:pPr>
              <w:jc w:val="center"/>
            </w:pPr>
            <w:r>
              <w:rPr>
                <w:rFonts w:ascii="Times New Roman" w:hAnsi="Times New Roman" w:eastAsia="Times New Roman" w:cs="Times New Roman"/>
                <w:i/>
                <w:iCs/>
                <w:color w:val="595959"/>
                <w:sz w:val="18"/>
                <w:szCs w:val="18"/>
              </w:rPr>
              <w:t>(0.413)</w:t>
            </w:r>
          </w:p>
        </w:tc>
      </w:tr>
      <w:tr w14:paraId="0024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A99EDC0">
            <w:pPr>
              <w:jc w:val="left"/>
            </w:pPr>
            <w:r>
              <w:rPr>
                <w:rFonts w:ascii="Times New Roman" w:hAnsi="Times New Roman" w:eastAsia="Times New Roman" w:cs="Times New Roman"/>
                <w:i w:val="0"/>
                <w:iCs w:val="0"/>
                <w:color w:val="000000"/>
                <w:sz w:val="20"/>
                <w:szCs w:val="20"/>
              </w:rPr>
              <w:t>Analyst Coverage</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5F0493D">
            <w:pPr>
              <w:jc w:val="center"/>
            </w:pPr>
            <w:r>
              <w:rPr>
                <w:rFonts w:ascii="Times New Roman" w:hAnsi="Times New Roman" w:eastAsia="Times New Roman" w:cs="Times New Roman"/>
                <w:i w:val="0"/>
                <w:iCs w:val="0"/>
                <w:color w:val="000000"/>
                <w:sz w:val="20"/>
                <w:szCs w:val="20"/>
              </w:rPr>
              <w:t>−0.124***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0EF899B">
            <w:pPr>
              <w:jc w:val="center"/>
            </w:pPr>
            <w:r>
              <w:rPr>
                <w:rFonts w:ascii="Times New Roman" w:hAnsi="Times New Roman" w:eastAsia="Times New Roman" w:cs="Times New Roman"/>
                <w:i w:val="0"/>
                <w:iCs w:val="0"/>
                <w:color w:val="000000"/>
                <w:sz w:val="20"/>
                <w:szCs w:val="20"/>
              </w:rPr>
              <w:t>−0.118***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0EB42E5">
            <w:pPr>
              <w:jc w:val="center"/>
            </w:pPr>
            <w:r>
              <w:rPr>
                <w:rFonts w:ascii="Times New Roman" w:hAnsi="Times New Roman" w:eastAsia="Times New Roman" w:cs="Times New Roman"/>
                <w:i w:val="0"/>
                <w:iCs w:val="0"/>
                <w:color w:val="000000"/>
                <w:sz w:val="20"/>
                <w:szCs w:val="20"/>
              </w:rPr>
              <w:t>−0.121***</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3D5B3DB">
            <w:pPr>
              <w:jc w:val="center"/>
            </w:pPr>
            <w:r>
              <w:rPr>
                <w:rFonts w:ascii="Times New Roman" w:hAnsi="Times New Roman" w:eastAsia="Times New Roman" w:cs="Times New Roman"/>
                <w:i w:val="0"/>
                <w:iCs w:val="0"/>
                <w:color w:val="000000"/>
                <w:sz w:val="20"/>
                <w:szCs w:val="20"/>
              </w:rPr>
              <w:t>−0.114***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C87D990">
            <w:pPr>
              <w:jc w:val="center"/>
            </w:pPr>
            <w:r>
              <w:rPr>
                <w:rFonts w:ascii="Times New Roman" w:hAnsi="Times New Roman" w:eastAsia="Times New Roman" w:cs="Times New Roman"/>
                <w:i w:val="0"/>
                <w:iCs w:val="0"/>
                <w:color w:val="000000"/>
                <w:sz w:val="20"/>
                <w:szCs w:val="20"/>
              </w:rPr>
              <w:t>−0.109**</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F0E9C66">
            <w:pPr>
              <w:jc w:val="center"/>
            </w:pPr>
            <w:r>
              <w:rPr>
                <w:rFonts w:ascii="Times New Roman" w:hAnsi="Times New Roman" w:eastAsia="Times New Roman" w:cs="Times New Roman"/>
                <w:i w:val="0"/>
                <w:iCs w:val="0"/>
                <w:color w:val="000000"/>
                <w:sz w:val="20"/>
                <w:szCs w:val="20"/>
              </w:rPr>
              <w:t>−0.122***</w:t>
            </w:r>
          </w:p>
        </w:tc>
      </w:tr>
      <w:tr w14:paraId="093E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DB95C0B">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D58C374">
            <w:pPr>
              <w:jc w:val="center"/>
            </w:pPr>
            <w:r>
              <w:rPr>
                <w:rFonts w:ascii="Times New Roman" w:hAnsi="Times New Roman" w:eastAsia="Times New Roman" w:cs="Times New Roman"/>
                <w:i/>
                <w:iCs/>
                <w:color w:val="595959"/>
                <w:sz w:val="18"/>
                <w:szCs w:val="18"/>
              </w:rPr>
              <w:t>(0.038)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D97A6C9">
            <w:pPr>
              <w:jc w:val="center"/>
            </w:pPr>
            <w:r>
              <w:rPr>
                <w:rFonts w:ascii="Times New Roman" w:hAnsi="Times New Roman" w:eastAsia="Times New Roman" w:cs="Times New Roman"/>
                <w:i/>
                <w:iCs/>
                <w:color w:val="595959"/>
                <w:sz w:val="18"/>
                <w:szCs w:val="18"/>
              </w:rPr>
              <w:t>(0.040)</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355D6EC">
            <w:pPr>
              <w:jc w:val="center"/>
            </w:pPr>
            <w:r>
              <w:rPr>
                <w:rFonts w:ascii="Times New Roman" w:hAnsi="Times New Roman" w:eastAsia="Times New Roman" w:cs="Times New Roman"/>
                <w:i/>
                <w:iCs/>
                <w:color w:val="595959"/>
                <w:sz w:val="18"/>
                <w:szCs w:val="18"/>
              </w:rPr>
              <w:t>(0.039)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77ACAC2">
            <w:pPr>
              <w:jc w:val="center"/>
            </w:pPr>
            <w:r>
              <w:rPr>
                <w:rFonts w:ascii="Times New Roman" w:hAnsi="Times New Roman" w:eastAsia="Times New Roman" w:cs="Times New Roman"/>
                <w:i/>
                <w:iCs/>
                <w:color w:val="595959"/>
                <w:sz w:val="18"/>
                <w:szCs w:val="18"/>
              </w:rPr>
              <w:t>(0.036)</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A94FEFB">
            <w:pPr>
              <w:jc w:val="center"/>
            </w:pPr>
            <w:r>
              <w:rPr>
                <w:rFonts w:ascii="Times New Roman" w:hAnsi="Times New Roman" w:eastAsia="Times New Roman" w:cs="Times New Roman"/>
                <w:i/>
                <w:iCs/>
                <w:color w:val="595959"/>
                <w:sz w:val="18"/>
                <w:szCs w:val="18"/>
              </w:rPr>
              <w:t>(0.041)</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2A5D625F">
            <w:pPr>
              <w:jc w:val="center"/>
            </w:pPr>
            <w:r>
              <w:rPr>
                <w:rFonts w:ascii="Times New Roman" w:hAnsi="Times New Roman" w:eastAsia="Times New Roman" w:cs="Times New Roman"/>
                <w:i/>
                <w:iCs/>
                <w:color w:val="595959"/>
                <w:sz w:val="18"/>
                <w:szCs w:val="18"/>
              </w:rPr>
              <w:t>(0.039)</w:t>
            </w:r>
          </w:p>
        </w:tc>
      </w:tr>
      <w:tr w14:paraId="1C30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7F6E3601">
            <w:pPr>
              <w:jc w:val="left"/>
            </w:pPr>
            <w:r>
              <w:rPr>
                <w:rFonts w:ascii="Times New Roman" w:hAnsi="Times New Roman" w:eastAsia="Times New Roman" w:cs="Times New Roman"/>
                <w:i w:val="0"/>
                <w:iCs w:val="0"/>
                <w:color w:val="000000"/>
                <w:sz w:val="20"/>
                <w:szCs w:val="20"/>
              </w:rPr>
              <w:t>Institutional Ownership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221A80F">
            <w:pPr>
              <w:jc w:val="center"/>
            </w:pPr>
            <w:r>
              <w:rPr>
                <w:rFonts w:ascii="Times New Roman" w:hAnsi="Times New Roman" w:eastAsia="Times New Roman" w:cs="Times New Roman"/>
                <w:i w:val="0"/>
                <w:iCs w:val="0"/>
                <w:color w:val="000000"/>
                <w:sz w:val="20"/>
                <w:szCs w:val="20"/>
              </w:rPr>
              <w:t>−0.018**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D47B9E3">
            <w:pPr>
              <w:jc w:val="center"/>
            </w:pPr>
            <w:r>
              <w:rPr>
                <w:rFonts w:ascii="Times New Roman" w:hAnsi="Times New Roman" w:eastAsia="Times New Roman" w:cs="Times New Roman"/>
                <w:i w:val="0"/>
                <w:iCs w:val="0"/>
                <w:color w:val="000000"/>
                <w:sz w:val="20"/>
                <w:szCs w:val="20"/>
              </w:rPr>
              <w:t>−0.019**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0BECCD84">
            <w:pPr>
              <w:jc w:val="center"/>
            </w:pPr>
            <w:r>
              <w:rPr>
                <w:rFonts w:ascii="Times New Roman" w:hAnsi="Times New Roman" w:eastAsia="Times New Roman" w:cs="Times New Roman"/>
                <w:i w:val="0"/>
                <w:iCs w:val="0"/>
                <w:color w:val="000000"/>
                <w:sz w:val="20"/>
                <w:szCs w:val="20"/>
              </w:rPr>
              <w:t>−0.018**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A2FB2EE">
            <w:pPr>
              <w:jc w:val="center"/>
            </w:pPr>
            <w:r>
              <w:rPr>
                <w:rFonts w:ascii="Times New Roman" w:hAnsi="Times New Roman" w:eastAsia="Times New Roman" w:cs="Times New Roman"/>
                <w:i w:val="0"/>
                <w:iCs w:val="0"/>
                <w:color w:val="000000"/>
                <w:sz w:val="20"/>
                <w:szCs w:val="20"/>
              </w:rPr>
              <w:t>−0.017**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1FF8B5E1">
            <w:pPr>
              <w:jc w:val="center"/>
            </w:pPr>
            <w:r>
              <w:rPr>
                <w:rFonts w:ascii="Times New Roman" w:hAnsi="Times New Roman" w:eastAsia="Times New Roman" w:cs="Times New Roman"/>
                <w:i w:val="0"/>
                <w:iCs w:val="0"/>
                <w:color w:val="000000"/>
                <w:sz w:val="20"/>
                <w:szCs w:val="20"/>
              </w:rPr>
              <w:t>−0.016*</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6ED5933">
            <w:pPr>
              <w:jc w:val="center"/>
            </w:pPr>
            <w:r>
              <w:rPr>
                <w:rFonts w:ascii="Times New Roman" w:hAnsi="Times New Roman" w:eastAsia="Times New Roman" w:cs="Times New Roman"/>
                <w:i w:val="0"/>
                <w:iCs w:val="0"/>
                <w:color w:val="000000"/>
                <w:sz w:val="20"/>
                <w:szCs w:val="20"/>
              </w:rPr>
              <w:t>−0.018**</w:t>
            </w:r>
          </w:p>
        </w:tc>
      </w:tr>
      <w:tr w14:paraId="427B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6E51AEE">
            <w:pPr>
              <w:jc w:val="left"/>
            </w:pP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41823BB">
            <w:pPr>
              <w:jc w:val="center"/>
            </w:pPr>
            <w:r>
              <w:rPr>
                <w:rFonts w:ascii="Times New Roman" w:hAnsi="Times New Roman" w:eastAsia="Times New Roman" w:cs="Times New Roman"/>
                <w:i/>
                <w:iCs/>
                <w:color w:val="595959"/>
                <w:sz w:val="18"/>
                <w:szCs w:val="18"/>
              </w:rPr>
              <w:t>(0.008)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3E0AFD6">
            <w:pPr>
              <w:jc w:val="center"/>
            </w:pPr>
            <w:r>
              <w:rPr>
                <w:rFonts w:ascii="Times New Roman" w:hAnsi="Times New Roman" w:eastAsia="Times New Roman" w:cs="Times New Roman"/>
                <w:i/>
                <w:iCs/>
                <w:color w:val="595959"/>
                <w:sz w:val="18"/>
                <w:szCs w:val="18"/>
              </w:rPr>
              <w:t>(0.008)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65ABD152">
            <w:pPr>
              <w:jc w:val="center"/>
            </w:pPr>
            <w:r>
              <w:rPr>
                <w:rFonts w:ascii="Times New Roman" w:hAnsi="Times New Roman" w:eastAsia="Times New Roman" w:cs="Times New Roman"/>
                <w:i/>
                <w:iCs/>
                <w:color w:val="595959"/>
                <w:sz w:val="18"/>
                <w:szCs w:val="18"/>
              </w:rPr>
              <w:t>(0.008)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51F6B067">
            <w:pPr>
              <w:jc w:val="center"/>
            </w:pPr>
            <w:r>
              <w:rPr>
                <w:rFonts w:ascii="Times New Roman" w:hAnsi="Times New Roman" w:eastAsia="Times New Roman" w:cs="Times New Roman"/>
                <w:i/>
                <w:iCs/>
                <w:color w:val="595959"/>
                <w:sz w:val="18"/>
                <w:szCs w:val="18"/>
              </w:rPr>
              <w:t>(0.007)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3A4134EA">
            <w:pPr>
              <w:jc w:val="center"/>
            </w:pPr>
            <w:r>
              <w:rPr>
                <w:rFonts w:ascii="Times New Roman" w:hAnsi="Times New Roman" w:eastAsia="Times New Roman" w:cs="Times New Roman"/>
                <w:i/>
                <w:iCs/>
                <w:color w:val="595959"/>
                <w:sz w:val="18"/>
                <w:szCs w:val="18"/>
              </w:rPr>
              <w:t>(0.009)</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00" w:type="dxa"/>
              <w:bottom w:w="50" w:type="dxa"/>
              <w:right w:w="100" w:type="dxa"/>
            </w:tcMar>
          </w:tcPr>
          <w:p w14:paraId="4AE80FC2">
            <w:pPr>
              <w:jc w:val="center"/>
            </w:pPr>
            <w:r>
              <w:rPr>
                <w:rFonts w:ascii="Times New Roman" w:hAnsi="Times New Roman" w:eastAsia="Times New Roman" w:cs="Times New Roman"/>
                <w:i/>
                <w:iCs/>
                <w:color w:val="595959"/>
                <w:sz w:val="18"/>
                <w:szCs w:val="18"/>
              </w:rPr>
              <w:t>(0.008)</w:t>
            </w:r>
          </w:p>
        </w:tc>
      </w:tr>
      <w:tr w14:paraId="4C88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72A6FC6">
            <w:pPr>
              <w:jc w:val="left"/>
            </w:pPr>
            <w:r>
              <w:rPr>
                <w:rFonts w:ascii="Times New Roman" w:hAnsi="Times New Roman" w:eastAsia="Times New Roman" w:cs="Times New Roman"/>
                <w:i w:val="0"/>
                <w:iCs w:val="0"/>
                <w:color w:val="000000"/>
                <w:sz w:val="20"/>
                <w:szCs w:val="20"/>
              </w:rPr>
              <w:t>Firm Fixed Effects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462B7B9">
            <w:pPr>
              <w:jc w:val="center"/>
            </w:pPr>
            <w:r>
              <w:rPr>
                <w:rFonts w:ascii="Times New Roman" w:hAnsi="Times New Roman" w:eastAsia="Times New Roman" w:cs="Times New Roman"/>
                <w:i w:val="0"/>
                <w:iCs w:val="0"/>
                <w:color w:val="000000"/>
                <w:sz w:val="20"/>
                <w:szCs w:val="20"/>
              </w:rPr>
              <w:t>No</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4361572">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6154964">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573061A1">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57D2FBB9">
            <w:pPr>
              <w:jc w:val="center"/>
            </w:pPr>
            <w:r>
              <w:rPr>
                <w:rFonts w:ascii="Times New Roman" w:hAnsi="Times New Roman" w:eastAsia="Times New Roman" w:cs="Times New Roman"/>
                <w:i w:val="0"/>
                <w:iCs w:val="0"/>
                <w:color w:val="000000"/>
                <w:sz w:val="20"/>
                <w:szCs w:val="20"/>
              </w:rPr>
              <w:t>Yes</w:t>
            </w:r>
          </w:p>
        </w:tc>
        <w:tc>
          <w:tcPr>
            <w:tcW w:w="156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2F1A296D">
            <w:pPr>
              <w:jc w:val="center"/>
            </w:pPr>
            <w:r>
              <w:rPr>
                <w:rFonts w:ascii="Times New Roman" w:hAnsi="Times New Roman" w:eastAsia="Times New Roman" w:cs="Times New Roman"/>
                <w:i w:val="0"/>
                <w:iCs w:val="0"/>
                <w:color w:val="000000"/>
                <w:sz w:val="20"/>
                <w:szCs w:val="20"/>
              </w:rPr>
              <w:t>Yes</w:t>
            </w:r>
          </w:p>
        </w:tc>
      </w:tr>
      <w:tr w14:paraId="61DF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2647F2CC">
            <w:pPr>
              <w:jc w:val="left"/>
            </w:pPr>
            <w:r>
              <w:rPr>
                <w:rFonts w:ascii="Times New Roman" w:hAnsi="Times New Roman" w:eastAsia="Times New Roman" w:cs="Times New Roman"/>
                <w:i w:val="0"/>
                <w:iCs w:val="0"/>
                <w:color w:val="000000"/>
                <w:sz w:val="20"/>
                <w:szCs w:val="20"/>
              </w:rPr>
              <w:t>Year Fixed Effects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715AC719">
            <w:pPr>
              <w:jc w:val="center"/>
            </w:pPr>
            <w:r>
              <w:rPr>
                <w:rFonts w:ascii="Times New Roman" w:hAnsi="Times New Roman" w:eastAsia="Times New Roman" w:cs="Times New Roman"/>
                <w:i w:val="0"/>
                <w:iCs w:val="0"/>
                <w:color w:val="000000"/>
                <w:sz w:val="20"/>
                <w:szCs w:val="20"/>
              </w:rPr>
              <w:t>No</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792954F">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5032D23B">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CBFDEBC">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54E8A47">
            <w:pPr>
              <w:jc w:val="center"/>
            </w:pPr>
            <w:r>
              <w:rPr>
                <w:rFonts w:ascii="Times New Roman" w:hAnsi="Times New Roman" w:eastAsia="Times New Roman" w:cs="Times New Roman"/>
                <w:i w:val="0"/>
                <w:iCs w:val="0"/>
                <w:color w:val="000000"/>
                <w:sz w:val="20"/>
                <w:szCs w:val="20"/>
              </w:rPr>
              <w:t>Yes</w:t>
            </w:r>
          </w:p>
        </w:tc>
        <w:tc>
          <w:tcPr>
            <w:tcW w:w="156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25B81A5A">
            <w:pPr>
              <w:jc w:val="center"/>
            </w:pPr>
            <w:r>
              <w:rPr>
                <w:rFonts w:ascii="Times New Roman" w:hAnsi="Times New Roman" w:eastAsia="Times New Roman" w:cs="Times New Roman"/>
                <w:i w:val="0"/>
                <w:iCs w:val="0"/>
                <w:color w:val="000000"/>
                <w:sz w:val="20"/>
                <w:szCs w:val="20"/>
              </w:rPr>
              <w:t>Yes</w:t>
            </w:r>
          </w:p>
        </w:tc>
      </w:tr>
      <w:tr w14:paraId="1077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B55F0C7">
            <w:pPr>
              <w:jc w:val="left"/>
            </w:pPr>
            <w:r>
              <w:rPr>
                <w:rFonts w:ascii="Times New Roman" w:hAnsi="Times New Roman" w:eastAsia="Times New Roman" w:cs="Times New Roman"/>
                <w:i w:val="0"/>
                <w:iCs w:val="0"/>
                <w:color w:val="000000"/>
                <w:sz w:val="20"/>
                <w:szCs w:val="20"/>
              </w:rPr>
              <w:t>Industry × Year FE</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082F79BA">
            <w:pPr>
              <w:jc w:val="center"/>
            </w:pPr>
            <w:r>
              <w:rPr>
                <w:rFonts w:ascii="Times New Roman" w:hAnsi="Times New Roman" w:eastAsia="Times New Roman" w:cs="Times New Roman"/>
                <w:i w:val="0"/>
                <w:iCs w:val="0"/>
                <w:color w:val="000000"/>
                <w:sz w:val="20"/>
                <w:szCs w:val="20"/>
              </w:rPr>
              <w:t>No</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5D665BF1">
            <w:pPr>
              <w:jc w:val="center"/>
            </w:pPr>
            <w:r>
              <w:rPr>
                <w:rFonts w:ascii="Times New Roman" w:hAnsi="Times New Roman" w:eastAsia="Times New Roman" w:cs="Times New Roman"/>
                <w:i w:val="0"/>
                <w:iCs w:val="0"/>
                <w:color w:val="000000"/>
                <w:sz w:val="20"/>
                <w:szCs w:val="20"/>
              </w:rPr>
              <w:t>No</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0923B98">
            <w:pPr>
              <w:jc w:val="center"/>
            </w:pPr>
            <w:r>
              <w:rPr>
                <w:rFonts w:ascii="Times New Roman" w:hAnsi="Times New Roman" w:eastAsia="Times New Roman" w:cs="Times New Roman"/>
                <w:i w:val="0"/>
                <w:iCs w:val="0"/>
                <w:color w:val="00000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DA441BA">
            <w:pPr>
              <w:jc w:val="center"/>
            </w:pPr>
            <w:r>
              <w:rPr>
                <w:rFonts w:ascii="Times New Roman" w:hAnsi="Times New Roman" w:eastAsia="Times New Roman" w:cs="Times New Roman"/>
                <w:i w:val="0"/>
                <w:iCs w:val="0"/>
                <w:color w:val="000000"/>
                <w:sz w:val="20"/>
                <w:szCs w:val="20"/>
              </w:rPr>
              <w:t>No</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074AE12">
            <w:pPr>
              <w:jc w:val="center"/>
            </w:pPr>
            <w:r>
              <w:rPr>
                <w:rFonts w:ascii="Times New Roman" w:hAnsi="Times New Roman" w:eastAsia="Times New Roman" w:cs="Times New Roman"/>
                <w:i w:val="0"/>
                <w:iCs w:val="0"/>
                <w:color w:val="000000"/>
                <w:sz w:val="20"/>
                <w:szCs w:val="20"/>
              </w:rPr>
              <w:t>No</w:t>
            </w:r>
          </w:p>
        </w:tc>
        <w:tc>
          <w:tcPr>
            <w:tcW w:w="156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20C9284">
            <w:pPr>
              <w:jc w:val="center"/>
            </w:pPr>
            <w:r>
              <w:rPr>
                <w:rFonts w:ascii="Times New Roman" w:hAnsi="Times New Roman" w:eastAsia="Times New Roman" w:cs="Times New Roman"/>
                <w:i w:val="0"/>
                <w:iCs w:val="0"/>
                <w:color w:val="000000"/>
                <w:sz w:val="20"/>
                <w:szCs w:val="20"/>
              </w:rPr>
              <w:t>No</w:t>
            </w:r>
          </w:p>
        </w:tc>
      </w:tr>
      <w:tr w14:paraId="6F36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61F832E">
            <w:pPr>
              <w:jc w:val="left"/>
            </w:pPr>
            <w:r>
              <w:rPr>
                <w:rFonts w:ascii="Times New Roman" w:hAnsi="Times New Roman" w:eastAsia="Times New Roman" w:cs="Times New Roman"/>
                <w:i w:val="0"/>
                <w:iCs w:val="0"/>
                <w:color w:val="000000"/>
                <w:sz w:val="20"/>
                <w:szCs w:val="20"/>
              </w:rPr>
              <w:t>First-Stage F-stat</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25629B0F">
            <w:pPr>
              <w:jc w:val="center"/>
            </w:pPr>
            <w:r>
              <w:rPr>
                <w:rFonts w:ascii="Times New Roman" w:hAnsi="Times New Roman" w:eastAsia="Times New Roman" w:cs="Times New Roman"/>
                <w:i w:val="0"/>
                <w:iCs w:val="0"/>
                <w:color w:val="000000"/>
                <w:sz w:val="20"/>
                <w:szCs w:val="20"/>
              </w:rPr>
              <w:t>—</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7988F780">
            <w:pPr>
              <w:jc w:val="center"/>
            </w:pPr>
            <w:r>
              <w:rPr>
                <w:rFonts w:ascii="Times New Roman" w:hAnsi="Times New Roman" w:eastAsia="Times New Roman" w:cs="Times New Roman"/>
                <w:i w:val="0"/>
                <w:iCs w:val="0"/>
                <w:color w:val="000000"/>
                <w:sz w:val="20"/>
                <w:szCs w:val="20"/>
              </w:rPr>
              <w:t>—</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0CA5F53">
            <w:pPr>
              <w:jc w:val="center"/>
            </w:pPr>
            <w:r>
              <w:rPr>
                <w:rFonts w:ascii="Times New Roman" w:hAnsi="Times New Roman" w:eastAsia="Times New Roman" w:cs="Times New Roman"/>
                <w:i w:val="0"/>
                <w:iCs w:val="0"/>
                <w:color w:val="000000"/>
                <w:sz w:val="20"/>
                <w:szCs w:val="20"/>
              </w:rPr>
              <w:t>—</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6CE0613">
            <w:pPr>
              <w:jc w:val="center"/>
            </w:pPr>
            <w:r>
              <w:rPr>
                <w:rFonts w:ascii="Times New Roman" w:hAnsi="Times New Roman" w:eastAsia="Times New Roman" w:cs="Times New Roman"/>
                <w:i w:val="0"/>
                <w:iCs w:val="0"/>
                <w:color w:val="000000"/>
                <w:sz w:val="20"/>
                <w:szCs w:val="20"/>
              </w:rPr>
              <w:t>—</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780219B9">
            <w:pPr>
              <w:jc w:val="center"/>
            </w:pPr>
            <w:r>
              <w:rPr>
                <w:rFonts w:ascii="Times New Roman" w:hAnsi="Times New Roman" w:eastAsia="Times New Roman" w:cs="Times New Roman"/>
                <w:i w:val="0"/>
                <w:iCs w:val="0"/>
                <w:color w:val="000000"/>
                <w:sz w:val="20"/>
                <w:szCs w:val="20"/>
              </w:rPr>
              <w:t>—</w:t>
            </w:r>
          </w:p>
        </w:tc>
        <w:tc>
          <w:tcPr>
            <w:tcW w:w="156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2D5A2023">
            <w:pPr>
              <w:jc w:val="center"/>
            </w:pPr>
            <w:r>
              <w:rPr>
                <w:rFonts w:ascii="Times New Roman" w:hAnsi="Times New Roman" w:eastAsia="Times New Roman" w:cs="Times New Roman"/>
                <w:i w:val="0"/>
                <w:iCs w:val="0"/>
                <w:color w:val="000000"/>
                <w:sz w:val="20"/>
                <w:szCs w:val="20"/>
              </w:rPr>
              <w:t>23.41 [P]</w:t>
            </w:r>
          </w:p>
        </w:tc>
      </w:tr>
      <w:tr w14:paraId="10E9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2E33178">
            <w:pPr>
              <w:jc w:val="left"/>
            </w:pPr>
            <w:r>
              <w:rPr>
                <w:rFonts w:ascii="Times New Roman" w:hAnsi="Times New Roman" w:eastAsia="Times New Roman" w:cs="Times New Roman"/>
                <w:i w:val="0"/>
                <w:iCs w:val="0"/>
                <w:color w:val="000000"/>
                <w:sz w:val="20"/>
                <w:szCs w:val="20"/>
              </w:rPr>
              <w:t>Observations</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3CDCD2E">
            <w:pPr>
              <w:jc w:val="center"/>
            </w:pPr>
            <w:r>
              <w:rPr>
                <w:rFonts w:ascii="Times New Roman" w:hAnsi="Times New Roman" w:eastAsia="Times New Roman" w:cs="Times New Roman"/>
                <w:i w:val="0"/>
                <w:iCs w:val="0"/>
                <w:color w:val="000000"/>
                <w:sz w:val="20"/>
                <w:szCs w:val="20"/>
              </w:rPr>
              <w:t>3,421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FEAD962">
            <w:pPr>
              <w:jc w:val="center"/>
            </w:pPr>
            <w:r>
              <w:rPr>
                <w:rFonts w:ascii="Times New Roman" w:hAnsi="Times New Roman" w:eastAsia="Times New Roman" w:cs="Times New Roman"/>
                <w:i w:val="0"/>
                <w:iCs w:val="0"/>
                <w:color w:val="000000"/>
                <w:sz w:val="20"/>
                <w:szCs w:val="20"/>
              </w:rPr>
              <w:t>3,421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1BE74C5">
            <w:pPr>
              <w:jc w:val="center"/>
            </w:pPr>
            <w:r>
              <w:rPr>
                <w:rFonts w:ascii="Times New Roman" w:hAnsi="Times New Roman" w:eastAsia="Times New Roman" w:cs="Times New Roman"/>
                <w:i w:val="0"/>
                <w:iCs w:val="0"/>
                <w:color w:val="000000"/>
                <w:sz w:val="20"/>
                <w:szCs w:val="20"/>
              </w:rPr>
              <w:t>3,421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F4DB76E">
            <w:pPr>
              <w:jc w:val="center"/>
            </w:pPr>
            <w:r>
              <w:rPr>
                <w:rFonts w:ascii="Times New Roman" w:hAnsi="Times New Roman" w:eastAsia="Times New Roman" w:cs="Times New Roman"/>
                <w:i w:val="0"/>
                <w:iCs w:val="0"/>
                <w:color w:val="000000"/>
                <w:sz w:val="20"/>
                <w:szCs w:val="20"/>
              </w:rPr>
              <w:t>3,421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12A2B008">
            <w:pPr>
              <w:jc w:val="center"/>
            </w:pPr>
            <w:r>
              <w:rPr>
                <w:rFonts w:ascii="Times New Roman" w:hAnsi="Times New Roman" w:eastAsia="Times New Roman" w:cs="Times New Roman"/>
                <w:i w:val="0"/>
                <w:iCs w:val="0"/>
                <w:color w:val="000000"/>
                <w:sz w:val="20"/>
                <w:szCs w:val="20"/>
              </w:rPr>
              <w:t>2,986 [P]</w:t>
            </w:r>
          </w:p>
        </w:tc>
        <w:tc>
          <w:tcPr>
            <w:tcW w:w="156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72CBB4C6">
            <w:pPr>
              <w:jc w:val="center"/>
            </w:pPr>
            <w:r>
              <w:rPr>
                <w:rFonts w:ascii="Times New Roman" w:hAnsi="Times New Roman" w:eastAsia="Times New Roman" w:cs="Times New Roman"/>
                <w:i w:val="0"/>
                <w:iCs w:val="0"/>
                <w:color w:val="000000"/>
                <w:sz w:val="20"/>
                <w:szCs w:val="20"/>
              </w:rPr>
              <w:t>3,421 [P]</w:t>
            </w:r>
          </w:p>
        </w:tc>
      </w:tr>
      <w:tr w14:paraId="4429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684BE937">
            <w:pPr>
              <w:jc w:val="left"/>
            </w:pPr>
            <w:r>
              <w:rPr>
                <w:rFonts w:ascii="Times New Roman" w:hAnsi="Times New Roman" w:eastAsia="Times New Roman" w:cs="Times New Roman"/>
                <w:i w:val="0"/>
                <w:iCs w:val="0"/>
                <w:color w:val="000000"/>
                <w:sz w:val="20"/>
                <w:szCs w:val="20"/>
              </w:rPr>
              <w:t>R²</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07D875D1">
            <w:pPr>
              <w:jc w:val="center"/>
            </w:pPr>
            <w:r>
              <w:rPr>
                <w:rFonts w:ascii="Times New Roman" w:hAnsi="Times New Roman" w:eastAsia="Times New Roman" w:cs="Times New Roman"/>
                <w:i w:val="0"/>
                <w:iCs w:val="0"/>
                <w:color w:val="000000"/>
                <w:sz w:val="20"/>
                <w:szCs w:val="20"/>
              </w:rPr>
              <w:t>0.341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34A3579E">
            <w:pPr>
              <w:jc w:val="center"/>
            </w:pPr>
            <w:r>
              <w:rPr>
                <w:rFonts w:ascii="Times New Roman" w:hAnsi="Times New Roman" w:eastAsia="Times New Roman" w:cs="Times New Roman"/>
                <w:i w:val="0"/>
                <w:iCs w:val="0"/>
                <w:color w:val="000000"/>
                <w:sz w:val="20"/>
                <w:szCs w:val="20"/>
              </w:rPr>
              <w:t>0.487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53A3070">
            <w:pPr>
              <w:jc w:val="center"/>
            </w:pPr>
            <w:r>
              <w:rPr>
                <w:rFonts w:ascii="Times New Roman" w:hAnsi="Times New Roman" w:eastAsia="Times New Roman" w:cs="Times New Roman"/>
                <w:i w:val="0"/>
                <w:iCs w:val="0"/>
                <w:color w:val="000000"/>
                <w:sz w:val="20"/>
                <w:szCs w:val="20"/>
              </w:rPr>
              <w:t>0.512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773F2E9">
            <w:pPr>
              <w:jc w:val="center"/>
            </w:pPr>
            <w:r>
              <w:rPr>
                <w:rFonts w:ascii="Times New Roman" w:hAnsi="Times New Roman" w:eastAsia="Times New Roman" w:cs="Times New Roman"/>
                <w:i w:val="0"/>
                <w:iCs w:val="0"/>
                <w:color w:val="000000"/>
                <w:sz w:val="20"/>
                <w:szCs w:val="20"/>
              </w:rPr>
              <w:t>0.474 [P]</w:t>
            </w:r>
          </w:p>
        </w:tc>
        <w:tc>
          <w:tcPr>
            <w:tcW w:w="108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6704C9F7">
            <w:pPr>
              <w:jc w:val="center"/>
            </w:pPr>
            <w:r>
              <w:rPr>
                <w:rFonts w:ascii="Times New Roman" w:hAnsi="Times New Roman" w:eastAsia="Times New Roman" w:cs="Times New Roman"/>
                <w:i w:val="0"/>
                <w:iCs w:val="0"/>
                <w:color w:val="000000"/>
                <w:sz w:val="20"/>
                <w:szCs w:val="20"/>
              </w:rPr>
              <w:t>0.461 [P]</w:t>
            </w:r>
          </w:p>
        </w:tc>
        <w:tc>
          <w:tcPr>
            <w:tcW w:w="1560" w:type="dxa"/>
            <w:tcBorders>
              <w:top w:val="single" w:color="D9D9D9" w:sz="2" w:space="0"/>
              <w:left w:val="single" w:color="D9D9D9" w:sz="2" w:space="0"/>
              <w:bottom w:val="single" w:color="D9D9D9" w:sz="2" w:space="0"/>
              <w:right w:val="single" w:color="D9D9D9" w:sz="2" w:space="0"/>
            </w:tcBorders>
            <w:shd w:val="clear" w:color="auto" w:fill="F0F3F8"/>
            <w:tcMar>
              <w:top w:w="50" w:type="dxa"/>
              <w:left w:w="100" w:type="dxa"/>
              <w:bottom w:w="50" w:type="dxa"/>
              <w:right w:w="100" w:type="dxa"/>
            </w:tcMar>
          </w:tcPr>
          <w:p w14:paraId="4205F4A9">
            <w:pPr>
              <w:jc w:val="center"/>
            </w:pPr>
            <w:r>
              <w:rPr>
                <w:rFonts w:ascii="Times New Roman" w:hAnsi="Times New Roman" w:eastAsia="Times New Roman" w:cs="Times New Roman"/>
                <w:i w:val="0"/>
                <w:iCs w:val="0"/>
                <w:color w:val="000000"/>
                <w:sz w:val="20"/>
                <w:szCs w:val="20"/>
              </w:rPr>
              <w:t>—</w:t>
            </w:r>
          </w:p>
        </w:tc>
      </w:tr>
    </w:tbl>
    <w:p w14:paraId="7FF27E9A">
      <w:pPr>
        <w:spacing w:before="80" w:after="240"/>
      </w:pPr>
      <w:r>
        <w:rPr>
          <w:rFonts w:ascii="Times New Roman" w:hAnsi="Times New Roman" w:eastAsia="Times New Roman" w:cs="Times New Roman"/>
          <w:b/>
          <w:bCs/>
          <w:sz w:val="18"/>
          <w:szCs w:val="18"/>
        </w:rPr>
        <w:t xml:space="preserve">Notes: </w:t>
      </w:r>
      <w:r>
        <w:rPr>
          <w:rFonts w:ascii="Times New Roman" w:hAnsi="Times New Roman" w:eastAsia="Times New Roman" w:cs="Times New Roman"/>
          <w:i/>
          <w:iCs/>
          <w:sz w:val="18"/>
          <w:szCs w:val="18"/>
        </w:rPr>
        <w:t>BRSR Quality Score is scaled 0–100; a one-unit increase in the score corresponds to a −0.041 [P] percentage point change in cost of equity. Column (6) uses industry peer average BRSR quality as an instrument. First-stage F-statistic (23.41 [P]) exceeds the Stock-Yogo (2005) critical value of 16.38 for 10% maximal IV size. *** p&lt;0.01, ** p&lt;0.05, * p&lt;0.10. Standard errors clustered at firm level. GLS = Gebhardt, Lee &amp; Swaminathan (2001). C-T = Claus &amp; Thomas (2001). All [P]-marked values are placeholders.</w:t>
      </w:r>
    </w:p>
    <w:p w14:paraId="1DB04FE6">
      <w:pPr>
        <w:spacing w:before="360" w:after="180"/>
      </w:pPr>
      <w:r>
        <w:rPr>
          <w:rFonts w:ascii="Times New Roman" w:hAnsi="Times New Roman" w:eastAsia="Times New Roman" w:cs="Times New Roman"/>
          <w:b/>
          <w:bCs/>
          <w:color w:val="1F3864"/>
          <w:sz w:val="26"/>
          <w:szCs w:val="26"/>
        </w:rPr>
        <w:t>V.B. BRSR Score Decomposition</w:t>
      </w:r>
    </w:p>
    <w:p w14:paraId="617B44E2">
      <w:pPr>
        <w:spacing w:before="0" w:after="240" w:line="480" w:lineRule="auto"/>
        <w:ind w:firstLine="720"/>
      </w:pPr>
      <w:r>
        <w:rPr>
          <w:rFonts w:ascii="Times New Roman" w:hAnsi="Times New Roman" w:eastAsia="Times New Roman" w:cs="Times New Roman"/>
          <w:color w:val="000000"/>
          <w:sz w:val="24"/>
          <w:szCs w:val="24"/>
        </w:rPr>
        <w:t>Table 5 presents the sub-index horse race. Panel A estimates each sub-index separately; Panel B enters all four jointly. In Panel A, all four sub-indices are individually significant at the 5% level or better, confirming that no single dimension spuriously drives the aggregate result. In Panel B, the assurance sub-index (−0.056 [P], t = −2.95 [P]) and completeness (−0.044 [P], t = −2.32 [P]) remain significant, while quantitative intensity is marginally significant (−0.031 [P], t = −1.72 [P]) and specificity is not (−0.021 [P], t = −1.24 [P]). The Wald test of equal sub-index coefficients is rejected (χ² = 14.3 [P], p = 0.002 [P]), confirming that investors price BRSR dimensions differentially. The dominance of the assurance sub-index suggests that the credibility of disclosure — not merely its volume — is the primary channel through which BRSR quality reduces the cost of equity.</w:t>
      </w:r>
    </w:p>
    <w:p w14:paraId="11DEFE93">
      <w:pPr>
        <w:spacing w:before="480" w:after="120"/>
        <w:jc w:val="center"/>
      </w:pPr>
      <w:r>
        <w:rPr>
          <w:rFonts w:ascii="Times New Roman" w:hAnsi="Times New Roman" w:eastAsia="Times New Roman" w:cs="Times New Roman"/>
          <w:b/>
          <w:bCs/>
          <w:sz w:val="22"/>
          <w:szCs w:val="22"/>
        </w:rPr>
        <w:t>TABLE 5</w:t>
      </w:r>
      <w:r>
        <w:rPr>
          <w:rFonts w:ascii="Times New Roman" w:hAnsi="Times New Roman" w:eastAsia="Times New Roman" w:cs="Times New Roman"/>
          <w:i/>
          <w:iCs/>
          <w:sz w:val="22"/>
          <w:szCs w:val="22"/>
        </w:rPr>
        <w:t>
BRSR Quality Score Decomposition: Which Dimension Drives the Cost-of-Equity Effect?</w:t>
      </w:r>
    </w:p>
    <w:p w14:paraId="60BDEEA2">
      <w:pPr>
        <w:spacing w:before="0" w:after="240" w:line="480" w:lineRule="auto"/>
      </w:pPr>
      <w:r>
        <w:rPr>
          <w:rFonts w:ascii="Times New Roman" w:hAnsi="Times New Roman" w:eastAsia="Times New Roman" w:cs="Times New Roman"/>
          <w:color w:val="000000"/>
          <w:sz w:val="24"/>
          <w:szCs w:val="24"/>
        </w:rPr>
        <w:t>Dependent variable: CAPM Cost of Equity (%). Panel A enters each sub-index separately. Panel B enters all four jointly. All values marked [P] are illustrative placeholders.</w:t>
      </w:r>
    </w:p>
    <w:p w14:paraId="5003B9A7">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3"/>
        <w:gridCol w:w="1173"/>
        <w:gridCol w:w="1073"/>
        <w:gridCol w:w="1070"/>
        <w:gridCol w:w="1073"/>
        <w:gridCol w:w="1433"/>
        <w:gridCol w:w="775"/>
      </w:tblGrid>
      <w:tr w14:paraId="7307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258EF7B">
            <w:pPr>
              <w:jc w:val="center"/>
            </w:pPr>
            <w:r>
              <w:rPr>
                <w:rFonts w:ascii="Times New Roman" w:hAnsi="Times New Roman" w:eastAsia="Times New Roman" w:cs="Times New Roman"/>
                <w:b/>
                <w:bCs/>
                <w:color w:val="FFFFFF"/>
                <w:sz w:val="20"/>
                <w:szCs w:val="20"/>
              </w:rPr>
              <w:t>BRSR Sub-Index</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703F2D3">
            <w:pPr>
              <w:jc w:val="center"/>
            </w:pPr>
            <w:r>
              <w:rPr>
                <w:rFonts w:ascii="Times New Roman" w:hAnsi="Times New Roman" w:eastAsia="Times New Roman" w:cs="Times New Roman"/>
                <w:b/>
                <w:bCs/>
                <w:color w:val="FFFFFF"/>
                <w:sz w:val="20"/>
                <w:szCs w:val="20"/>
              </w:rPr>
              <w:t>Coefficient</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8494D8A">
            <w:pPr>
              <w:jc w:val="center"/>
            </w:pPr>
            <w:r>
              <w:rPr>
                <w:rFonts w:ascii="Times New Roman" w:hAnsi="Times New Roman" w:eastAsia="Times New Roman" w:cs="Times New Roman"/>
                <w:b/>
                <w:bCs/>
                <w:color w:val="FFFFFF"/>
                <w:sz w:val="20"/>
                <w:szCs w:val="20"/>
              </w:rPr>
              <w:t>SE</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3E802C5F">
            <w:pPr>
              <w:jc w:val="center"/>
            </w:pPr>
            <w:r>
              <w:rPr>
                <w:rFonts w:ascii="Times New Roman" w:hAnsi="Times New Roman" w:eastAsia="Times New Roman" w:cs="Times New Roman"/>
                <w:b/>
                <w:bCs/>
                <w:color w:val="FFFFFF"/>
                <w:sz w:val="20"/>
                <w:szCs w:val="20"/>
              </w:rPr>
              <w:t>t-stat</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183A49FF">
            <w:pPr>
              <w:jc w:val="center"/>
            </w:pPr>
            <w:r>
              <w:rPr>
                <w:rFonts w:ascii="Times New Roman" w:hAnsi="Times New Roman" w:eastAsia="Times New Roman" w:cs="Times New Roman"/>
                <w:b/>
                <w:bCs/>
                <w:color w:val="FFFFFF"/>
                <w:sz w:val="20"/>
                <w:szCs w:val="20"/>
              </w:rPr>
              <w:t>p-value</w:t>
            </w:r>
          </w:p>
        </w:tc>
        <w:tc>
          <w:tcPr>
            <w:tcW w:w="14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1BCB1E7E">
            <w:pPr>
              <w:jc w:val="center"/>
            </w:pPr>
            <w:r>
              <w:rPr>
                <w:rFonts w:ascii="Times New Roman" w:hAnsi="Times New Roman" w:eastAsia="Times New Roman" w:cs="Times New Roman"/>
                <w:b/>
                <w:bCs/>
                <w:color w:val="FFFFFF"/>
                <w:sz w:val="20"/>
                <w:szCs w:val="20"/>
              </w:rPr>
              <w:t>Economic Magnitude</w:t>
            </w:r>
          </w:p>
        </w:tc>
        <w:tc>
          <w:tcPr>
            <w:tcW w:w="7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8FD94D1">
            <w:pPr>
              <w:jc w:val="center"/>
            </w:pPr>
            <w:r>
              <w:rPr>
                <w:rFonts w:ascii="Times New Roman" w:hAnsi="Times New Roman" w:eastAsia="Times New Roman" w:cs="Times New Roman"/>
                <w:b/>
                <w:bCs/>
                <w:color w:val="FFFFFF"/>
                <w:sz w:val="20"/>
                <w:szCs w:val="20"/>
              </w:rPr>
              <w:t>Sig.</w:t>
            </w:r>
          </w:p>
        </w:tc>
      </w:tr>
      <w:tr w14:paraId="2EAA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06CF425">
            <w:pPr>
              <w:jc w:val="left"/>
            </w:pPr>
            <w:r>
              <w:rPr>
                <w:rFonts w:ascii="Times New Roman" w:hAnsi="Times New Roman" w:eastAsia="Times New Roman" w:cs="Times New Roman"/>
                <w:i w:val="0"/>
                <w:iCs w:val="0"/>
                <w:sz w:val="20"/>
                <w:szCs w:val="20"/>
              </w:rPr>
              <w:t>Panel A: Sub-Index Horse Race (dependent: CAPM Cost of Equity)</w:t>
            </w: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0B60EC12">
            <w:pPr>
              <w:jc w:val="center"/>
            </w:pP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3318A485">
            <w:pPr>
              <w:jc w:val="center"/>
            </w:pP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5A672680">
            <w:pPr>
              <w:jc w:val="center"/>
            </w:pP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1CD4FEFA">
            <w:pPr>
              <w:jc w:val="center"/>
            </w:pPr>
          </w:p>
        </w:tc>
        <w:tc>
          <w:tcPr>
            <w:tcW w:w="144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19DFAE80">
            <w:pPr>
              <w:jc w:val="center"/>
            </w:pPr>
          </w:p>
        </w:tc>
        <w:tc>
          <w:tcPr>
            <w:tcW w:w="7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0327F266">
            <w:pPr>
              <w:jc w:val="center"/>
            </w:pPr>
          </w:p>
        </w:tc>
      </w:tr>
      <w:tr w14:paraId="74DA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6D88EF5">
            <w:pPr>
              <w:jc w:val="left"/>
            </w:pPr>
            <w:r>
              <w:rPr>
                <w:rFonts w:ascii="Times New Roman" w:hAnsi="Times New Roman" w:eastAsia="Times New Roman" w:cs="Times New Roman"/>
                <w:i w:val="0"/>
                <w:iCs w:val="0"/>
                <w:sz w:val="20"/>
                <w:szCs w:val="20"/>
              </w:rPr>
              <w:t>Completeness Sub-Index (0–25)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5BBFB44">
            <w:pPr>
              <w:jc w:val="center"/>
            </w:pPr>
            <w:r>
              <w:rPr>
                <w:rFonts w:ascii="Times New Roman" w:hAnsi="Times New Roman" w:eastAsia="Times New Roman" w:cs="Times New Roman"/>
                <w:i w:val="0"/>
                <w:iCs w:val="0"/>
                <w:sz w:val="20"/>
                <w:szCs w:val="20"/>
              </w:rPr>
              <w:t>−0.061***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900EB3C">
            <w:pPr>
              <w:jc w:val="center"/>
            </w:pPr>
            <w:r>
              <w:rPr>
                <w:rFonts w:ascii="Times New Roman" w:hAnsi="Times New Roman" w:eastAsia="Times New Roman" w:cs="Times New Roman"/>
                <w:i w:val="0"/>
                <w:iCs w:val="0"/>
                <w:sz w:val="20"/>
                <w:szCs w:val="20"/>
              </w:rPr>
              <w:t>(0.014)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389DC44">
            <w:pPr>
              <w:jc w:val="center"/>
            </w:pPr>
            <w:r>
              <w:rPr>
                <w:rFonts w:ascii="Times New Roman" w:hAnsi="Times New Roman" w:eastAsia="Times New Roman" w:cs="Times New Roman"/>
                <w:i w:val="0"/>
                <w:iCs w:val="0"/>
                <w:sz w:val="20"/>
                <w:szCs w:val="20"/>
              </w:rPr>
              <w:t>−4.36</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0DB9284">
            <w:pPr>
              <w:jc w:val="center"/>
            </w:pPr>
            <w:r>
              <w:rPr>
                <w:rFonts w:ascii="Times New Roman" w:hAnsi="Times New Roman" w:eastAsia="Times New Roman" w:cs="Times New Roman"/>
                <w:i w:val="0"/>
                <w:iCs w:val="0"/>
                <w:sz w:val="20"/>
                <w:szCs w:val="20"/>
              </w:rPr>
              <w:t>&lt;0.001</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D964B15">
            <w:pPr>
              <w:jc w:val="center"/>
            </w:pPr>
            <w:r>
              <w:rPr>
                <w:rFonts w:ascii="Times New Roman" w:hAnsi="Times New Roman" w:eastAsia="Times New Roman" w:cs="Times New Roman"/>
                <w:i w:val="0"/>
                <w:iCs w:val="0"/>
                <w:sz w:val="20"/>
                <w:szCs w:val="20"/>
              </w:rPr>
              <w:t>−1.13 bps/pt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A8DAA34">
            <w:pPr>
              <w:jc w:val="center"/>
            </w:pPr>
            <w:r>
              <w:rPr>
                <w:rFonts w:ascii="Times New Roman" w:hAnsi="Times New Roman" w:eastAsia="Times New Roman" w:cs="Times New Roman"/>
                <w:i w:val="0"/>
                <w:iCs w:val="0"/>
                <w:sz w:val="20"/>
                <w:szCs w:val="20"/>
              </w:rPr>
              <w:t>***</w:t>
            </w:r>
          </w:p>
        </w:tc>
      </w:tr>
      <w:tr w14:paraId="0806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4BED24F">
            <w:pPr>
              <w:jc w:val="left"/>
            </w:pPr>
            <w:r>
              <w:rPr>
                <w:rFonts w:ascii="Times New Roman" w:hAnsi="Times New Roman" w:eastAsia="Times New Roman" w:cs="Times New Roman"/>
                <w:i w:val="0"/>
                <w:iCs w:val="0"/>
                <w:sz w:val="20"/>
                <w:szCs w:val="20"/>
              </w:rPr>
              <w:t>Quantitative Intensity (0–25)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662DB06">
            <w:pPr>
              <w:jc w:val="center"/>
            </w:pPr>
            <w:r>
              <w:rPr>
                <w:rFonts w:ascii="Times New Roman" w:hAnsi="Times New Roman" w:eastAsia="Times New Roman" w:cs="Times New Roman"/>
                <w:i w:val="0"/>
                <w:iCs w:val="0"/>
                <w:sz w:val="20"/>
                <w:szCs w:val="20"/>
              </w:rPr>
              <w:t>−0.048***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850C274">
            <w:pPr>
              <w:jc w:val="center"/>
            </w:pPr>
            <w:r>
              <w:rPr>
                <w:rFonts w:ascii="Times New Roman" w:hAnsi="Times New Roman" w:eastAsia="Times New Roman" w:cs="Times New Roman"/>
                <w:i w:val="0"/>
                <w:iCs w:val="0"/>
                <w:sz w:val="20"/>
                <w:szCs w:val="20"/>
              </w:rPr>
              <w:t>(0.013)</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5A0BFC5">
            <w:pPr>
              <w:jc w:val="center"/>
            </w:pPr>
            <w:r>
              <w:rPr>
                <w:rFonts w:ascii="Times New Roman" w:hAnsi="Times New Roman" w:eastAsia="Times New Roman" w:cs="Times New Roman"/>
                <w:i w:val="0"/>
                <w:iCs w:val="0"/>
                <w:sz w:val="20"/>
                <w:szCs w:val="20"/>
              </w:rPr>
              <w:t>−3.69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DE1C8A5">
            <w:pPr>
              <w:jc w:val="center"/>
            </w:pPr>
            <w:r>
              <w:rPr>
                <w:rFonts w:ascii="Times New Roman" w:hAnsi="Times New Roman" w:eastAsia="Times New Roman" w:cs="Times New Roman"/>
                <w:i w:val="0"/>
                <w:iCs w:val="0"/>
                <w:sz w:val="20"/>
                <w:szCs w:val="20"/>
              </w:rPr>
              <w:t>&lt;0.001</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0235E96">
            <w:pPr>
              <w:jc w:val="center"/>
            </w:pPr>
            <w:r>
              <w:rPr>
                <w:rFonts w:ascii="Times New Roman" w:hAnsi="Times New Roman" w:eastAsia="Times New Roman" w:cs="Times New Roman"/>
                <w:i w:val="0"/>
                <w:iCs w:val="0"/>
                <w:sz w:val="20"/>
                <w:szCs w:val="20"/>
              </w:rPr>
              <w:t>−0.89 bps/pt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7B29C8C">
            <w:pPr>
              <w:jc w:val="center"/>
            </w:pPr>
            <w:r>
              <w:rPr>
                <w:rFonts w:ascii="Times New Roman" w:hAnsi="Times New Roman" w:eastAsia="Times New Roman" w:cs="Times New Roman"/>
                <w:i w:val="0"/>
                <w:iCs w:val="0"/>
                <w:sz w:val="20"/>
                <w:szCs w:val="20"/>
              </w:rPr>
              <w:t>***</w:t>
            </w:r>
          </w:p>
        </w:tc>
      </w:tr>
      <w:tr w14:paraId="14AD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541417C">
            <w:pPr>
              <w:jc w:val="left"/>
            </w:pPr>
            <w:r>
              <w:rPr>
                <w:rFonts w:ascii="Times New Roman" w:hAnsi="Times New Roman" w:eastAsia="Times New Roman" w:cs="Times New Roman"/>
                <w:i w:val="0"/>
                <w:iCs w:val="0"/>
                <w:sz w:val="20"/>
                <w:szCs w:val="20"/>
              </w:rPr>
              <w:t>Specificity Sub-Index (0–25)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41E78B9">
            <w:pPr>
              <w:jc w:val="center"/>
            </w:pPr>
            <w:r>
              <w:rPr>
                <w:rFonts w:ascii="Times New Roman" w:hAnsi="Times New Roman" w:eastAsia="Times New Roman" w:cs="Times New Roman"/>
                <w:i w:val="0"/>
                <w:iCs w:val="0"/>
                <w:sz w:val="20"/>
                <w:szCs w:val="20"/>
              </w:rPr>
              <w:t>−0.034**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2085BAA">
            <w:pPr>
              <w:jc w:val="center"/>
            </w:pPr>
            <w:r>
              <w:rPr>
                <w:rFonts w:ascii="Times New Roman" w:hAnsi="Times New Roman" w:eastAsia="Times New Roman" w:cs="Times New Roman"/>
                <w:i w:val="0"/>
                <w:iCs w:val="0"/>
                <w:sz w:val="20"/>
                <w:szCs w:val="20"/>
              </w:rPr>
              <w:t>(0.015)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3D15F47">
            <w:pPr>
              <w:jc w:val="center"/>
            </w:pPr>
            <w:r>
              <w:rPr>
                <w:rFonts w:ascii="Times New Roman" w:hAnsi="Times New Roman" w:eastAsia="Times New Roman" w:cs="Times New Roman"/>
                <w:i w:val="0"/>
                <w:iCs w:val="0"/>
                <w:sz w:val="20"/>
                <w:szCs w:val="20"/>
              </w:rPr>
              <w:t>−2.27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8433C04">
            <w:pPr>
              <w:jc w:val="center"/>
            </w:pPr>
            <w:r>
              <w:rPr>
                <w:rFonts w:ascii="Times New Roman" w:hAnsi="Times New Roman" w:eastAsia="Times New Roman" w:cs="Times New Roman"/>
                <w:i w:val="0"/>
                <w:iCs w:val="0"/>
                <w:sz w:val="20"/>
                <w:szCs w:val="20"/>
              </w:rPr>
              <w:t>0.023</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2C82CEF">
            <w:pPr>
              <w:jc w:val="center"/>
            </w:pPr>
            <w:r>
              <w:rPr>
                <w:rFonts w:ascii="Times New Roman" w:hAnsi="Times New Roman" w:eastAsia="Times New Roman" w:cs="Times New Roman"/>
                <w:i w:val="0"/>
                <w:iCs w:val="0"/>
                <w:sz w:val="20"/>
                <w:szCs w:val="20"/>
              </w:rPr>
              <w:t>−0.63 bps/pt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13E7074">
            <w:pPr>
              <w:jc w:val="center"/>
            </w:pPr>
            <w:r>
              <w:rPr>
                <w:rFonts w:ascii="Times New Roman" w:hAnsi="Times New Roman" w:eastAsia="Times New Roman" w:cs="Times New Roman"/>
                <w:i w:val="0"/>
                <w:iCs w:val="0"/>
                <w:sz w:val="20"/>
                <w:szCs w:val="20"/>
              </w:rPr>
              <w:t>**</w:t>
            </w:r>
          </w:p>
        </w:tc>
      </w:tr>
      <w:tr w14:paraId="36B5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80285E8">
            <w:pPr>
              <w:jc w:val="left"/>
            </w:pPr>
            <w:r>
              <w:rPr>
                <w:rFonts w:ascii="Times New Roman" w:hAnsi="Times New Roman" w:eastAsia="Times New Roman" w:cs="Times New Roman"/>
                <w:i w:val="0"/>
                <w:iCs w:val="0"/>
                <w:sz w:val="20"/>
                <w:szCs w:val="20"/>
              </w:rPr>
              <w:t>Assurance Sub-Index (0–25)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9022DC1">
            <w:pPr>
              <w:jc w:val="center"/>
            </w:pPr>
            <w:r>
              <w:rPr>
                <w:rFonts w:ascii="Times New Roman" w:hAnsi="Times New Roman" w:eastAsia="Times New Roman" w:cs="Times New Roman"/>
                <w:i w:val="0"/>
                <w:iCs w:val="0"/>
                <w:sz w:val="20"/>
                <w:szCs w:val="20"/>
              </w:rPr>
              <w:t>−0.071***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A0737C4">
            <w:pPr>
              <w:jc w:val="center"/>
            </w:pPr>
            <w:r>
              <w:rPr>
                <w:rFonts w:ascii="Times New Roman" w:hAnsi="Times New Roman" w:eastAsia="Times New Roman" w:cs="Times New Roman"/>
                <w:i w:val="0"/>
                <w:iCs w:val="0"/>
                <w:sz w:val="20"/>
                <w:szCs w:val="20"/>
              </w:rPr>
              <w:t>(0.018)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62DC476">
            <w:pPr>
              <w:jc w:val="center"/>
            </w:pPr>
            <w:r>
              <w:rPr>
                <w:rFonts w:ascii="Times New Roman" w:hAnsi="Times New Roman" w:eastAsia="Times New Roman" w:cs="Times New Roman"/>
                <w:i w:val="0"/>
                <w:iCs w:val="0"/>
                <w:sz w:val="20"/>
                <w:szCs w:val="20"/>
              </w:rPr>
              <w:t>−3.94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CF157C6">
            <w:pPr>
              <w:jc w:val="center"/>
            </w:pPr>
            <w:r>
              <w:rPr>
                <w:rFonts w:ascii="Times New Roman" w:hAnsi="Times New Roman" w:eastAsia="Times New Roman" w:cs="Times New Roman"/>
                <w:i w:val="0"/>
                <w:iCs w:val="0"/>
                <w:sz w:val="20"/>
                <w:szCs w:val="20"/>
              </w:rPr>
              <w:t>&lt;0.001</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8AE0D08">
            <w:pPr>
              <w:jc w:val="center"/>
            </w:pPr>
            <w:r>
              <w:rPr>
                <w:rFonts w:ascii="Times New Roman" w:hAnsi="Times New Roman" w:eastAsia="Times New Roman" w:cs="Times New Roman"/>
                <w:i w:val="0"/>
                <w:iCs w:val="0"/>
                <w:sz w:val="20"/>
                <w:szCs w:val="20"/>
              </w:rPr>
              <w:t>−1.31 bps/pt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8DF36A8">
            <w:pPr>
              <w:jc w:val="center"/>
            </w:pPr>
            <w:r>
              <w:rPr>
                <w:rFonts w:ascii="Times New Roman" w:hAnsi="Times New Roman" w:eastAsia="Times New Roman" w:cs="Times New Roman"/>
                <w:i w:val="0"/>
                <w:iCs w:val="0"/>
                <w:sz w:val="20"/>
                <w:szCs w:val="20"/>
              </w:rPr>
              <w:t>***</w:t>
            </w:r>
          </w:p>
        </w:tc>
      </w:tr>
      <w:tr w14:paraId="7F040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431F3463">
            <w:pPr>
              <w:jc w:val="left"/>
            </w:pPr>
            <w:r>
              <w:rPr>
                <w:rFonts w:ascii="Times New Roman" w:hAnsi="Times New Roman" w:eastAsia="Times New Roman" w:cs="Times New Roman"/>
                <w:i w:val="0"/>
                <w:iCs w:val="0"/>
                <w:sz w:val="20"/>
                <w:szCs w:val="20"/>
              </w:rPr>
              <w:t>Panel B: Joint Model (all four sub-indices)</w:t>
            </w: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1FCED87F">
            <w:pPr>
              <w:jc w:val="center"/>
            </w:pP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411E124">
            <w:pPr>
              <w:jc w:val="center"/>
            </w:pP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8B9BD57">
            <w:pPr>
              <w:jc w:val="center"/>
            </w:pPr>
          </w:p>
        </w:tc>
        <w:tc>
          <w:tcPr>
            <w:tcW w:w="10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34C9AF7A">
            <w:pPr>
              <w:jc w:val="center"/>
            </w:pPr>
          </w:p>
        </w:tc>
        <w:tc>
          <w:tcPr>
            <w:tcW w:w="144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7A48BEF0">
            <w:pPr>
              <w:jc w:val="center"/>
            </w:pPr>
          </w:p>
        </w:tc>
        <w:tc>
          <w:tcPr>
            <w:tcW w:w="78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373B99C5">
            <w:pPr>
              <w:jc w:val="center"/>
            </w:pPr>
          </w:p>
        </w:tc>
      </w:tr>
      <w:tr w14:paraId="14ED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FA41366">
            <w:pPr>
              <w:jc w:val="left"/>
            </w:pPr>
            <w:r>
              <w:rPr>
                <w:rFonts w:ascii="Times New Roman" w:hAnsi="Times New Roman" w:eastAsia="Times New Roman" w:cs="Times New Roman"/>
                <w:i w:val="0"/>
                <w:iCs w:val="0"/>
                <w:sz w:val="20"/>
                <w:szCs w:val="20"/>
              </w:rPr>
              <w:t>Completeness</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092BA5B">
            <w:pPr>
              <w:jc w:val="center"/>
            </w:pPr>
            <w:r>
              <w:rPr>
                <w:rFonts w:ascii="Times New Roman" w:hAnsi="Times New Roman" w:eastAsia="Times New Roman" w:cs="Times New Roman"/>
                <w:i w:val="0"/>
                <w:iCs w:val="0"/>
                <w:sz w:val="20"/>
                <w:szCs w:val="20"/>
              </w:rPr>
              <w:t>−0.044**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ADC98C3">
            <w:pPr>
              <w:jc w:val="center"/>
            </w:pPr>
            <w:r>
              <w:rPr>
                <w:rFonts w:ascii="Times New Roman" w:hAnsi="Times New Roman" w:eastAsia="Times New Roman" w:cs="Times New Roman"/>
                <w:i w:val="0"/>
                <w:iCs w:val="0"/>
                <w:sz w:val="20"/>
                <w:szCs w:val="20"/>
              </w:rPr>
              <w:t>(0.019)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F4D20E3">
            <w:pPr>
              <w:jc w:val="center"/>
            </w:pPr>
            <w:r>
              <w:rPr>
                <w:rFonts w:ascii="Times New Roman" w:hAnsi="Times New Roman" w:eastAsia="Times New Roman" w:cs="Times New Roman"/>
                <w:i w:val="0"/>
                <w:iCs w:val="0"/>
                <w:sz w:val="20"/>
                <w:szCs w:val="20"/>
              </w:rPr>
              <w:t>−2.32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A486D66">
            <w:pPr>
              <w:jc w:val="center"/>
            </w:pPr>
            <w:r>
              <w:rPr>
                <w:rFonts w:ascii="Times New Roman" w:hAnsi="Times New Roman" w:eastAsia="Times New Roman" w:cs="Times New Roman"/>
                <w:i w:val="0"/>
                <w:iCs w:val="0"/>
                <w:sz w:val="20"/>
                <w:szCs w:val="20"/>
              </w:rPr>
              <w:t>0.020</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8CB97A4">
            <w:pPr>
              <w:jc w:val="center"/>
            </w:pPr>
            <w:r>
              <w:rPr>
                <w:rFonts w:ascii="Times New Roman" w:hAnsi="Times New Roman" w:eastAsia="Times New Roman" w:cs="Times New Roman"/>
                <w:i w:val="0"/>
                <w:iCs w:val="0"/>
                <w:sz w:val="20"/>
                <w:szCs w:val="20"/>
              </w:rPr>
              <w: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9825579">
            <w:pPr>
              <w:jc w:val="center"/>
            </w:pPr>
            <w:r>
              <w:rPr>
                <w:rFonts w:ascii="Times New Roman" w:hAnsi="Times New Roman" w:eastAsia="Times New Roman" w:cs="Times New Roman"/>
                <w:i w:val="0"/>
                <w:iCs w:val="0"/>
                <w:sz w:val="20"/>
                <w:szCs w:val="20"/>
              </w:rPr>
              <w:t>**</w:t>
            </w:r>
          </w:p>
        </w:tc>
      </w:tr>
      <w:tr w14:paraId="7D8E6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2D16970">
            <w:pPr>
              <w:jc w:val="left"/>
            </w:pPr>
            <w:r>
              <w:rPr>
                <w:rFonts w:ascii="Times New Roman" w:hAnsi="Times New Roman" w:eastAsia="Times New Roman" w:cs="Times New Roman"/>
                <w:i w:val="0"/>
                <w:iCs w:val="0"/>
                <w:sz w:val="20"/>
                <w:szCs w:val="20"/>
              </w:rPr>
              <w:t>Quantitative Intensity</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79406BE">
            <w:pPr>
              <w:jc w:val="center"/>
            </w:pPr>
            <w:r>
              <w:rPr>
                <w:rFonts w:ascii="Times New Roman" w:hAnsi="Times New Roman" w:eastAsia="Times New Roman" w:cs="Times New Roman"/>
                <w:i w:val="0"/>
                <w:iCs w:val="0"/>
                <w:sz w:val="20"/>
                <w:szCs w:val="20"/>
              </w:rPr>
              <w:t>−0.031*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B1D0B66">
            <w:pPr>
              <w:jc w:val="center"/>
            </w:pPr>
            <w:r>
              <w:rPr>
                <w:rFonts w:ascii="Times New Roman" w:hAnsi="Times New Roman" w:eastAsia="Times New Roman" w:cs="Times New Roman"/>
                <w:i w:val="0"/>
                <w:iCs w:val="0"/>
                <w:sz w:val="20"/>
                <w:szCs w:val="20"/>
              </w:rPr>
              <w:t>(0.018)</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E5231CD">
            <w:pPr>
              <w:jc w:val="center"/>
            </w:pPr>
            <w:r>
              <w:rPr>
                <w:rFonts w:ascii="Times New Roman" w:hAnsi="Times New Roman" w:eastAsia="Times New Roman" w:cs="Times New Roman"/>
                <w:i w:val="0"/>
                <w:iCs w:val="0"/>
                <w:sz w:val="20"/>
                <w:szCs w:val="20"/>
              </w:rPr>
              <w:t>−1.72</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4DD30BF">
            <w:pPr>
              <w:jc w:val="center"/>
            </w:pPr>
            <w:r>
              <w:rPr>
                <w:rFonts w:ascii="Times New Roman" w:hAnsi="Times New Roman" w:eastAsia="Times New Roman" w:cs="Times New Roman"/>
                <w:i w:val="0"/>
                <w:iCs w:val="0"/>
                <w:sz w:val="20"/>
                <w:szCs w:val="20"/>
              </w:rPr>
              <w:t>0.085</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572552C">
            <w:pPr>
              <w:jc w:val="center"/>
            </w:pPr>
            <w:r>
              <w:rPr>
                <w:rFonts w:ascii="Times New Roman" w:hAnsi="Times New Roman" w:eastAsia="Times New Roman" w:cs="Times New Roman"/>
                <w:i w:val="0"/>
                <w:iCs w:val="0"/>
                <w:sz w:val="20"/>
                <w:szCs w:val="20"/>
              </w:rPr>
              <w: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8CC8D7C">
            <w:pPr>
              <w:jc w:val="center"/>
            </w:pPr>
            <w:r>
              <w:rPr>
                <w:rFonts w:ascii="Times New Roman" w:hAnsi="Times New Roman" w:eastAsia="Times New Roman" w:cs="Times New Roman"/>
                <w:i w:val="0"/>
                <w:iCs w:val="0"/>
                <w:sz w:val="20"/>
                <w:szCs w:val="20"/>
              </w:rPr>
              <w:t>*</w:t>
            </w:r>
          </w:p>
        </w:tc>
      </w:tr>
      <w:tr w14:paraId="1CFD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3B242F8">
            <w:pPr>
              <w:jc w:val="left"/>
            </w:pPr>
            <w:r>
              <w:rPr>
                <w:rFonts w:ascii="Times New Roman" w:hAnsi="Times New Roman" w:eastAsia="Times New Roman" w:cs="Times New Roman"/>
                <w:i w:val="0"/>
                <w:iCs w:val="0"/>
                <w:sz w:val="20"/>
                <w:szCs w:val="20"/>
              </w:rPr>
              <w:t>Specificity</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D13F80B">
            <w:pPr>
              <w:jc w:val="center"/>
            </w:pPr>
            <w:r>
              <w:rPr>
                <w:rFonts w:ascii="Times New Roman" w:hAnsi="Times New Roman" w:eastAsia="Times New Roman" w:cs="Times New Roman"/>
                <w:i w:val="0"/>
                <w:iCs w:val="0"/>
                <w:sz w:val="20"/>
                <w:szCs w:val="20"/>
              </w:rPr>
              <w:t>−0.021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EE0630A">
            <w:pPr>
              <w:jc w:val="center"/>
            </w:pPr>
            <w:r>
              <w:rPr>
                <w:rFonts w:ascii="Times New Roman" w:hAnsi="Times New Roman" w:eastAsia="Times New Roman" w:cs="Times New Roman"/>
                <w:i w:val="0"/>
                <w:iCs w:val="0"/>
                <w:sz w:val="20"/>
                <w:szCs w:val="20"/>
              </w:rPr>
              <w:t>(0.017)</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D67A24C">
            <w:pPr>
              <w:jc w:val="center"/>
            </w:pPr>
            <w:r>
              <w:rPr>
                <w:rFonts w:ascii="Times New Roman" w:hAnsi="Times New Roman" w:eastAsia="Times New Roman" w:cs="Times New Roman"/>
                <w:i w:val="0"/>
                <w:iCs w:val="0"/>
                <w:sz w:val="20"/>
                <w:szCs w:val="20"/>
              </w:rPr>
              <w:t>−1.24</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C2CC9BF">
            <w:pPr>
              <w:jc w:val="center"/>
            </w:pPr>
            <w:r>
              <w:rPr>
                <w:rFonts w:ascii="Times New Roman" w:hAnsi="Times New Roman" w:eastAsia="Times New Roman" w:cs="Times New Roman"/>
                <w:i w:val="0"/>
                <w:iCs w:val="0"/>
                <w:sz w:val="20"/>
                <w:szCs w:val="20"/>
              </w:rPr>
              <w:t>0.215</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23EDE7B">
            <w:pPr>
              <w:jc w:val="center"/>
            </w:pPr>
            <w:r>
              <w:rPr>
                <w:rFonts w:ascii="Times New Roman" w:hAnsi="Times New Roman" w:eastAsia="Times New Roman" w:cs="Times New Roman"/>
                <w:i w:val="0"/>
                <w:iCs w:val="0"/>
                <w:sz w:val="20"/>
                <w:szCs w:val="20"/>
              </w:rPr>
              <w: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1352F78">
            <w:pPr>
              <w:jc w:val="center"/>
            </w:pPr>
            <w:r>
              <w:rPr>
                <w:rFonts w:ascii="Times New Roman" w:hAnsi="Times New Roman" w:eastAsia="Times New Roman" w:cs="Times New Roman"/>
                <w:i w:val="0"/>
                <w:iCs w:val="0"/>
                <w:sz w:val="20"/>
                <w:szCs w:val="20"/>
              </w:rPr>
              <w:t>n.s.</w:t>
            </w:r>
          </w:p>
        </w:tc>
      </w:tr>
      <w:tr w14:paraId="3A0A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3E68152">
            <w:pPr>
              <w:jc w:val="left"/>
            </w:pPr>
            <w:r>
              <w:rPr>
                <w:rFonts w:ascii="Times New Roman" w:hAnsi="Times New Roman" w:eastAsia="Times New Roman" w:cs="Times New Roman"/>
                <w:i w:val="0"/>
                <w:iCs w:val="0"/>
                <w:sz w:val="20"/>
                <w:szCs w:val="20"/>
              </w:rPr>
              <w:t>Assurance</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5745DEF">
            <w:pPr>
              <w:jc w:val="center"/>
            </w:pPr>
            <w:r>
              <w:rPr>
                <w:rFonts w:ascii="Times New Roman" w:hAnsi="Times New Roman" w:eastAsia="Times New Roman" w:cs="Times New Roman"/>
                <w:i w:val="0"/>
                <w:iCs w:val="0"/>
                <w:sz w:val="20"/>
                <w:szCs w:val="20"/>
              </w:rPr>
              <w:t>−0.056***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926CF7E">
            <w:pPr>
              <w:jc w:val="center"/>
            </w:pPr>
            <w:r>
              <w:rPr>
                <w:rFonts w:ascii="Times New Roman" w:hAnsi="Times New Roman" w:eastAsia="Times New Roman" w:cs="Times New Roman"/>
                <w:i w:val="0"/>
                <w:iCs w:val="0"/>
                <w:sz w:val="20"/>
                <w:szCs w:val="20"/>
              </w:rPr>
              <w:t>(0.019)</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1F3A6F4">
            <w:pPr>
              <w:jc w:val="center"/>
            </w:pPr>
            <w:r>
              <w:rPr>
                <w:rFonts w:ascii="Times New Roman" w:hAnsi="Times New Roman" w:eastAsia="Times New Roman" w:cs="Times New Roman"/>
                <w:i w:val="0"/>
                <w:iCs w:val="0"/>
                <w:sz w:val="20"/>
                <w:szCs w:val="20"/>
              </w:rPr>
              <w:t>−2.95</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DF9C5C4">
            <w:pPr>
              <w:jc w:val="center"/>
            </w:pPr>
            <w:r>
              <w:rPr>
                <w:rFonts w:ascii="Times New Roman" w:hAnsi="Times New Roman" w:eastAsia="Times New Roman" w:cs="Times New Roman"/>
                <w:i w:val="0"/>
                <w:iCs w:val="0"/>
                <w:sz w:val="20"/>
                <w:szCs w:val="20"/>
              </w:rPr>
              <w:t>0.003</w:t>
            </w:r>
          </w:p>
        </w:tc>
        <w:tc>
          <w:tcPr>
            <w:tcW w:w="14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4247202">
            <w:pPr>
              <w:jc w:val="center"/>
            </w:pPr>
            <w:r>
              <w:rPr>
                <w:rFonts w:ascii="Times New Roman" w:hAnsi="Times New Roman" w:eastAsia="Times New Roman" w:cs="Times New Roman"/>
                <w:i w:val="0"/>
                <w:iCs w:val="0"/>
                <w:sz w:val="20"/>
                <w:szCs w:val="20"/>
              </w:rPr>
              <w:t>—</w:t>
            </w:r>
          </w:p>
        </w:tc>
        <w:tc>
          <w:tcPr>
            <w:tcW w:w="7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63A4525">
            <w:pPr>
              <w:jc w:val="center"/>
            </w:pPr>
            <w:r>
              <w:rPr>
                <w:rFonts w:ascii="Times New Roman" w:hAnsi="Times New Roman" w:eastAsia="Times New Roman" w:cs="Times New Roman"/>
                <w:i w:val="0"/>
                <w:iCs w:val="0"/>
                <w:sz w:val="20"/>
                <w:szCs w:val="20"/>
              </w:rPr>
              <w:t>***</w:t>
            </w:r>
          </w:p>
        </w:tc>
      </w:tr>
    </w:tbl>
    <w:p w14:paraId="6EC79E9E">
      <w:pPr>
        <w:spacing w:before="80" w:after="240"/>
      </w:pPr>
      <w:r>
        <w:rPr>
          <w:rFonts w:ascii="Times New Roman" w:hAnsi="Times New Roman" w:eastAsia="Times New Roman" w:cs="Times New Roman"/>
          <w:b/>
          <w:bCs/>
          <w:sz w:val="18"/>
          <w:szCs w:val="18"/>
        </w:rPr>
        <w:t xml:space="preserve">Notes: </w:t>
      </w:r>
      <w:r>
        <w:rPr>
          <w:rFonts w:ascii="Times New Roman" w:hAnsi="Times New Roman" w:eastAsia="Times New Roman" w:cs="Times New Roman"/>
          <w:i/>
          <w:iCs/>
          <w:sz w:val="18"/>
          <w:szCs w:val="18"/>
        </w:rPr>
        <w:t>BRSR sub-indices each range 0–25 and sum to the aggregate BRSR Quality Score (0–100). All specifications include firm and year fixed effects and the full control set. Wald test (Panel B, H₀: equal coefficients) [P] value to be reported. *** p&lt;0.01, ** p&lt;0.05, * p&lt;0.10. Standard errors clustered at firm level. All coefficient values are illustrative placeholders.</w:t>
      </w:r>
    </w:p>
    <w:p w14:paraId="6976AA94">
      <w:pPr>
        <w:spacing w:before="360" w:after="180"/>
      </w:pPr>
      <w:r>
        <w:rPr>
          <w:rFonts w:ascii="Times New Roman" w:hAnsi="Times New Roman" w:eastAsia="Times New Roman" w:cs="Times New Roman"/>
          <w:b/>
          <w:bCs/>
          <w:color w:val="1F3864"/>
          <w:sz w:val="26"/>
          <w:szCs w:val="26"/>
        </w:rPr>
        <w:t>V.C. Robustness</w:t>
      </w:r>
    </w:p>
    <w:p w14:paraId="3931CF3E">
      <w:pPr>
        <w:spacing w:before="0" w:after="240" w:line="480" w:lineRule="auto"/>
        <w:ind w:firstLine="720"/>
      </w:pPr>
      <w:r>
        <w:rPr>
          <w:rFonts w:ascii="Times New Roman" w:hAnsi="Times New Roman" w:eastAsia="Times New Roman" w:cs="Times New Roman"/>
          <w:color w:val="000000"/>
          <w:sz w:val="24"/>
          <w:szCs w:val="24"/>
        </w:rPr>
        <w:t>Table 3 presents robustness checks. The key result across all six columns is that the BRSR quality coefficient remains negative, statistically significant, and economically comparable to the baseline. Column (3) — the pre-mandate placebo test — is the most important: assigning the BRSR treatment to FY2019–FY2021 (before the mandate existed) yields a coefficient of 0.003 [P] (t = 0.43 [P]), statistically indistinguishable from zero. This falsification confirms that the post-mandate result is not driven by a pre-existing trend correlated with both BRSR quality and cost of equity. Entropy balancing (Column 6) and restriction to large firms (Column 4) produce estimates (−0.038 [P] and −0.044 [P]) closely bracketing the baseline, confirming that neither sample composition nor observable selection bias explains the main result.</w:t>
      </w:r>
    </w:p>
    <w:p w14:paraId="23FE7843">
      <w:pPr>
        <w:spacing w:before="480" w:after="120"/>
        <w:jc w:val="center"/>
      </w:pPr>
      <w:r>
        <w:rPr>
          <w:rFonts w:ascii="Times New Roman" w:hAnsi="Times New Roman" w:eastAsia="Times New Roman" w:cs="Times New Roman"/>
          <w:b/>
          <w:bCs/>
          <w:sz w:val="22"/>
          <w:szCs w:val="22"/>
        </w:rPr>
        <w:t>TABLE 3</w:t>
      </w:r>
      <w:r>
        <w:rPr>
          <w:rFonts w:ascii="Times New Roman" w:hAnsi="Times New Roman" w:eastAsia="Times New Roman" w:cs="Times New Roman"/>
          <w:i/>
          <w:iCs/>
          <w:sz w:val="22"/>
          <w:szCs w:val="22"/>
        </w:rPr>
        <w:t>
Robustness Checks</w:t>
      </w:r>
    </w:p>
    <w:p w14:paraId="7CAB1EA1">
      <w:pPr>
        <w:spacing w:before="0" w:after="240" w:line="480" w:lineRule="auto"/>
      </w:pPr>
      <w:r>
        <w:rPr>
          <w:rFonts w:ascii="Times New Roman" w:hAnsi="Times New Roman" w:eastAsia="Times New Roman" w:cs="Times New Roman"/>
          <w:color w:val="000000"/>
          <w:sz w:val="24"/>
          <w:szCs w:val="24"/>
        </w:rPr>
        <w:t>Dependent variable: CAPM Cost of Equity (%). All values marked [P] are illustrative placeholders. Column (3) is a falsification test: the treatment is assigned to FY2019–FY2021 (pre-mandate period).</w:t>
      </w:r>
    </w:p>
    <w:p w14:paraId="0E564CCF">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0"/>
        <w:gridCol w:w="1103"/>
        <w:gridCol w:w="1418"/>
        <w:gridCol w:w="1030"/>
        <w:gridCol w:w="1103"/>
        <w:gridCol w:w="1103"/>
        <w:gridCol w:w="1423"/>
      </w:tblGrid>
      <w:tr w14:paraId="683C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6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3BE0501E">
            <w:pPr>
              <w:jc w:val="center"/>
            </w:pP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4263C0E">
            <w:pPr>
              <w:jc w:val="center"/>
            </w:pPr>
            <w:r>
              <w:rPr>
                <w:rFonts w:ascii="Times New Roman" w:hAnsi="Times New Roman" w:eastAsia="Times New Roman" w:cs="Times New Roman"/>
                <w:b/>
                <w:bCs/>
                <w:color w:val="FFFFFF"/>
                <w:sz w:val="20"/>
                <w:szCs w:val="20"/>
              </w:rPr>
              <w:t>(1)
Alt. Score</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3C2E4C45">
            <w:pPr>
              <w:jc w:val="center"/>
            </w:pPr>
            <w:r>
              <w:rPr>
                <w:rFonts w:ascii="Times New Roman" w:hAnsi="Times New Roman" w:eastAsia="Times New Roman" w:cs="Times New Roman"/>
                <w:b/>
                <w:bCs/>
                <w:color w:val="FFFFFF"/>
                <w:sz w:val="20"/>
                <w:szCs w:val="20"/>
              </w:rPr>
              <w:t>(2)
Completeness</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092022CE">
            <w:pPr>
              <w:jc w:val="center"/>
            </w:pPr>
            <w:r>
              <w:rPr>
                <w:rFonts w:ascii="Times New Roman" w:hAnsi="Times New Roman" w:eastAsia="Times New Roman" w:cs="Times New Roman"/>
                <w:b/>
                <w:bCs/>
                <w:color w:val="FFFFFF"/>
                <w:sz w:val="20"/>
                <w:szCs w:val="20"/>
              </w:rPr>
              <w:t>(3)
Placebo
(Pre-BRSR)</w:t>
            </w:r>
          </w:p>
        </w:tc>
        <w:tc>
          <w:tcPr>
            <w:tcW w:w="104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D890291">
            <w:pPr>
              <w:jc w:val="center"/>
            </w:pPr>
            <w:r>
              <w:rPr>
                <w:rFonts w:ascii="Times New Roman" w:hAnsi="Times New Roman" w:eastAsia="Times New Roman" w:cs="Times New Roman"/>
                <w:b/>
                <w:bCs/>
                <w:color w:val="FFFFFF"/>
                <w:sz w:val="20"/>
                <w:szCs w:val="20"/>
              </w:rPr>
              <w:t>(4)
Large Firms</w:t>
            </w:r>
          </w:p>
        </w:tc>
        <w:tc>
          <w:tcPr>
            <w:tcW w:w="108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87BE9DF">
            <w:pPr>
              <w:jc w:val="center"/>
            </w:pPr>
            <w:r>
              <w:rPr>
                <w:rFonts w:ascii="Times New Roman" w:hAnsi="Times New Roman" w:eastAsia="Times New Roman" w:cs="Times New Roman"/>
                <w:b/>
                <w:bCs/>
                <w:color w:val="FFFFFF"/>
                <w:sz w:val="20"/>
                <w:szCs w:val="20"/>
              </w:rPr>
              <w:t>(5)
Excl. Finance</w:t>
            </w:r>
          </w:p>
        </w:tc>
        <w:tc>
          <w:tcPr>
            <w:tcW w:w="156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BFC0927">
            <w:pPr>
              <w:jc w:val="center"/>
            </w:pPr>
            <w:r>
              <w:rPr>
                <w:rFonts w:ascii="Times New Roman" w:hAnsi="Times New Roman" w:eastAsia="Times New Roman" w:cs="Times New Roman"/>
                <w:b/>
                <w:bCs/>
                <w:color w:val="FFFFFF"/>
                <w:sz w:val="20"/>
                <w:szCs w:val="20"/>
              </w:rPr>
              <w:t>(6)
Entropy Balance</w:t>
            </w:r>
          </w:p>
        </w:tc>
      </w:tr>
      <w:tr w14:paraId="45D2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19A4A43">
            <w:pPr>
              <w:jc w:val="left"/>
            </w:pPr>
            <w:r>
              <w:rPr>
                <w:rFonts w:ascii="Times New Roman" w:hAnsi="Times New Roman" w:eastAsia="Times New Roman" w:cs="Times New Roman"/>
                <w:i w:val="0"/>
                <w:iCs w:val="0"/>
                <w:sz w:val="20"/>
                <w:szCs w:val="20"/>
              </w:rPr>
              <w:t>BRSR Quality Measure</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F1AE161">
            <w:pPr>
              <w:jc w:val="center"/>
            </w:pPr>
            <w:r>
              <w:rPr>
                <w:rFonts w:ascii="Times New Roman" w:hAnsi="Times New Roman" w:eastAsia="Times New Roman" w:cs="Times New Roman"/>
                <w:i w:val="0"/>
                <w:iCs w:val="0"/>
                <w:sz w:val="20"/>
                <w:szCs w:val="20"/>
              </w:rPr>
              <w:t>−0.029***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436CC9B">
            <w:pPr>
              <w:jc w:val="center"/>
            </w:pPr>
            <w:r>
              <w:rPr>
                <w:rFonts w:ascii="Times New Roman" w:hAnsi="Times New Roman" w:eastAsia="Times New Roman" w:cs="Times New Roman"/>
                <w:i w:val="0"/>
                <w:iCs w:val="0"/>
                <w:sz w:val="20"/>
                <w:szCs w:val="20"/>
              </w:rPr>
              <w:t>−1.847***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95397D7">
            <w:pPr>
              <w:jc w:val="center"/>
            </w:pPr>
            <w:r>
              <w:rPr>
                <w:rFonts w:ascii="Times New Roman" w:hAnsi="Times New Roman" w:eastAsia="Times New Roman" w:cs="Times New Roman"/>
                <w:i w:val="0"/>
                <w:iCs w:val="0"/>
                <w:sz w:val="20"/>
                <w:szCs w:val="20"/>
              </w:rPr>
              <w:t>0.003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FAF6BBF">
            <w:pPr>
              <w:jc w:val="center"/>
            </w:pPr>
            <w:r>
              <w:rPr>
                <w:rFonts w:ascii="Times New Roman" w:hAnsi="Times New Roman" w:eastAsia="Times New Roman" w:cs="Times New Roman"/>
                <w:i w:val="0"/>
                <w:iCs w:val="0"/>
                <w:sz w:val="20"/>
                <w:szCs w:val="20"/>
              </w:rPr>
              <w:t>−0.044***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9BEF5C2">
            <w:pPr>
              <w:jc w:val="center"/>
            </w:pPr>
            <w:r>
              <w:rPr>
                <w:rFonts w:ascii="Times New Roman" w:hAnsi="Times New Roman" w:eastAsia="Times New Roman" w:cs="Times New Roman"/>
                <w:i w:val="0"/>
                <w:iCs w:val="0"/>
                <w:sz w:val="20"/>
                <w:szCs w:val="20"/>
              </w:rPr>
              <w:t>−0.040*** [P]</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C1E2287">
            <w:pPr>
              <w:jc w:val="center"/>
            </w:pPr>
            <w:r>
              <w:rPr>
                <w:rFonts w:ascii="Times New Roman" w:hAnsi="Times New Roman" w:eastAsia="Times New Roman" w:cs="Times New Roman"/>
                <w:i w:val="0"/>
                <w:iCs w:val="0"/>
                <w:sz w:val="20"/>
                <w:szCs w:val="20"/>
              </w:rPr>
              <w:t>−0.038*** [P]</w:t>
            </w:r>
          </w:p>
        </w:tc>
      </w:tr>
      <w:tr w14:paraId="07C4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3BDA95C5">
            <w:pPr>
              <w:jc w:val="left"/>
            </w:pPr>
          </w:p>
        </w:tc>
        <w:tc>
          <w:tcPr>
            <w:tcW w:w="104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18BC5597">
            <w:pPr>
              <w:jc w:val="center"/>
            </w:pPr>
            <w:r>
              <w:rPr>
                <w:rFonts w:ascii="Times New Roman" w:hAnsi="Times New Roman" w:eastAsia="Times New Roman" w:cs="Times New Roman"/>
                <w:i/>
                <w:iCs/>
                <w:sz w:val="20"/>
                <w:szCs w:val="20"/>
              </w:rPr>
              <w:t>(0.008)</w:t>
            </w:r>
          </w:p>
        </w:tc>
        <w:tc>
          <w:tcPr>
            <w:tcW w:w="104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479F103B">
            <w:pPr>
              <w:jc w:val="center"/>
            </w:pPr>
            <w:r>
              <w:rPr>
                <w:rFonts w:ascii="Times New Roman" w:hAnsi="Times New Roman" w:eastAsia="Times New Roman" w:cs="Times New Roman"/>
                <w:i/>
                <w:iCs/>
                <w:sz w:val="20"/>
                <w:szCs w:val="20"/>
              </w:rPr>
              <w:t>(0.512)</w:t>
            </w:r>
          </w:p>
        </w:tc>
        <w:tc>
          <w:tcPr>
            <w:tcW w:w="104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084C5F81">
            <w:pPr>
              <w:jc w:val="center"/>
            </w:pPr>
            <w:r>
              <w:rPr>
                <w:rFonts w:ascii="Times New Roman" w:hAnsi="Times New Roman" w:eastAsia="Times New Roman" w:cs="Times New Roman"/>
                <w:i/>
                <w:iCs/>
                <w:sz w:val="20"/>
                <w:szCs w:val="20"/>
              </w:rPr>
              <w:t>(0.007)</w:t>
            </w:r>
          </w:p>
        </w:tc>
        <w:tc>
          <w:tcPr>
            <w:tcW w:w="104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2108906D">
            <w:pPr>
              <w:jc w:val="center"/>
            </w:pPr>
            <w:r>
              <w:rPr>
                <w:rFonts w:ascii="Times New Roman" w:hAnsi="Times New Roman" w:eastAsia="Times New Roman" w:cs="Times New Roman"/>
                <w:i/>
                <w:iCs/>
                <w:sz w:val="20"/>
                <w:szCs w:val="20"/>
              </w:rPr>
              <w:t>(0.012)</w:t>
            </w:r>
          </w:p>
        </w:tc>
        <w:tc>
          <w:tcPr>
            <w:tcW w:w="108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598E2A06">
            <w:pPr>
              <w:jc w:val="center"/>
            </w:pPr>
            <w:r>
              <w:rPr>
                <w:rFonts w:ascii="Times New Roman" w:hAnsi="Times New Roman" w:eastAsia="Times New Roman" w:cs="Times New Roman"/>
                <w:i/>
                <w:iCs/>
                <w:sz w:val="20"/>
                <w:szCs w:val="20"/>
              </w:rPr>
              <w:t>(0.010)</w:t>
            </w:r>
          </w:p>
        </w:tc>
        <w:tc>
          <w:tcPr>
            <w:tcW w:w="156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071F2AAD">
            <w:pPr>
              <w:jc w:val="center"/>
            </w:pPr>
            <w:r>
              <w:rPr>
                <w:rFonts w:ascii="Times New Roman" w:hAnsi="Times New Roman" w:eastAsia="Times New Roman" w:cs="Times New Roman"/>
                <w:i/>
                <w:iCs/>
                <w:sz w:val="20"/>
                <w:szCs w:val="20"/>
              </w:rPr>
              <w:t>(0.009)</w:t>
            </w:r>
          </w:p>
        </w:tc>
      </w:tr>
      <w:tr w14:paraId="6D45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B18DCA1">
            <w:pPr>
              <w:jc w:val="left"/>
            </w:pPr>
            <w:r>
              <w:rPr>
                <w:rFonts w:ascii="Times New Roman" w:hAnsi="Times New Roman" w:eastAsia="Times New Roman" w:cs="Times New Roman"/>
                <w:i w:val="0"/>
                <w:iCs w:val="0"/>
                <w:sz w:val="20"/>
                <w:szCs w:val="20"/>
              </w:rPr>
              <w:t>Observations</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6F5A95F">
            <w:pPr>
              <w:jc w:val="center"/>
            </w:pPr>
            <w:r>
              <w:rPr>
                <w:rFonts w:ascii="Times New Roman" w:hAnsi="Times New Roman" w:eastAsia="Times New Roman" w:cs="Times New Roman"/>
                <w:i w:val="0"/>
                <w:iCs w:val="0"/>
                <w:sz w:val="20"/>
                <w:szCs w:val="20"/>
              </w:rPr>
              <w:t>3,421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5B2F484">
            <w:pPr>
              <w:jc w:val="center"/>
            </w:pPr>
            <w:r>
              <w:rPr>
                <w:rFonts w:ascii="Times New Roman" w:hAnsi="Times New Roman" w:eastAsia="Times New Roman" w:cs="Times New Roman"/>
                <w:i w:val="0"/>
                <w:iCs w:val="0"/>
                <w:sz w:val="20"/>
                <w:szCs w:val="20"/>
              </w:rPr>
              <w:t>3,421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4E9C2B7">
            <w:pPr>
              <w:jc w:val="center"/>
            </w:pPr>
            <w:r>
              <w:rPr>
                <w:rFonts w:ascii="Times New Roman" w:hAnsi="Times New Roman" w:eastAsia="Times New Roman" w:cs="Times New Roman"/>
                <w:i w:val="0"/>
                <w:iCs w:val="0"/>
                <w:sz w:val="20"/>
                <w:szCs w:val="20"/>
              </w:rPr>
              <w:t>2,114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1D8ABE2">
            <w:pPr>
              <w:jc w:val="center"/>
            </w:pPr>
            <w:r>
              <w:rPr>
                <w:rFonts w:ascii="Times New Roman" w:hAnsi="Times New Roman" w:eastAsia="Times New Roman" w:cs="Times New Roman"/>
                <w:i w:val="0"/>
                <w:iCs w:val="0"/>
                <w:sz w:val="20"/>
                <w:szCs w:val="20"/>
              </w:rPr>
              <w:t>1,841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1F80096">
            <w:pPr>
              <w:jc w:val="center"/>
            </w:pPr>
            <w:r>
              <w:rPr>
                <w:rFonts w:ascii="Times New Roman" w:hAnsi="Times New Roman" w:eastAsia="Times New Roman" w:cs="Times New Roman"/>
                <w:i w:val="0"/>
                <w:iCs w:val="0"/>
                <w:sz w:val="20"/>
                <w:szCs w:val="20"/>
              </w:rPr>
              <w:t>2,987 [P]</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FC3B74E">
            <w:pPr>
              <w:jc w:val="center"/>
            </w:pPr>
            <w:r>
              <w:rPr>
                <w:rFonts w:ascii="Times New Roman" w:hAnsi="Times New Roman" w:eastAsia="Times New Roman" w:cs="Times New Roman"/>
                <w:i w:val="0"/>
                <w:iCs w:val="0"/>
                <w:sz w:val="20"/>
                <w:szCs w:val="20"/>
              </w:rPr>
              <w:t>3,368 [P]</w:t>
            </w:r>
          </w:p>
        </w:tc>
      </w:tr>
      <w:tr w14:paraId="4ADF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7EAB5C7">
            <w:pPr>
              <w:jc w:val="left"/>
            </w:pPr>
            <w:r>
              <w:rPr>
                <w:rFonts w:ascii="Times New Roman" w:hAnsi="Times New Roman" w:eastAsia="Times New Roman" w:cs="Times New Roman"/>
                <w:i w:val="0"/>
                <w:iCs w:val="0"/>
                <w:sz w:val="20"/>
                <w:szCs w:val="20"/>
              </w:rPr>
              <w:t>R²</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F9B52C2">
            <w:pPr>
              <w:jc w:val="center"/>
            </w:pPr>
            <w:r>
              <w:rPr>
                <w:rFonts w:ascii="Times New Roman" w:hAnsi="Times New Roman" w:eastAsia="Times New Roman" w:cs="Times New Roman"/>
                <w:i w:val="0"/>
                <w:iCs w:val="0"/>
                <w:sz w:val="20"/>
                <w:szCs w:val="20"/>
              </w:rPr>
              <w:t>0.481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6DCDE44">
            <w:pPr>
              <w:jc w:val="center"/>
            </w:pPr>
            <w:r>
              <w:rPr>
                <w:rFonts w:ascii="Times New Roman" w:hAnsi="Times New Roman" w:eastAsia="Times New Roman" w:cs="Times New Roman"/>
                <w:i w:val="0"/>
                <w:iCs w:val="0"/>
                <w:sz w:val="20"/>
                <w:szCs w:val="20"/>
              </w:rPr>
              <w:t>0.489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433CE4A">
            <w:pPr>
              <w:jc w:val="center"/>
            </w:pPr>
            <w:r>
              <w:rPr>
                <w:rFonts w:ascii="Times New Roman" w:hAnsi="Times New Roman" w:eastAsia="Times New Roman" w:cs="Times New Roman"/>
                <w:i w:val="0"/>
                <w:iCs w:val="0"/>
                <w:sz w:val="20"/>
                <w:szCs w:val="20"/>
              </w:rPr>
              <w:t>0.414 [P]</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CCC12DE">
            <w:pPr>
              <w:jc w:val="center"/>
            </w:pPr>
            <w:r>
              <w:rPr>
                <w:rFonts w:ascii="Times New Roman" w:hAnsi="Times New Roman" w:eastAsia="Times New Roman" w:cs="Times New Roman"/>
                <w:i w:val="0"/>
                <w:iCs w:val="0"/>
                <w:sz w:val="20"/>
                <w:szCs w:val="20"/>
              </w:rPr>
              <w:t>0.501 [P]</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06AD03B">
            <w:pPr>
              <w:jc w:val="center"/>
            </w:pPr>
            <w:r>
              <w:rPr>
                <w:rFonts w:ascii="Times New Roman" w:hAnsi="Times New Roman" w:eastAsia="Times New Roman" w:cs="Times New Roman"/>
                <w:i w:val="0"/>
                <w:iCs w:val="0"/>
                <w:sz w:val="20"/>
                <w:szCs w:val="20"/>
              </w:rPr>
              <w:t>0.491 [P]</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831571E">
            <w:pPr>
              <w:jc w:val="center"/>
            </w:pPr>
            <w:r>
              <w:rPr>
                <w:rFonts w:ascii="Times New Roman" w:hAnsi="Times New Roman" w:eastAsia="Times New Roman" w:cs="Times New Roman"/>
                <w:i w:val="0"/>
                <w:iCs w:val="0"/>
                <w:sz w:val="20"/>
                <w:szCs w:val="20"/>
              </w:rPr>
              <w:t>0.483 [P]</w:t>
            </w:r>
          </w:p>
        </w:tc>
      </w:tr>
      <w:tr w14:paraId="175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058DF5B">
            <w:pPr>
              <w:jc w:val="left"/>
            </w:pPr>
            <w:r>
              <w:rPr>
                <w:rFonts w:ascii="Times New Roman" w:hAnsi="Times New Roman" w:eastAsia="Times New Roman" w:cs="Times New Roman"/>
                <w:i w:val="0"/>
                <w:iCs w:val="0"/>
                <w:sz w:val="20"/>
                <w:szCs w:val="20"/>
              </w:rPr>
              <w:t>Firm + Year FE</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1993725">
            <w:pPr>
              <w:jc w:val="center"/>
            </w:pPr>
            <w:r>
              <w:rPr>
                <w:rFonts w:ascii="Times New Roman" w:hAnsi="Times New Roman" w:eastAsia="Times New Roman" w:cs="Times New Roman"/>
                <w:i w:val="0"/>
                <w:iCs w:val="0"/>
                <w:sz w:val="20"/>
                <w:szCs w:val="20"/>
              </w:rPr>
              <w:t>Yes</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298E34A">
            <w:pPr>
              <w:jc w:val="center"/>
            </w:pPr>
            <w:r>
              <w:rPr>
                <w:rFonts w:ascii="Times New Roman" w:hAnsi="Times New Roman" w:eastAsia="Times New Roman" w:cs="Times New Roman"/>
                <w:i w:val="0"/>
                <w:iCs w:val="0"/>
                <w:sz w:val="20"/>
                <w:szCs w:val="20"/>
              </w:rPr>
              <w:t>Yes</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EEE5600">
            <w:pPr>
              <w:jc w:val="center"/>
            </w:pPr>
            <w:r>
              <w:rPr>
                <w:rFonts w:ascii="Times New Roman" w:hAnsi="Times New Roman" w:eastAsia="Times New Roman" w:cs="Times New Roman"/>
                <w:i w:val="0"/>
                <w:iCs w:val="0"/>
                <w:sz w:val="20"/>
                <w:szCs w:val="20"/>
              </w:rPr>
              <w:t>Yes</w:t>
            </w:r>
          </w:p>
        </w:tc>
        <w:tc>
          <w:tcPr>
            <w:tcW w:w="104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10207DD">
            <w:pPr>
              <w:jc w:val="center"/>
            </w:pPr>
            <w:r>
              <w:rPr>
                <w:rFonts w:ascii="Times New Roman" w:hAnsi="Times New Roman" w:eastAsia="Times New Roman" w:cs="Times New Roman"/>
                <w:i w:val="0"/>
                <w:iCs w:val="0"/>
                <w:sz w:val="20"/>
                <w:szCs w:val="20"/>
              </w:rPr>
              <w:t>Yes</w:t>
            </w:r>
          </w:p>
        </w:tc>
        <w:tc>
          <w:tcPr>
            <w:tcW w:w="108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5C2869C">
            <w:pPr>
              <w:jc w:val="center"/>
            </w:pPr>
            <w:r>
              <w:rPr>
                <w:rFonts w:ascii="Times New Roman" w:hAnsi="Times New Roman" w:eastAsia="Times New Roman" w:cs="Times New Roman"/>
                <w:i w:val="0"/>
                <w:iCs w:val="0"/>
                <w:sz w:val="20"/>
                <w:szCs w:val="20"/>
              </w:rPr>
              <w:t>Yes</w:t>
            </w:r>
          </w:p>
        </w:tc>
        <w:tc>
          <w:tcPr>
            <w:tcW w:w="15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1F9EBE4">
            <w:pPr>
              <w:jc w:val="center"/>
            </w:pPr>
            <w:r>
              <w:rPr>
                <w:rFonts w:ascii="Times New Roman" w:hAnsi="Times New Roman" w:eastAsia="Times New Roman" w:cs="Times New Roman"/>
                <w:i w:val="0"/>
                <w:iCs w:val="0"/>
                <w:sz w:val="20"/>
                <w:szCs w:val="20"/>
              </w:rPr>
              <w:t>Yes</w:t>
            </w:r>
          </w:p>
        </w:tc>
      </w:tr>
    </w:tbl>
    <w:p w14:paraId="0F94E993">
      <w:pPr>
        <w:spacing w:before="80" w:after="240"/>
      </w:pPr>
      <w:r>
        <w:rPr>
          <w:rFonts w:ascii="Times New Roman" w:hAnsi="Times New Roman" w:eastAsia="Times New Roman" w:cs="Times New Roman"/>
          <w:b/>
          <w:bCs/>
          <w:sz w:val="18"/>
          <w:szCs w:val="18"/>
        </w:rPr>
        <w:t xml:space="preserve">Notes: </w:t>
      </w:r>
      <w:r>
        <w:rPr>
          <w:rFonts w:ascii="Times New Roman" w:hAnsi="Times New Roman" w:eastAsia="Times New Roman" w:cs="Times New Roman"/>
          <w:i/>
          <w:iCs/>
          <w:sz w:val="18"/>
          <w:szCs w:val="18"/>
        </w:rPr>
        <w:t>All columns include firm and year fixed effects and the full control set. Column (1) uses alternative BRSR score weighting (completeness and assurance weighted 2× vs. 1× for quantitative intensity and specificity). Column (2) uses BRSR Completeness Index (0–1 scale; coefficients re-scaled for comparability). Column (3) assigns treatment to FY2019–FY2021 (placebo). Column (4) restricts to top-500 firms by total assets. Column (5) excludes financial sector firms. Column (6) uses entropy balancing weights. *** p&lt;0.01, ** p&lt;0.05, * p&lt;0.10.</w:t>
      </w:r>
    </w:p>
    <w:p w14:paraId="6555A2FA">
      <w:pPr>
        <w:spacing w:before="360" w:after="180"/>
      </w:pPr>
      <w:r>
        <w:rPr>
          <w:rFonts w:ascii="Times New Roman" w:hAnsi="Times New Roman" w:eastAsia="Times New Roman" w:cs="Times New Roman"/>
          <w:b/>
          <w:bCs/>
          <w:color w:val="1F3864"/>
          <w:sz w:val="26"/>
          <w:szCs w:val="26"/>
        </w:rPr>
        <w:t>V.D. Heterogeneity Analysis</w:t>
      </w:r>
    </w:p>
    <w:p w14:paraId="6745FBC8">
      <w:pPr>
        <w:spacing w:before="0" w:after="240" w:line="480" w:lineRule="auto"/>
        <w:ind w:firstLine="720"/>
      </w:pPr>
      <w:r>
        <w:rPr>
          <w:rFonts w:ascii="Times New Roman" w:hAnsi="Times New Roman" w:eastAsia="Times New Roman" w:cs="Times New Roman"/>
          <w:color w:val="000000"/>
          <w:sz w:val="24"/>
          <w:szCs w:val="24"/>
        </w:rPr>
        <w:t>The cost-of-equity effect of BRSR quality is approximately twice as large for firms with above-median institutional ownership (−0.089 [P], t = −4.22 [P]) relative to firms with below-median institutional ownership (−0.024 [P], t = −1.98 [P]). The difference between the two subgroup coefficients is statistically significant (p = 0.031 [P]), confirming that institutional investors are the primary processors of BRSR disclosures. Across industries, the effect is largest in energy (−0.071 [P]), manufacturing (−0.064 [P]), and infrastructure (−0.059 [P]), and statistically insignificant in information technology (−0.018 [P]) and financial services (−0.012 [P]).</w:t>
      </w:r>
    </w:p>
    <w:p w14:paraId="7D4E57A2">
      <w:pPr>
        <w:pageBreakBefore/>
      </w:pPr>
    </w:p>
    <w:p w14:paraId="2B1CBED9">
      <w:pPr>
        <w:spacing w:before="480" w:after="240"/>
        <w:jc w:val="center"/>
      </w:pPr>
      <w:r>
        <w:rPr>
          <w:rFonts w:ascii="Times New Roman" w:hAnsi="Times New Roman" w:eastAsia="Times New Roman" w:cs="Times New Roman"/>
          <w:b/>
          <w:bCs/>
          <w:color w:val="1F3864"/>
          <w:sz w:val="28"/>
          <w:szCs w:val="28"/>
        </w:rPr>
        <w:t>VI. MECHANISM TESTS: INFORMATION ASYMMETRY VERSUS RISK REDUCTION</w:t>
      </w:r>
    </w:p>
    <w:p w14:paraId="473EBF69">
      <w:pPr>
        <w:spacing w:before="0" w:after="240" w:line="480" w:lineRule="auto"/>
        <w:ind w:firstLine="720"/>
      </w:pPr>
      <w:r>
        <w:rPr>
          <w:rFonts w:ascii="Times New Roman" w:hAnsi="Times New Roman" w:eastAsia="Times New Roman" w:cs="Times New Roman"/>
          <w:b/>
          <w:bCs/>
          <w:sz w:val="24"/>
          <w:szCs w:val="24"/>
        </w:rPr>
        <w:t>Addressing Referee Concern 3: Distinguishing Information from Risk Channels.</w:t>
      </w:r>
      <w:r>
        <w:rPr>
          <w:rFonts w:ascii="Times New Roman" w:hAnsi="Times New Roman" w:eastAsia="Times New Roman" w:cs="Times New Roman"/>
          <w:color w:val="000000"/>
          <w:sz w:val="24"/>
          <w:szCs w:val="24"/>
        </w:rPr>
        <w:t xml:space="preserve"> The hypothesised mechanism linking BRSR quality to cost of equity is information asymmetry reduction (Diamond &amp; Verrecchia, 1991): higher-quality disclosures reduce adverse selection for uninformed investors, which lowers the liquidity premium embedded in equity returns. An alternative interpretation is that BRSR quality signals genuine ESG risk improvement — firms that produce high-quality BRSRs may be systematically lower-risk, and the cost-of-equity effect reflects this underlying risk difference rather than an information effect. To distinguish these channels, we test whether BRSR quality reduces observable information asymmetry proxies: bid-ask spreads (a direct microstructure measure of adverse selection) and analyst forecast dispersion (a proxy for fundamental uncertainty). Under the information channel, BRSR quality should reduce both proxies and this reduction should mediate the cost-of-equity effect. Under the pure risk channel, cost of equity falls but information asymmetry proxies need not.</w:t>
      </w:r>
    </w:p>
    <w:p w14:paraId="04A200AF">
      <w:pPr>
        <w:spacing w:before="0" w:after="240" w:line="480" w:lineRule="auto"/>
        <w:ind w:firstLine="720"/>
      </w:pPr>
      <w:r>
        <w:rPr>
          <w:rFonts w:ascii="Times New Roman" w:hAnsi="Times New Roman" w:eastAsia="Times New Roman" w:cs="Times New Roman"/>
          <w:color w:val="000000"/>
          <w:sz w:val="24"/>
          <w:szCs w:val="24"/>
        </w:rPr>
        <w:t>Table 6 presents these mechanism tests. Columns (1) and (2) regress bid-ask spreads and analyst forecast dispersion on BRSR quality score with the full panel FE specification. The coefficients are −0.0098 [P] (t = −3.41 [P]) and −0.0064 [P] (t = −2.87 [P]) respectively: a one standard deviation increase in BRSR quality reduces the bid-ask spread by 18 [P] basis points (9% [P] of the sample mean of 1.98% [P]) and analyst forecast dispersion by 0.12 [P] standard deviations. Both effects are significant at the 1% level. Column (3) establishes that both information asymmetry proxies independently predict higher cost of equity (bid-ask spread coefficient 0.887 [P]; forecast dispersion 0.612 [P]), confirming that the mechanism pathway is complete.</w:t>
      </w:r>
    </w:p>
    <w:p w14:paraId="5B32D704">
      <w:pPr>
        <w:spacing w:before="0" w:after="240" w:line="480" w:lineRule="auto"/>
        <w:ind w:firstLine="720"/>
      </w:pPr>
      <w:r>
        <w:rPr>
          <w:rFonts w:ascii="Times New Roman" w:hAnsi="Times New Roman" w:eastAsia="Times New Roman" w:cs="Times New Roman"/>
          <w:color w:val="000000"/>
          <w:sz w:val="24"/>
          <w:szCs w:val="24"/>
        </w:rPr>
        <w:t>Columns (4)–(6) present a causal mediation decomposition. The total effect of BRSR quality on cost of equity (−0.041 [P]) is decomposed into: indirect via bid-ask spread (−0.017 [P], 41% [P] of total); indirect via forecast dispersion (−0.012 [P], 29% [P] of total); and residual direct effect (−0.012 [P], 30% [P] of total). Both indirect effects are statistically significant at the 5% level (p = 0.024 [P] and 0.031 [P] respectively), confirming that the information asymmetry channel mediates the majority (70% [P]) of the total cost-of-equity effect. The residual direct effect (30% [P]) may reflect additional channels not captured by our two proxies — such as regulatory risk repricing or stakeholder trust effects — or measurement limitations in our information asymmetry measures.</w:t>
      </w:r>
    </w:p>
    <w:p w14:paraId="5352311B">
      <w:pPr>
        <w:spacing w:before="480" w:after="120"/>
        <w:jc w:val="center"/>
      </w:pPr>
      <w:r>
        <w:rPr>
          <w:rFonts w:ascii="Times New Roman" w:hAnsi="Times New Roman" w:eastAsia="Times New Roman" w:cs="Times New Roman"/>
          <w:b/>
          <w:bCs/>
          <w:sz w:val="22"/>
          <w:szCs w:val="22"/>
        </w:rPr>
        <w:t>TABLE 6</w:t>
      </w:r>
      <w:r>
        <w:rPr>
          <w:rFonts w:ascii="Times New Roman" w:hAnsi="Times New Roman" w:eastAsia="Times New Roman" w:cs="Times New Roman"/>
          <w:i/>
          <w:iCs/>
          <w:sz w:val="22"/>
          <w:szCs w:val="22"/>
        </w:rPr>
        <w:t>
Mechanism Tests: Information Asymmetry Channel</w:t>
      </w:r>
    </w:p>
    <w:p w14:paraId="1AC61240">
      <w:pPr>
        <w:spacing w:before="0" w:after="240" w:line="480" w:lineRule="auto"/>
      </w:pPr>
      <w:r>
        <w:rPr>
          <w:rFonts w:ascii="Times New Roman" w:hAnsi="Times New Roman" w:eastAsia="Times New Roman" w:cs="Times New Roman"/>
          <w:color w:val="000000"/>
          <w:sz w:val="24"/>
          <w:szCs w:val="24"/>
        </w:rPr>
        <w:t>Columns (1)–(2): dependent variables are Bid-Ask Spread (%) and Analyst Forecast Dispersion (standardised). Column (3): CAPM Cost of Equity regressed on both proxies. Columns (4)–(6): mediation decomposition. All values marked [P] are illustrative placeholders.</w:t>
      </w:r>
    </w:p>
    <w:p w14:paraId="11AAE470">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2"/>
        <w:gridCol w:w="1203"/>
        <w:gridCol w:w="1203"/>
        <w:gridCol w:w="1117"/>
        <w:gridCol w:w="1117"/>
        <w:gridCol w:w="1218"/>
        <w:gridCol w:w="1120"/>
      </w:tblGrid>
      <w:tr w14:paraId="1AC2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EFF9D99">
            <w:pPr>
              <w:jc w:val="center"/>
            </w:pPr>
          </w:p>
        </w:tc>
        <w:tc>
          <w:tcPr>
            <w:tcW w:w="112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430ABAE3">
            <w:pPr>
              <w:jc w:val="center"/>
            </w:pPr>
            <w:r>
              <w:rPr>
                <w:rFonts w:ascii="Times New Roman" w:hAnsi="Times New Roman" w:eastAsia="Times New Roman" w:cs="Times New Roman"/>
                <w:b/>
                <w:bCs/>
                <w:color w:val="FFFFFF"/>
                <w:sz w:val="20"/>
                <w:szCs w:val="20"/>
              </w:rPr>
              <w:t>(1)
Bid-Ask Spread</w:t>
            </w:r>
          </w:p>
        </w:tc>
        <w:tc>
          <w:tcPr>
            <w:tcW w:w="112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5EE5679E">
            <w:pPr>
              <w:jc w:val="center"/>
            </w:pPr>
            <w:r>
              <w:rPr>
                <w:rFonts w:ascii="Times New Roman" w:hAnsi="Times New Roman" w:eastAsia="Times New Roman" w:cs="Times New Roman"/>
                <w:b/>
                <w:bCs/>
                <w:color w:val="FFFFFF"/>
                <w:sz w:val="20"/>
                <w:szCs w:val="20"/>
              </w:rPr>
              <w:t>(2)
Forecast Dispersion</w:t>
            </w:r>
          </w:p>
        </w:tc>
        <w:tc>
          <w:tcPr>
            <w:tcW w:w="112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7F299DE5">
            <w:pPr>
              <w:jc w:val="center"/>
            </w:pPr>
            <w:r>
              <w:rPr>
                <w:rFonts w:ascii="Times New Roman" w:hAnsi="Times New Roman" w:eastAsia="Times New Roman" w:cs="Times New Roman"/>
                <w:b/>
                <w:bCs/>
                <w:color w:val="FFFFFF"/>
                <w:sz w:val="20"/>
                <w:szCs w:val="20"/>
              </w:rPr>
              <w:t>(3)
CAPM CoE
(Direct)</w:t>
            </w:r>
          </w:p>
        </w:tc>
        <w:tc>
          <w:tcPr>
            <w:tcW w:w="112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78F228AB">
            <w:pPr>
              <w:jc w:val="center"/>
            </w:pPr>
            <w:r>
              <w:rPr>
                <w:rFonts w:ascii="Times New Roman" w:hAnsi="Times New Roman" w:eastAsia="Times New Roman" w:cs="Times New Roman"/>
                <w:b/>
                <w:bCs/>
                <w:color w:val="FFFFFF"/>
                <w:sz w:val="20"/>
                <w:szCs w:val="20"/>
              </w:rPr>
              <w:t>(4)
CAPM CoE
(via Bid-Ask)</w:t>
            </w:r>
          </w:p>
        </w:tc>
        <w:tc>
          <w:tcPr>
            <w:tcW w:w="116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6ACC8259">
            <w:pPr>
              <w:jc w:val="center"/>
            </w:pPr>
            <w:r>
              <w:rPr>
                <w:rFonts w:ascii="Times New Roman" w:hAnsi="Times New Roman" w:eastAsia="Times New Roman" w:cs="Times New Roman"/>
                <w:b/>
                <w:bCs/>
                <w:color w:val="FFFFFF"/>
                <w:sz w:val="20"/>
                <w:szCs w:val="20"/>
              </w:rPr>
              <w:t>(5)
CAPM CoE
(via Dispersion)</w:t>
            </w:r>
          </w:p>
        </w:tc>
        <w:tc>
          <w:tcPr>
            <w:tcW w:w="1120" w:type="dxa"/>
            <w:tcBorders>
              <w:top w:val="single" w:color="1F3864" w:sz="6" w:space="0"/>
              <w:left w:val="single" w:color="1F3864" w:sz="6" w:space="0"/>
              <w:bottom w:val="single" w:color="1F3864" w:sz="6" w:space="0"/>
              <w:right w:val="single" w:color="1F3864" w:sz="6" w:space="0"/>
            </w:tcBorders>
            <w:shd w:val="clear" w:color="auto" w:fill="1F3864"/>
            <w:tcMar>
              <w:top w:w="80" w:type="dxa"/>
              <w:left w:w="120" w:type="dxa"/>
              <w:bottom w:w="80" w:type="dxa"/>
              <w:right w:w="120" w:type="dxa"/>
            </w:tcMar>
            <w:vAlign w:val="center"/>
          </w:tcPr>
          <w:p w14:paraId="112C98EE">
            <w:pPr>
              <w:jc w:val="center"/>
            </w:pPr>
            <w:r>
              <w:rPr>
                <w:rFonts w:ascii="Times New Roman" w:hAnsi="Times New Roman" w:eastAsia="Times New Roman" w:cs="Times New Roman"/>
                <w:b/>
                <w:bCs/>
                <w:color w:val="FFFFFF"/>
                <w:sz w:val="20"/>
                <w:szCs w:val="20"/>
              </w:rPr>
              <w:t>(6)
CAPM CoE
(Residual)</w:t>
            </w:r>
          </w:p>
        </w:tc>
      </w:tr>
      <w:tr w14:paraId="6830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C05EC58">
            <w:pPr>
              <w:jc w:val="left"/>
            </w:pPr>
            <w:r>
              <w:rPr>
                <w:rFonts w:ascii="Times New Roman" w:hAnsi="Times New Roman" w:eastAsia="Times New Roman" w:cs="Times New Roman"/>
                <w:i w:val="0"/>
                <w:iCs w:val="0"/>
                <w:sz w:val="20"/>
                <w:szCs w:val="20"/>
              </w:rPr>
              <w:t>BRSR Quality Score</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B55B5B4">
            <w:pPr>
              <w:jc w:val="center"/>
            </w:pPr>
            <w:r>
              <w:rPr>
                <w:rFonts w:ascii="Times New Roman" w:hAnsi="Times New Roman" w:eastAsia="Times New Roman" w:cs="Times New Roman"/>
                <w:i w:val="0"/>
                <w:iCs w:val="0"/>
                <w:sz w:val="20"/>
                <w:szCs w:val="20"/>
              </w:rPr>
              <w:t>−0.0098***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73FB6E1">
            <w:pPr>
              <w:jc w:val="center"/>
            </w:pPr>
            <w:r>
              <w:rPr>
                <w:rFonts w:ascii="Times New Roman" w:hAnsi="Times New Roman" w:eastAsia="Times New Roman" w:cs="Times New Roman"/>
                <w:i w:val="0"/>
                <w:iCs w:val="0"/>
                <w:sz w:val="20"/>
                <w:szCs w:val="20"/>
              </w:rPr>
              <w:t>−0.0064***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2691019">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3776997">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F41CB0E">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A862567">
            <w:pPr>
              <w:jc w:val="center"/>
            </w:pPr>
            <w:r>
              <w:rPr>
                <w:rFonts w:ascii="Times New Roman" w:hAnsi="Times New Roman" w:eastAsia="Times New Roman" w:cs="Times New Roman"/>
                <w:i w:val="0"/>
                <w:iCs w:val="0"/>
                <w:sz w:val="20"/>
                <w:szCs w:val="20"/>
              </w:rPr>
              <w:t>—</w:t>
            </w:r>
          </w:p>
        </w:tc>
      </w:tr>
      <w:tr w14:paraId="6146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7FDC2512">
            <w:pPr>
              <w:jc w:val="left"/>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3726B6E2">
            <w:pPr>
              <w:jc w:val="center"/>
            </w:pPr>
            <w:r>
              <w:rPr>
                <w:rFonts w:ascii="Times New Roman" w:hAnsi="Times New Roman" w:eastAsia="Times New Roman" w:cs="Times New Roman"/>
                <w:i/>
                <w:iCs/>
                <w:sz w:val="20"/>
                <w:szCs w:val="20"/>
              </w:rPr>
              <w:t>(0.003)</w:t>
            </w: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1507CEBE">
            <w:pPr>
              <w:jc w:val="center"/>
            </w:pPr>
            <w:r>
              <w:rPr>
                <w:rFonts w:ascii="Times New Roman" w:hAnsi="Times New Roman" w:eastAsia="Times New Roman" w:cs="Times New Roman"/>
                <w:i/>
                <w:iCs/>
                <w:sz w:val="20"/>
                <w:szCs w:val="20"/>
              </w:rPr>
              <w:t>(0.002)</w:t>
            </w: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162EFDFE">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5B16BA3B">
            <w:pPr>
              <w:jc w:val="center"/>
            </w:pPr>
          </w:p>
        </w:tc>
        <w:tc>
          <w:tcPr>
            <w:tcW w:w="116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567647E6">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584CFCF9">
            <w:pPr>
              <w:jc w:val="center"/>
            </w:pPr>
          </w:p>
        </w:tc>
      </w:tr>
      <w:tr w14:paraId="7AA8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8497C61">
            <w:pPr>
              <w:jc w:val="left"/>
            </w:pPr>
            <w:r>
              <w:rPr>
                <w:rFonts w:ascii="Times New Roman" w:hAnsi="Times New Roman" w:eastAsia="Times New Roman" w:cs="Times New Roman"/>
                <w:i w:val="0"/>
                <w:iCs w:val="0"/>
                <w:sz w:val="20"/>
                <w:szCs w:val="20"/>
              </w:rPr>
              <w:t>Bid-Ask Spread</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2455E20">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CD23637">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C19FCDD">
            <w:pPr>
              <w:jc w:val="center"/>
            </w:pPr>
            <w:r>
              <w:rPr>
                <w:rFonts w:ascii="Times New Roman" w:hAnsi="Times New Roman" w:eastAsia="Times New Roman" w:cs="Times New Roman"/>
                <w:i w:val="0"/>
                <w:iCs w:val="0"/>
                <w:sz w:val="20"/>
                <w:szCs w:val="20"/>
              </w:rPr>
              <w:t>0.887***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33330AC">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D82810F">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1A41A9F">
            <w:pPr>
              <w:jc w:val="center"/>
            </w:pPr>
            <w:r>
              <w:rPr>
                <w:rFonts w:ascii="Times New Roman" w:hAnsi="Times New Roman" w:eastAsia="Times New Roman" w:cs="Times New Roman"/>
                <w:i w:val="0"/>
                <w:iCs w:val="0"/>
                <w:sz w:val="20"/>
                <w:szCs w:val="20"/>
              </w:rPr>
              <w:t>—</w:t>
            </w:r>
          </w:p>
        </w:tc>
      </w:tr>
      <w:tr w14:paraId="478B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4C1BE10C">
            <w:pPr>
              <w:jc w:val="left"/>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1B9E8F5B">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2DCF20EB">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44B86E2D">
            <w:pPr>
              <w:jc w:val="center"/>
            </w:pPr>
            <w:r>
              <w:rPr>
                <w:rFonts w:ascii="Times New Roman" w:hAnsi="Times New Roman" w:eastAsia="Times New Roman" w:cs="Times New Roman"/>
                <w:i/>
                <w:iCs/>
                <w:sz w:val="20"/>
                <w:szCs w:val="20"/>
              </w:rPr>
              <w:t>(0.142)</w:t>
            </w: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4FA674CC">
            <w:pPr>
              <w:jc w:val="center"/>
            </w:pPr>
          </w:p>
        </w:tc>
        <w:tc>
          <w:tcPr>
            <w:tcW w:w="116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1DB284FE">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7817E3FE">
            <w:pPr>
              <w:jc w:val="center"/>
            </w:pPr>
          </w:p>
        </w:tc>
      </w:tr>
      <w:tr w14:paraId="78F2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5E56B9B">
            <w:pPr>
              <w:jc w:val="left"/>
            </w:pPr>
            <w:r>
              <w:rPr>
                <w:rFonts w:ascii="Times New Roman" w:hAnsi="Times New Roman" w:eastAsia="Times New Roman" w:cs="Times New Roman"/>
                <w:i w:val="0"/>
                <w:iCs w:val="0"/>
                <w:sz w:val="20"/>
                <w:szCs w:val="20"/>
              </w:rPr>
              <w:t>Analyst Forecast Dispersion</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0B207B0">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F19EBD8">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E8AA9E9">
            <w:pPr>
              <w:jc w:val="center"/>
            </w:pPr>
            <w:r>
              <w:rPr>
                <w:rFonts w:ascii="Times New Roman" w:hAnsi="Times New Roman" w:eastAsia="Times New Roman" w:cs="Times New Roman"/>
                <w:i w:val="0"/>
                <w:iCs w:val="0"/>
                <w:sz w:val="20"/>
                <w:szCs w:val="20"/>
              </w:rPr>
              <w:t>0.612***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F1CBEA4">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6DBBD82">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22B8ED5">
            <w:pPr>
              <w:jc w:val="center"/>
            </w:pPr>
            <w:r>
              <w:rPr>
                <w:rFonts w:ascii="Times New Roman" w:hAnsi="Times New Roman" w:eastAsia="Times New Roman" w:cs="Times New Roman"/>
                <w:i w:val="0"/>
                <w:iCs w:val="0"/>
                <w:sz w:val="20"/>
                <w:szCs w:val="20"/>
              </w:rPr>
              <w:t>—</w:t>
            </w:r>
          </w:p>
        </w:tc>
      </w:tr>
      <w:tr w14:paraId="7395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3BA8FB8E">
            <w:pPr>
              <w:jc w:val="left"/>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41D7411E">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5ADB539C">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1E1DDFE2">
            <w:pPr>
              <w:jc w:val="center"/>
            </w:pPr>
            <w:r>
              <w:rPr>
                <w:rFonts w:ascii="Times New Roman" w:hAnsi="Times New Roman" w:eastAsia="Times New Roman" w:cs="Times New Roman"/>
                <w:i/>
                <w:iCs/>
                <w:sz w:val="20"/>
                <w:szCs w:val="20"/>
              </w:rPr>
              <w:t>(0.118)</w:t>
            </w: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3876699D">
            <w:pPr>
              <w:jc w:val="center"/>
            </w:pPr>
          </w:p>
        </w:tc>
        <w:tc>
          <w:tcPr>
            <w:tcW w:w="116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34D37008">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FAFAFA"/>
            <w:tcMar>
              <w:top w:w="60" w:type="dxa"/>
              <w:left w:w="120" w:type="dxa"/>
              <w:bottom w:w="60" w:type="dxa"/>
              <w:right w:w="120" w:type="dxa"/>
            </w:tcMar>
          </w:tcPr>
          <w:p w14:paraId="4025F37D">
            <w:pPr>
              <w:jc w:val="center"/>
            </w:pPr>
          </w:p>
        </w:tc>
      </w:tr>
      <w:tr w14:paraId="015F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4221BC8">
            <w:pPr>
              <w:jc w:val="left"/>
            </w:pPr>
            <w:r>
              <w:rPr>
                <w:rFonts w:ascii="Times New Roman" w:hAnsi="Times New Roman" w:eastAsia="Times New Roman" w:cs="Times New Roman"/>
                <w:i w:val="0"/>
                <w:iCs w:val="0"/>
                <w:sz w:val="20"/>
                <w:szCs w:val="20"/>
              </w:rPr>
              <w:t>Panel B: Mediation Decomposition</w:t>
            </w:r>
          </w:p>
        </w:tc>
        <w:tc>
          <w:tcPr>
            <w:tcW w:w="112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2EE3AFE">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20663EB0">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4C853877">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7C1A86BE">
            <w:pPr>
              <w:jc w:val="center"/>
            </w:pPr>
          </w:p>
        </w:tc>
        <w:tc>
          <w:tcPr>
            <w:tcW w:w="116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5DAB2067">
            <w:pPr>
              <w:jc w:val="center"/>
            </w:pPr>
          </w:p>
        </w:tc>
        <w:tc>
          <w:tcPr>
            <w:tcW w:w="1120" w:type="dxa"/>
            <w:tcBorders>
              <w:top w:val="single" w:color="D9D9D9" w:sz="2" w:space="0"/>
              <w:left w:val="single" w:color="D9D9D9" w:sz="2" w:space="0"/>
              <w:bottom w:val="single" w:color="D9D9D9" w:sz="2" w:space="0"/>
              <w:right w:val="single" w:color="D9D9D9" w:sz="2" w:space="0"/>
            </w:tcBorders>
            <w:shd w:val="clear" w:color="auto" w:fill="E8EDF5"/>
            <w:tcMar>
              <w:top w:w="60" w:type="dxa"/>
              <w:left w:w="120" w:type="dxa"/>
              <w:bottom w:w="60" w:type="dxa"/>
              <w:right w:w="120" w:type="dxa"/>
            </w:tcMar>
          </w:tcPr>
          <w:p w14:paraId="63BD0BB6">
            <w:pPr>
              <w:jc w:val="center"/>
            </w:pPr>
          </w:p>
        </w:tc>
      </w:tr>
      <w:tr w14:paraId="7E98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070CE73">
            <w:pPr>
              <w:jc w:val="left"/>
            </w:pPr>
            <w:r>
              <w:rPr>
                <w:rFonts w:ascii="Times New Roman" w:hAnsi="Times New Roman" w:eastAsia="Times New Roman" w:cs="Times New Roman"/>
                <w:i w:val="0"/>
                <w:iCs w:val="0"/>
                <w:sz w:val="20"/>
                <w:szCs w:val="20"/>
              </w:rPr>
              <w:t>Total effect of BRSR Quality</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BDD47A6">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3D4E1B1">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70FE10E">
            <w:pPr>
              <w:jc w:val="center"/>
            </w:pPr>
            <w:r>
              <w:rPr>
                <w:rFonts w:ascii="Times New Roman" w:hAnsi="Times New Roman" w:eastAsia="Times New Roman" w:cs="Times New Roman"/>
                <w:i w:val="0"/>
                <w:iCs w:val="0"/>
                <w:sz w:val="20"/>
                <w:szCs w:val="20"/>
              </w:rPr>
              <w:t>−0.041***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3C88171">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C5DB72A">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1A66CBC">
            <w:pPr>
              <w:jc w:val="center"/>
            </w:pPr>
            <w:r>
              <w:rPr>
                <w:rFonts w:ascii="Times New Roman" w:hAnsi="Times New Roman" w:eastAsia="Times New Roman" w:cs="Times New Roman"/>
                <w:i w:val="0"/>
                <w:iCs w:val="0"/>
                <w:sz w:val="20"/>
                <w:szCs w:val="20"/>
              </w:rPr>
              <w:t>—</w:t>
            </w:r>
          </w:p>
        </w:tc>
      </w:tr>
      <w:tr w14:paraId="3CAB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8C55FAA">
            <w:pPr>
              <w:jc w:val="left"/>
            </w:pPr>
            <w:r>
              <w:rPr>
                <w:rFonts w:ascii="Times New Roman" w:hAnsi="Times New Roman" w:eastAsia="Times New Roman" w:cs="Times New Roman"/>
                <w:i w:val="0"/>
                <w:iCs w:val="0"/>
                <w:sz w:val="20"/>
                <w:szCs w:val="20"/>
              </w:rPr>
              <w:t>Indirect via Bid-Ask Spread</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E81687E">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E32D85D">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AFDEC38">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D23883E">
            <w:pPr>
              <w:jc w:val="center"/>
            </w:pPr>
            <w:r>
              <w:rPr>
                <w:rFonts w:ascii="Times New Roman" w:hAnsi="Times New Roman" w:eastAsia="Times New Roman" w:cs="Times New Roman"/>
                <w:i w:val="0"/>
                <w:iCs w:val="0"/>
                <w:sz w:val="20"/>
                <w:szCs w:val="20"/>
              </w:rPr>
              <w:t>−0.017*** [P]</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51E840F">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01BE4DD">
            <w:pPr>
              <w:jc w:val="center"/>
            </w:pPr>
            <w:r>
              <w:rPr>
                <w:rFonts w:ascii="Times New Roman" w:hAnsi="Times New Roman" w:eastAsia="Times New Roman" w:cs="Times New Roman"/>
                <w:i w:val="0"/>
                <w:iCs w:val="0"/>
                <w:sz w:val="20"/>
                <w:szCs w:val="20"/>
              </w:rPr>
              <w:t>—</w:t>
            </w:r>
          </w:p>
        </w:tc>
      </w:tr>
      <w:tr w14:paraId="25C7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CE3A87A">
            <w:pPr>
              <w:jc w:val="left"/>
            </w:pPr>
            <w:r>
              <w:rPr>
                <w:rFonts w:ascii="Times New Roman" w:hAnsi="Times New Roman" w:eastAsia="Times New Roman" w:cs="Times New Roman"/>
                <w:i w:val="0"/>
                <w:iCs w:val="0"/>
                <w:sz w:val="20"/>
                <w:szCs w:val="20"/>
              </w:rPr>
              <w:t>Indirect via Forecast Dispersion</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4D58865">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77AE58E">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8FE74BD">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1692B4A">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81874B6">
            <w:pPr>
              <w:jc w:val="center"/>
            </w:pPr>
            <w:r>
              <w:rPr>
                <w:rFonts w:ascii="Times New Roman" w:hAnsi="Times New Roman" w:eastAsia="Times New Roman" w:cs="Times New Roman"/>
                <w:i w:val="0"/>
                <w:iCs w:val="0"/>
                <w:sz w:val="20"/>
                <w:szCs w:val="20"/>
              </w:rPr>
              <w:t>−0.012***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7294A73">
            <w:pPr>
              <w:jc w:val="center"/>
            </w:pPr>
            <w:r>
              <w:rPr>
                <w:rFonts w:ascii="Times New Roman" w:hAnsi="Times New Roman" w:eastAsia="Times New Roman" w:cs="Times New Roman"/>
                <w:i w:val="0"/>
                <w:iCs w:val="0"/>
                <w:sz w:val="20"/>
                <w:szCs w:val="20"/>
              </w:rPr>
              <w:t>—</w:t>
            </w:r>
          </w:p>
        </w:tc>
      </w:tr>
      <w:tr w14:paraId="4776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6F5EFB2">
            <w:pPr>
              <w:jc w:val="left"/>
            </w:pPr>
            <w:r>
              <w:rPr>
                <w:rFonts w:ascii="Times New Roman" w:hAnsi="Times New Roman" w:eastAsia="Times New Roman" w:cs="Times New Roman"/>
                <w:i w:val="0"/>
                <w:iCs w:val="0"/>
                <w:sz w:val="20"/>
                <w:szCs w:val="20"/>
              </w:rPr>
              <w:t>Direct Effect (residual)</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FC91F55">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FF73927">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2F96C1C">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88608A3">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117E53E">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6940645F">
            <w:pPr>
              <w:jc w:val="center"/>
            </w:pPr>
            <w:r>
              <w:rPr>
                <w:rFonts w:ascii="Times New Roman" w:hAnsi="Times New Roman" w:eastAsia="Times New Roman" w:cs="Times New Roman"/>
                <w:i w:val="0"/>
                <w:iCs w:val="0"/>
                <w:sz w:val="20"/>
                <w:szCs w:val="20"/>
              </w:rPr>
              <w:t>−0.012** [P]</w:t>
            </w:r>
          </w:p>
        </w:tc>
      </w:tr>
      <w:tr w14:paraId="2FEC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D6A9DB2">
            <w:pPr>
              <w:jc w:val="left"/>
            </w:pPr>
            <w:r>
              <w:rPr>
                <w:rFonts w:ascii="Times New Roman" w:hAnsi="Times New Roman" w:eastAsia="Times New Roman" w:cs="Times New Roman"/>
                <w:i w:val="0"/>
                <w:iCs w:val="0"/>
                <w:sz w:val="20"/>
                <w:szCs w:val="20"/>
              </w:rPr>
              <w:t>% Mediated (Bid-Ask)</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D188327">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73F8425">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2A768908">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512CA69A">
            <w:pPr>
              <w:jc w:val="center"/>
            </w:pPr>
            <w:r>
              <w:rPr>
                <w:rFonts w:ascii="Times New Roman" w:hAnsi="Times New Roman" w:eastAsia="Times New Roman" w:cs="Times New Roman"/>
                <w:i w:val="0"/>
                <w:iCs w:val="0"/>
                <w:sz w:val="20"/>
                <w:szCs w:val="20"/>
              </w:rPr>
              <w:t>41% [P]</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1BCCEE2">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3EE5F377">
            <w:pPr>
              <w:jc w:val="center"/>
            </w:pPr>
            <w:r>
              <w:rPr>
                <w:rFonts w:ascii="Times New Roman" w:hAnsi="Times New Roman" w:eastAsia="Times New Roman" w:cs="Times New Roman"/>
                <w:i w:val="0"/>
                <w:iCs w:val="0"/>
                <w:sz w:val="20"/>
                <w:szCs w:val="20"/>
              </w:rPr>
              <w:t>—</w:t>
            </w:r>
          </w:p>
        </w:tc>
      </w:tr>
      <w:tr w14:paraId="6412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05B0BC9F">
            <w:pPr>
              <w:jc w:val="left"/>
            </w:pPr>
            <w:r>
              <w:rPr>
                <w:rFonts w:ascii="Times New Roman" w:hAnsi="Times New Roman" w:eastAsia="Times New Roman" w:cs="Times New Roman"/>
                <w:i w:val="0"/>
                <w:iCs w:val="0"/>
                <w:sz w:val="20"/>
                <w:szCs w:val="20"/>
              </w:rPr>
              <w:t>% Mediated (Forecast Disp.)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E8AFCB9">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04CCE29">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49709861">
            <w:pPr>
              <w:jc w:val="center"/>
            </w:pPr>
            <w:r>
              <w:rPr>
                <w:rFonts w:ascii="Times New Roman" w:hAnsi="Times New Roman" w:eastAsia="Times New Roman" w:cs="Times New Roman"/>
                <w:i w:val="0"/>
                <w:iCs w:val="0"/>
                <w:sz w:val="20"/>
                <w:szCs w:val="20"/>
              </w:rPr>
              <w:t>—</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79DD2DA7">
            <w:pPr>
              <w:jc w:val="center"/>
            </w:pPr>
            <w:r>
              <w:rPr>
                <w:rFonts w:ascii="Times New Roman" w:hAnsi="Times New Roman" w:eastAsia="Times New Roman" w:cs="Times New Roman"/>
                <w:i w:val="0"/>
                <w:iCs w:val="0"/>
                <w:sz w:val="20"/>
                <w:szCs w:val="20"/>
              </w:rPr>
              <w:t>—</w:t>
            </w:r>
          </w:p>
        </w:tc>
        <w:tc>
          <w:tcPr>
            <w:tcW w:w="116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3B2AF47">
            <w:pPr>
              <w:jc w:val="center"/>
            </w:pPr>
            <w:r>
              <w:rPr>
                <w:rFonts w:ascii="Times New Roman" w:hAnsi="Times New Roman" w:eastAsia="Times New Roman" w:cs="Times New Roman"/>
                <w:i w:val="0"/>
                <w:iCs w:val="0"/>
                <w:sz w:val="20"/>
                <w:szCs w:val="20"/>
              </w:rPr>
              <w:t>29% [P]</w:t>
            </w:r>
          </w:p>
        </w:tc>
        <w:tc>
          <w:tcPr>
            <w:tcW w:w="1120" w:type="dxa"/>
            <w:tcBorders>
              <w:top w:val="single" w:color="D9D9D9" w:sz="2" w:space="0"/>
              <w:left w:val="single" w:color="D9D9D9" w:sz="2" w:space="0"/>
              <w:bottom w:val="single" w:color="D9D9D9" w:sz="2" w:space="0"/>
              <w:right w:val="single" w:color="D9D9D9" w:sz="2" w:space="0"/>
            </w:tcBorders>
            <w:shd w:val="clear" w:color="auto" w:fill="FFFFFF"/>
            <w:tcMar>
              <w:top w:w="60" w:type="dxa"/>
              <w:left w:w="120" w:type="dxa"/>
              <w:bottom w:w="60" w:type="dxa"/>
              <w:right w:w="120" w:type="dxa"/>
            </w:tcMar>
          </w:tcPr>
          <w:p w14:paraId="1F97E242">
            <w:pPr>
              <w:jc w:val="center"/>
            </w:pPr>
            <w:r>
              <w:rPr>
                <w:rFonts w:ascii="Times New Roman" w:hAnsi="Times New Roman" w:eastAsia="Times New Roman" w:cs="Times New Roman"/>
                <w:i w:val="0"/>
                <w:iCs w:val="0"/>
                <w:sz w:val="20"/>
                <w:szCs w:val="20"/>
              </w:rPr>
              <w:t>—</w:t>
            </w:r>
          </w:p>
        </w:tc>
      </w:tr>
    </w:tbl>
    <w:p w14:paraId="04537E82">
      <w:pPr>
        <w:spacing w:before="80" w:after="240"/>
      </w:pPr>
      <w:r>
        <w:rPr>
          <w:rFonts w:ascii="Times New Roman" w:hAnsi="Times New Roman" w:eastAsia="Times New Roman" w:cs="Times New Roman"/>
          <w:b/>
          <w:bCs/>
          <w:sz w:val="18"/>
          <w:szCs w:val="18"/>
        </w:rPr>
        <w:t xml:space="preserve">Notes: </w:t>
      </w:r>
      <w:r>
        <w:rPr>
          <w:rFonts w:ascii="Times New Roman" w:hAnsi="Times New Roman" w:eastAsia="Times New Roman" w:cs="Times New Roman"/>
          <w:i/>
          <w:iCs/>
          <w:sz w:val="18"/>
          <w:szCs w:val="18"/>
        </w:rPr>
        <w:t>Bid-Ask Spread is the time-weighted quoted bid-ask spread (%), computed from NSE order book data. Analyst Forecast Dispersion is the standard deviation of I/B/E/S one-year-ahead EPS forecasts, standardised by stock price. Mediation decomposition follows Imai, Keele, and Tingley [CITE NEEDED: 2010, Annals of Applied Statistics]. All specifications include firm and year fixed effects and the full control set. *** p&lt;0.01, ** p&lt;0.05, * p&lt;0.10. All [P] values are illustrative placeholders.</w:t>
      </w:r>
    </w:p>
    <w:p w14:paraId="3862A133">
      <w:pPr>
        <w:pageBreakBefore/>
      </w:pPr>
    </w:p>
    <w:p w14:paraId="4092D5D9">
      <w:pPr>
        <w:spacing w:before="480" w:after="240"/>
        <w:jc w:val="center"/>
      </w:pPr>
      <w:r>
        <w:rPr>
          <w:rFonts w:ascii="Times New Roman" w:hAnsi="Times New Roman" w:eastAsia="Times New Roman" w:cs="Times New Roman"/>
          <w:b/>
          <w:bCs/>
          <w:color w:val="1F3864"/>
          <w:sz w:val="28"/>
          <w:szCs w:val="28"/>
        </w:rPr>
        <w:t>VII. CONCLUSION</w:t>
      </w:r>
    </w:p>
    <w:p w14:paraId="0F0B3984">
      <w:pPr>
        <w:spacing w:before="0" w:after="240" w:line="480" w:lineRule="auto"/>
        <w:ind w:firstLine="720"/>
      </w:pPr>
      <w:r>
        <w:rPr>
          <w:rFonts w:ascii="Times New Roman" w:hAnsi="Times New Roman" w:eastAsia="Times New Roman" w:cs="Times New Roman"/>
          <w:color w:val="000000"/>
          <w:sz w:val="24"/>
          <w:szCs w:val="24"/>
        </w:rPr>
        <w:t>We examine whether BRSR disclosure quality — not merely BRSR compliance — reduces the cost of equity capital for NSE-listed Indian firms. Using a difference-in-differences design that exploits the staggered SEBI BRSR mandate as a natural experiment, validated by a formal pre-trends test (joint F-test p = 0.47 [P]), we find that a one standard deviation increase in BRSR quality reduces the cost of equity by 71 [P] basis points. The result is robust to alternative cost-of-equity measures, alternative BRSR quality indices, a pre-mandate placebo test, an instrumental variables strategy, and entropy balancing. A decomposition of the BRSR quality score reveals that third-party assurance carries the largest single sub-index effect, followed by disclosure completeness — a pattern suggesting that the credibility of disclosure is as economically important as its quantity.</w:t>
      </w:r>
    </w:p>
    <w:p w14:paraId="08BE6464">
      <w:pPr>
        <w:spacing w:before="0" w:after="240" w:line="480" w:lineRule="auto"/>
        <w:ind w:firstLine="720"/>
      </w:pPr>
      <w:r>
        <w:rPr>
          <w:rFonts w:ascii="Times New Roman" w:hAnsi="Times New Roman" w:eastAsia="Times New Roman" w:cs="Times New Roman"/>
          <w:color w:val="000000"/>
          <w:sz w:val="24"/>
          <w:szCs w:val="24"/>
        </w:rPr>
        <w:t>Mechanism tests using bid-ask spreads and analyst forecast dispersion confirm an information asymmetry channel: 70% [P] of the total cost-of-equity effect is mediated through measurable reductions in information asymmetry, with the remaining 30% [P] attributable to a residual direct effect potentially reflecting stakeholder trust or regulatory risk repricing. The effect is concentrated among firms with high institutional ownership and in industries with material environmental exposures, consistent with institutional investors being the primary processors of BRSR content.</w:t>
      </w:r>
    </w:p>
    <w:p w14:paraId="15ED8CDF">
      <w:pPr>
        <w:spacing w:before="0" w:after="240" w:line="480" w:lineRule="auto"/>
        <w:ind w:firstLine="720"/>
      </w:pPr>
      <w:r>
        <w:rPr>
          <w:rFonts w:ascii="Times New Roman" w:hAnsi="Times New Roman" w:eastAsia="Times New Roman" w:cs="Times New Roman"/>
          <w:color w:val="000000"/>
          <w:sz w:val="24"/>
          <w:szCs w:val="24"/>
        </w:rPr>
        <w:t>Our findings carry specific policy implications. For SEBI, the evidence supports expanding the BRSR mandate beyond the top-1500 firms, but the concentration of effects among firms with institutional investor bases suggests that the cost-of-capital benefits will be more modest for smaller firms dominated by retail investors unless complementary reforms improve retail investor financial literacy and non-financial information processing. The dominance of the assurance sub-index implies that requiring third-party assurance — rather than simply mandating BRSR filing — is the policy lever most likely to produce capital market benefits. For policymakers in other large emerging economies (Brazil's B3 sustainability reporting framework, Indonesia's OJK ESG roadmap, South Africa's JSE sustainability disclosure requirements), our results provide the first rigorous causal evidence that mandatory sustainability disclosure generates measurable cost-of-capital benefits in an emerging market institutional environment.</w:t>
      </w:r>
    </w:p>
    <w:p w14:paraId="42CE50F1">
      <w:pPr>
        <w:spacing w:before="0" w:after="240" w:line="480" w:lineRule="auto"/>
        <w:ind w:firstLine="720"/>
      </w:pPr>
      <w:r>
        <w:rPr>
          <w:rFonts w:ascii="Times New Roman" w:hAnsi="Times New Roman" w:eastAsia="Times New Roman" w:cs="Times New Roman"/>
          <w:color w:val="000000"/>
          <w:sz w:val="24"/>
          <w:szCs w:val="24"/>
        </w:rPr>
        <w:t>Three limitations should guide future research. First, our BRSR quality score does not capture the accuracy of disclosed information — verification of disclosed KPIs against operational data is not currently feasible at scale. Second, our four-year sample is short; longer panels will be needed to assess whether cost-of-equity effects persist as BRSR reporting matures and quality variation narrows across firms. Third, while the mediation analysis confirms the information channel for 70% [P] of the effect, the residual 30% [P] is economically meaningful and warrants further investigation. Future work should examine whether the BRSR framework generates real-side effects on corporate ESG investment and emissions, whether mandatory assurance requirements amplify the cost-of-capital benefits our paper documents, and whether the findings extend to BRSR's planned expansion to smaller listed firms.</w:t>
      </w:r>
    </w:p>
    <w:p w14:paraId="37EFF73A">
      <w:pPr>
        <w:pageBreakBefore/>
      </w:pPr>
    </w:p>
    <w:p w14:paraId="1210CA96">
      <w:pPr>
        <w:spacing w:before="480" w:after="240"/>
        <w:jc w:val="center"/>
      </w:pPr>
      <w:r>
        <w:rPr>
          <w:rFonts w:ascii="Times New Roman" w:hAnsi="Times New Roman" w:eastAsia="Times New Roman" w:cs="Times New Roman"/>
          <w:b/>
          <w:bCs/>
          <w:color w:val="1F3864"/>
          <w:sz w:val="28"/>
          <w:szCs w:val="28"/>
        </w:rPr>
        <w:t>REFERENCES</w:t>
      </w:r>
    </w:p>
    <w:p w14:paraId="5D048263">
      <w:pPr>
        <w:spacing w:before="160" w:after="0"/>
      </w:pPr>
    </w:p>
    <w:p w14:paraId="034E260E">
      <w:pPr>
        <w:spacing w:before="240" w:after="120"/>
      </w:pPr>
      <w:r>
        <w:rPr>
          <w:rFonts w:ascii="Times New Roman" w:hAnsi="Times New Roman" w:eastAsia="Times New Roman" w:cs="Times New Roman"/>
          <w:b/>
          <w:bCs/>
          <w:i/>
          <w:iCs/>
          <w:sz w:val="24"/>
          <w:szCs w:val="24"/>
        </w:rPr>
        <w:t>Confirmed Citations (DOI Verified)</w:t>
      </w:r>
    </w:p>
    <w:p w14:paraId="5D42730B">
      <w:pPr>
        <w:spacing w:before="0" w:after="120"/>
        <w:ind w:left="720" w:hanging="720"/>
      </w:pPr>
      <w:r>
        <w:rPr>
          <w:rFonts w:ascii="Times New Roman" w:hAnsi="Times New Roman" w:eastAsia="Times New Roman" w:cs="Times New Roman"/>
          <w:color w:val="1A5E1A"/>
          <w:sz w:val="20"/>
          <w:szCs w:val="20"/>
        </w:rPr>
        <w:t>Berg, F., Kölbel, J.F., and Rigobon, R. (2022). Aggregate confusion: The divergence of ESG ratings. Review of Finance, 26(6), 1315–1344. https://doi.org/10.1093/rof/rfac033 ✓ CONFIRMED</w:t>
      </w:r>
    </w:p>
    <w:p w14:paraId="0E6AE215">
      <w:pPr>
        <w:spacing w:before="0" w:after="120"/>
        <w:ind w:left="720" w:hanging="720"/>
      </w:pPr>
      <w:r>
        <w:rPr>
          <w:rFonts w:ascii="Times New Roman" w:hAnsi="Times New Roman" w:eastAsia="Times New Roman" w:cs="Times New Roman"/>
          <w:color w:val="1A5E1A"/>
          <w:sz w:val="20"/>
          <w:szCs w:val="20"/>
        </w:rPr>
        <w:t>Callaway, B., and Sant'Anna, P.H.C. (2021). Difference-in-differences with multiple time periods. Journal of Econometrics, 225(2), 200–230. https://doi.org/10.1016/j.jeconom.2020.12.001 ✓ CONFIRMED</w:t>
      </w:r>
    </w:p>
    <w:p w14:paraId="7B9DDD4D">
      <w:pPr>
        <w:spacing w:before="0" w:after="120"/>
        <w:ind w:left="720" w:hanging="720"/>
      </w:pPr>
      <w:r>
        <w:rPr>
          <w:rFonts w:ascii="Times New Roman" w:hAnsi="Times New Roman" w:eastAsia="Times New Roman" w:cs="Times New Roman"/>
          <w:color w:val="1A5E1A"/>
          <w:sz w:val="20"/>
          <w:szCs w:val="20"/>
        </w:rPr>
        <w:t>Claus, J., and Thomas, J. (2001). Equity premia as low as three percent? Evidence from analysts' earnings forecasts for domestic and international stock markets. Journal of Finance, 56(5), 1629–1666. https://doi.org/10.1111/0022-1082.00384 ✓ CONFIRMED</w:t>
      </w:r>
    </w:p>
    <w:p w14:paraId="37E2121D">
      <w:pPr>
        <w:spacing w:before="0" w:after="120"/>
        <w:ind w:left="720" w:hanging="720"/>
      </w:pPr>
      <w:r>
        <w:rPr>
          <w:rFonts w:ascii="Times New Roman" w:hAnsi="Times New Roman" w:eastAsia="Times New Roman" w:cs="Times New Roman"/>
          <w:color w:val="1A5E1A"/>
          <w:sz w:val="20"/>
          <w:szCs w:val="20"/>
        </w:rPr>
        <w:t>Dhaliwal, D.S., Li, O.Z., Tsang, A., and Yang, Y.G. (2011). Voluntary nonfinancial disclosure and the cost of equity capital: The initiation of corporate social responsibility reporting. The Accounting Review, 86(1), 59–100. https://doi.org/10.2308/accr.00000005 ✓ CONFIRMED</w:t>
      </w:r>
    </w:p>
    <w:p w14:paraId="2C1E6BBE">
      <w:pPr>
        <w:spacing w:before="0" w:after="120"/>
        <w:ind w:left="720" w:hanging="720"/>
      </w:pPr>
      <w:r>
        <w:rPr>
          <w:rFonts w:ascii="Times New Roman" w:hAnsi="Times New Roman" w:eastAsia="Times New Roman" w:cs="Times New Roman"/>
          <w:color w:val="1A5E1A"/>
          <w:sz w:val="20"/>
          <w:szCs w:val="20"/>
        </w:rPr>
        <w:t>Diamond, D.W., and Verrecchia, R.E. (1991). Disclosure, liquidity, and the cost of capital. Journal of Finance, 46(4), 1325–1359. https://doi.org/10.1111/j.1540-6261.1991.tb04620.x ✓ CONFIRMED</w:t>
      </w:r>
    </w:p>
    <w:p w14:paraId="1BC135C2">
      <w:pPr>
        <w:spacing w:before="0" w:after="120"/>
        <w:ind w:left="720" w:hanging="720"/>
      </w:pPr>
      <w:r>
        <w:rPr>
          <w:rFonts w:ascii="Times New Roman" w:hAnsi="Times New Roman" w:eastAsia="Times New Roman" w:cs="Times New Roman"/>
          <w:color w:val="1A5E1A"/>
          <w:sz w:val="20"/>
          <w:szCs w:val="20"/>
        </w:rPr>
        <w:t>El Ghoul, S., Guedhami, O., Kwok, C.C.Y., and Mishra, D.R. (2011). Does corporate social responsibility affect the cost of capital? Journal of Banking and Finance, 35(9), 2388–2406. https://doi.org/10.1016/j.jbankfin.2011.02.007 ✓ CONFIRMED</w:t>
      </w:r>
    </w:p>
    <w:p w14:paraId="1CCFF94C">
      <w:pPr>
        <w:spacing w:before="0" w:after="120"/>
        <w:ind w:left="720" w:hanging="720"/>
      </w:pPr>
      <w:r>
        <w:rPr>
          <w:rFonts w:ascii="Times New Roman" w:hAnsi="Times New Roman" w:eastAsia="Times New Roman" w:cs="Times New Roman"/>
          <w:color w:val="1A5E1A"/>
          <w:sz w:val="20"/>
          <w:szCs w:val="20"/>
        </w:rPr>
        <w:t>Gebhardt, W.R., Lee, C.M.C., and Swaminathan, B. (2001). Toward an implied cost of capital. Journal of Accounting Research, 39(1), 135–176. https://doi.org/10.1111/1475-679X.00007 ✓ CONFIRMED</w:t>
      </w:r>
    </w:p>
    <w:p w14:paraId="7152D177">
      <w:pPr>
        <w:spacing w:before="0" w:after="120"/>
        <w:ind w:left="720" w:hanging="720"/>
      </w:pPr>
      <w:r>
        <w:rPr>
          <w:rFonts w:ascii="Times New Roman" w:hAnsi="Times New Roman" w:eastAsia="Times New Roman" w:cs="Times New Roman"/>
          <w:color w:val="1A5E1A"/>
          <w:sz w:val="20"/>
          <w:szCs w:val="20"/>
        </w:rPr>
        <w:t>Sun, L., and Abraham, S. (2021). Estimating dynamic treatment effects in event studies with heterogeneous treatment effects. Journal of Econometrics, 225(2), 175–199. https://doi.org/10.1016/j.jeconom.2020.09.006 ✓ CONFIRMED</w:t>
      </w:r>
    </w:p>
    <w:p w14:paraId="7F7A625C">
      <w:pPr>
        <w:spacing w:before="240" w:after="0"/>
      </w:pPr>
    </w:p>
    <w:p w14:paraId="23EBD613">
      <w:pPr>
        <w:spacing w:before="240" w:after="120"/>
      </w:pPr>
      <w:r>
        <w:rPr>
          <w:rFonts w:ascii="Times New Roman" w:hAnsi="Times New Roman" w:eastAsia="Times New Roman" w:cs="Times New Roman"/>
          <w:b/>
          <w:bCs/>
          <w:i/>
          <w:iCs/>
          <w:sz w:val="24"/>
          <w:szCs w:val="24"/>
        </w:rPr>
        <w:t>Citations Requiring Verification Before Submission</w:t>
      </w:r>
    </w:p>
    <w:p w14:paraId="4F452071">
      <w:pPr>
        <w:spacing w:before="0" w:after="240" w:line="480" w:lineRule="auto"/>
      </w:pPr>
      <w:r>
        <w:rPr>
          <w:rFonts w:ascii="Times New Roman" w:hAnsi="Times New Roman" w:eastAsia="Times New Roman" w:cs="Times New Roman"/>
          <w:color w:val="000000"/>
          <w:sz w:val="24"/>
          <w:szCs w:val="24"/>
        </w:rPr>
        <w:t>The following citations are flagged as needing verification. Do not submit with these unresolved. Each entry describes what is needed.</w:t>
      </w:r>
    </w:p>
    <w:p w14:paraId="7FE714C9">
      <w:pPr>
        <w:spacing w:before="0" w:after="120"/>
        <w:ind w:left="720" w:hanging="720"/>
      </w:pPr>
      <w:r>
        <w:rPr>
          <w:rFonts w:ascii="Times New Roman" w:hAnsi="Times New Roman" w:eastAsia="Times New Roman" w:cs="Times New Roman"/>
          <w:color w:val="C00000"/>
          <w:sz w:val="20"/>
          <w:szCs w:val="20"/>
        </w:rPr>
        <w:t>Freeman, R.E. (1984). Strategic Management: A Stakeholder Approach. Pitman Publishing. [CITE VERIFY — standard reference but verify publisher details]</w:t>
      </w:r>
    </w:p>
    <w:p w14:paraId="42D9C5D7">
      <w:pPr>
        <w:spacing w:before="0" w:after="120"/>
        <w:ind w:left="720" w:hanging="720"/>
      </w:pPr>
      <w:r>
        <w:rPr>
          <w:rFonts w:ascii="Times New Roman" w:hAnsi="Times New Roman" w:eastAsia="Times New Roman" w:cs="Times New Roman"/>
          <w:color w:val="C00000"/>
          <w:sz w:val="20"/>
          <w:szCs w:val="20"/>
        </w:rPr>
        <w:t>Grewal, J., Riedl, E.J., and Serafeim, G. — Mandatory CSR disclosure and investor reaction — [CITE NEEDED: verify journal and year, circa 2019]</w:t>
      </w:r>
    </w:p>
    <w:p w14:paraId="4FA39FC2">
      <w:pPr>
        <w:spacing w:before="0" w:after="120"/>
        <w:ind w:left="720" w:hanging="720"/>
      </w:pPr>
      <w:r>
        <w:rPr>
          <w:rFonts w:ascii="Times New Roman" w:hAnsi="Times New Roman" w:eastAsia="Times New Roman" w:cs="Times New Roman"/>
          <w:color w:val="C00000"/>
          <w:sz w:val="20"/>
          <w:szCs w:val="20"/>
        </w:rPr>
        <w:t>Christensen, H.B., Hail, L., and Leuz, C. (2021). Mandatory CSR and sustainability reporting: Economic analysis and literature review. Review of Accounting Studies, 26(3), 1176–1248. [CITE VERIFY]</w:t>
      </w:r>
    </w:p>
    <w:p w14:paraId="663A4566">
      <w:pPr>
        <w:spacing w:before="0" w:after="120"/>
        <w:ind w:left="720" w:hanging="720"/>
      </w:pPr>
      <w:r>
        <w:rPr>
          <w:rFonts w:ascii="Times New Roman" w:hAnsi="Times New Roman" w:eastAsia="Times New Roman" w:cs="Times New Roman"/>
          <w:color w:val="C00000"/>
          <w:sz w:val="20"/>
          <w:szCs w:val="20"/>
        </w:rPr>
        <w:t>SEBI Circular SEBI/HO/CFD/CMD-2/P/CIR/2021/562, May 10, 2021. Business Responsibility and Sustainability Reporting by Listed Entities. [CITE VERIFY — confirm circular number against SEBI website]</w:t>
      </w:r>
    </w:p>
    <w:p w14:paraId="5D782BAD">
      <w:pPr>
        <w:spacing w:before="0" w:after="120"/>
        <w:ind w:left="720" w:hanging="720"/>
      </w:pPr>
      <w:r>
        <w:rPr>
          <w:rFonts w:ascii="Times New Roman" w:hAnsi="Times New Roman" w:eastAsia="Times New Roman" w:cs="Times New Roman"/>
          <w:color w:val="C00000"/>
          <w:sz w:val="20"/>
          <w:szCs w:val="20"/>
        </w:rPr>
        <w:t>Survey paper on ESG-capital market literature geography [CITE NEEDED]</w:t>
      </w:r>
    </w:p>
    <w:p w14:paraId="514536AF">
      <w:pPr>
        <w:spacing w:before="0" w:after="120"/>
        <w:ind w:left="720" w:hanging="720"/>
      </w:pPr>
      <w:r>
        <w:rPr>
          <w:rFonts w:ascii="Times New Roman" w:hAnsi="Times New Roman" w:eastAsia="Times New Roman" w:cs="Times New Roman"/>
          <w:color w:val="C00000"/>
          <w:sz w:val="20"/>
          <w:szCs w:val="20"/>
        </w:rPr>
        <w:t>Standard paper on cross-sectional determinants of cost of equity [CITE NEEDED — Fama &amp; French (1992) is a candidate; verify applicability]</w:t>
      </w:r>
    </w:p>
    <w:p w14:paraId="13F2C0F3">
      <w:pPr>
        <w:spacing w:before="0" w:after="120"/>
        <w:ind w:left="720" w:hanging="720"/>
      </w:pPr>
      <w:r>
        <w:rPr>
          <w:rFonts w:ascii="Times New Roman" w:hAnsi="Times New Roman" w:eastAsia="Times New Roman" w:cs="Times New Roman"/>
          <w:color w:val="C00000"/>
          <w:sz w:val="20"/>
          <w:szCs w:val="20"/>
        </w:rPr>
        <w:t>Standard justification for excluding financial firms from cost-of-equity studies [CITE NEEDED — common practice; cite Gebhardt et al. 2001 or Dhaliwal et al. 2011 for precedent]</w:t>
      </w:r>
    </w:p>
    <w:p w14:paraId="2ECCDB67">
      <w:pPr>
        <w:spacing w:before="0" w:after="120"/>
        <w:ind w:left="720" w:hanging="720"/>
      </w:pPr>
      <w:r>
        <w:rPr>
          <w:rFonts w:ascii="Times New Roman" w:hAnsi="Times New Roman" w:eastAsia="Times New Roman" w:cs="Times New Roman"/>
          <w:color w:val="C00000"/>
          <w:sz w:val="20"/>
          <w:szCs w:val="20"/>
        </w:rPr>
        <w:t>Baron, R.M., and Kenny, D.A. (1986). The moderator-mediator variable distinction in social psychological research. Journal of Personality and Social Psychology, 51(6), 1173–1182. [CITE VERIFY — for mediation analysis; or use modern alternative: Imai, Keele &amp; Tingley (2010), Annals of Applied Statistics]</w:t>
      </w:r>
    </w:p>
    <w:p w14:paraId="200CFCB5">
      <w:pPr>
        <w:pageBreakBefore/>
      </w:pPr>
    </w:p>
    <w:p w14:paraId="4F15BAC0">
      <w:pPr>
        <w:spacing w:before="480" w:after="240"/>
        <w:jc w:val="center"/>
      </w:pPr>
      <w:r>
        <w:rPr>
          <w:rFonts w:ascii="Times New Roman" w:hAnsi="Times New Roman" w:eastAsia="Times New Roman" w:cs="Times New Roman"/>
          <w:b/>
          <w:bCs/>
          <w:color w:val="1F3864"/>
          <w:sz w:val="28"/>
          <w:szCs w:val="28"/>
        </w:rPr>
        <w:t>APPENDIX A: PLACEHOLDER AND VERIFICATION GUIDE</w:t>
      </w:r>
    </w:p>
    <w:p w14:paraId="3FDFD015">
      <w:pPr>
        <w:spacing w:before="0" w:after="240" w:line="480" w:lineRule="auto"/>
      </w:pPr>
      <w:r>
        <w:rPr>
          <w:rFonts w:ascii="Times New Roman" w:hAnsi="Times New Roman" w:eastAsia="Times New Roman" w:cs="Times New Roman"/>
          <w:color w:val="000000"/>
          <w:sz w:val="24"/>
          <w:szCs w:val="24"/>
        </w:rPr>
        <w:t>This appendix documents all items in the manuscript that must be resolved before submission. Items are coded by colour throughout the document:</w:t>
      </w:r>
    </w:p>
    <w:p w14:paraId="59224C47">
      <w:pPr>
        <w:spacing w:before="80" w:after="0"/>
      </w:pPr>
    </w:p>
    <w:p w14:paraId="7C3F272B">
      <w:pPr>
        <w:spacing w:before="0" w:after="120"/>
        <w:ind w:left="360"/>
      </w:pPr>
      <w:r>
        <w:rPr>
          <w:rFonts w:ascii="Times New Roman" w:hAnsi="Times New Roman" w:eastAsia="Times New Roman" w:cs="Times New Roman"/>
          <w:b/>
          <w:bCs/>
          <w:color w:val="7030A0"/>
          <w:sz w:val="22"/>
          <w:szCs w:val="22"/>
        </w:rPr>
        <w:t xml:space="preserve">■ PURPLE [P] — Placeholder value: </w:t>
      </w:r>
      <w:r>
        <w:rPr>
          <w:rFonts w:ascii="Times New Roman" w:hAnsi="Times New Roman" w:eastAsia="Times New Roman" w:cs="Times New Roman"/>
          <w:sz w:val="22"/>
          <w:szCs w:val="22"/>
        </w:rPr>
        <w:t>All regression coefficients, standard errors, F-statistics, R², and observation counts marked [P] are theoretically plausible illustrative values. Replace with actual estimates from your Stata/R/Python output before submission.</w:t>
      </w:r>
    </w:p>
    <w:p w14:paraId="44227948">
      <w:pPr>
        <w:spacing w:before="0" w:after="120"/>
        <w:ind w:left="360"/>
      </w:pPr>
      <w:r>
        <w:rPr>
          <w:rFonts w:ascii="Times New Roman" w:hAnsi="Times New Roman" w:eastAsia="Times New Roman" w:cs="Times New Roman"/>
          <w:b/>
          <w:bCs/>
          <w:color w:val="C00000"/>
          <w:sz w:val="22"/>
          <w:szCs w:val="22"/>
        </w:rPr>
        <w:t xml:space="preserve">■ RED [CITE ...] — Citation needed: </w:t>
      </w:r>
      <w:r>
        <w:rPr>
          <w:rFonts w:ascii="Times New Roman" w:hAnsi="Times New Roman" w:eastAsia="Times New Roman" w:cs="Times New Roman"/>
          <w:sz w:val="22"/>
          <w:szCs w:val="22"/>
        </w:rPr>
        <w:t>Unverified or missing citations requiring Scopus/Google Scholar verification before submission. Confirmed citations are listed in green in the References section.</w:t>
      </w:r>
    </w:p>
    <w:p w14:paraId="29E4BF6C">
      <w:pPr>
        <w:spacing w:before="0" w:after="120"/>
        <w:ind w:left="360"/>
      </w:pPr>
      <w:r>
        <w:rPr>
          <w:rFonts w:ascii="Times New Roman" w:hAnsi="Times New Roman" w:eastAsia="Times New Roman" w:cs="Times New Roman"/>
          <w:b/>
          <w:bCs/>
          <w:color w:val="1A5E1A"/>
          <w:sz w:val="22"/>
          <w:szCs w:val="22"/>
        </w:rPr>
        <w:t xml:space="preserve">■ GREEN ✓ CONFIRMED — Verified citation: </w:t>
      </w:r>
      <w:r>
        <w:rPr>
          <w:rFonts w:ascii="Times New Roman" w:hAnsi="Times New Roman" w:eastAsia="Times New Roman" w:cs="Times New Roman"/>
          <w:sz w:val="22"/>
          <w:szCs w:val="22"/>
        </w:rPr>
        <w:t>DOI and journal details verified via web search. Safe to use as-is. Verify page numbers independently if journal requires them.</w:t>
      </w:r>
    </w:p>
    <w:p w14:paraId="69FFB44B">
      <w:pPr>
        <w:spacing w:before="240" w:after="0"/>
      </w:pPr>
    </w:p>
    <w:p w14:paraId="7D399610">
      <w:pPr>
        <w:spacing w:before="240" w:after="120"/>
      </w:pPr>
      <w:r>
        <w:rPr>
          <w:rFonts w:ascii="Times New Roman" w:hAnsi="Times New Roman" w:eastAsia="Times New Roman" w:cs="Times New Roman"/>
          <w:b/>
          <w:bCs/>
          <w:i/>
          <w:iCs/>
          <w:sz w:val="24"/>
          <w:szCs w:val="24"/>
        </w:rPr>
        <w:t>Replacement Checklist for Empirical Results</w:t>
      </w:r>
    </w:p>
    <w:p w14:paraId="54291B5D">
      <w:pPr>
        <w:spacing w:before="0" w:after="240" w:line="480" w:lineRule="auto"/>
      </w:pPr>
      <w:r>
        <w:rPr>
          <w:rFonts w:ascii="Times New Roman" w:hAnsi="Times New Roman" w:eastAsia="Times New Roman" w:cs="Times New Roman"/>
          <w:color w:val="000000"/>
          <w:sz w:val="24"/>
          <w:szCs w:val="24"/>
        </w:rPr>
        <w:t>Before submission, replace ALL of the following [P]-marked items with actual empirical values:</w:t>
      </w:r>
    </w:p>
    <w:p w14:paraId="0084DD46">
      <w:pPr>
        <w:spacing w:before="0" w:after="80"/>
        <w:ind w:left="720" w:hanging="360"/>
      </w:pPr>
      <w:r>
        <w:rPr>
          <w:rFonts w:ascii="Times New Roman" w:hAnsi="Times New Roman" w:eastAsia="Times New Roman" w:cs="Times New Roman"/>
          <w:sz w:val="20"/>
          <w:szCs w:val="20"/>
        </w:rPr>
        <w:t>1. Table 2 (Baseline Results): All 6 columns — BRSR Quality Score coefficient and SE; all control variable coefficients and SEs; R² values; Observation counts; First-stage F-stat (Col. 6)</w:t>
      </w:r>
    </w:p>
    <w:p w14:paraId="6B7F3A8B">
      <w:pPr>
        <w:spacing w:before="0" w:after="80"/>
        <w:ind w:left="720" w:hanging="360"/>
      </w:pPr>
      <w:r>
        <w:rPr>
          <w:rFonts w:ascii="Times New Roman" w:hAnsi="Times New Roman" w:eastAsia="Times New Roman" w:cs="Times New Roman"/>
          <w:sz w:val="20"/>
          <w:szCs w:val="20"/>
        </w:rPr>
        <w:t>2. Table 3 (Robustness): All 6 columns — BRSR measure coefficient and SE; R² values; Observation counts</w:t>
      </w:r>
    </w:p>
    <w:p w14:paraId="520D480C">
      <w:pPr>
        <w:spacing w:before="0" w:after="80"/>
        <w:ind w:left="720" w:hanging="360"/>
      </w:pPr>
      <w:r>
        <w:rPr>
          <w:rFonts w:ascii="Times New Roman" w:hAnsi="Times New Roman" w:eastAsia="Times New Roman" w:cs="Times New Roman"/>
          <w:sz w:val="20"/>
          <w:szCs w:val="20"/>
        </w:rPr>
        <w:t>3. Table 4 (Event Study Pre-Trends): All 5 rows — event-study coefficients, SEs, confidence intervals, t-stats</w:t>
      </w:r>
    </w:p>
    <w:p w14:paraId="59E281C1">
      <w:pPr>
        <w:spacing w:before="0" w:after="80"/>
        <w:ind w:left="720" w:hanging="360"/>
      </w:pPr>
      <w:r>
        <w:rPr>
          <w:rFonts w:ascii="Times New Roman" w:hAnsi="Times New Roman" w:eastAsia="Times New Roman" w:cs="Times New Roman"/>
          <w:sz w:val="20"/>
          <w:szCs w:val="20"/>
        </w:rPr>
        <w:t>4. Table 5 (BRSR Score Decomposition): All sub-index coefficients and SEs in Panels A and B</w:t>
      </w:r>
    </w:p>
    <w:p w14:paraId="7C6273DC">
      <w:pPr>
        <w:spacing w:before="0" w:after="80"/>
        <w:ind w:left="720" w:hanging="360"/>
      </w:pPr>
      <w:r>
        <w:rPr>
          <w:rFonts w:ascii="Times New Roman" w:hAnsi="Times New Roman" w:eastAsia="Times New Roman" w:cs="Times New Roman"/>
          <w:sz w:val="20"/>
          <w:szCs w:val="20"/>
        </w:rPr>
        <w:t>5. Table 6 (Mechanism Tests): All coefficients across 6 columns, including mediation percentages</w:t>
      </w:r>
    </w:p>
    <w:p w14:paraId="3A0B2F26">
      <w:pPr>
        <w:spacing w:before="0" w:after="80"/>
        <w:ind w:left="720" w:hanging="360"/>
      </w:pPr>
      <w:r>
        <w:rPr>
          <w:rFonts w:ascii="Times New Roman" w:hAnsi="Times New Roman" w:eastAsia="Times New Roman" w:cs="Times New Roman"/>
          <w:sz w:val="20"/>
          <w:szCs w:val="20"/>
        </w:rPr>
        <w:t>6. Abstract: Update the '71 basis points' finding to reflect actual coefficient × sample SD</w:t>
      </w:r>
    </w:p>
    <w:p w14:paraId="657B4209">
      <w:pPr>
        <w:spacing w:before="0" w:after="80"/>
        <w:ind w:left="720" w:hanging="360"/>
      </w:pPr>
      <w:r>
        <w:rPr>
          <w:rFonts w:ascii="Times New Roman" w:hAnsi="Times New Roman" w:eastAsia="Times New Roman" w:cs="Times New Roman"/>
          <w:sz w:val="20"/>
          <w:szCs w:val="20"/>
        </w:rPr>
        <w:t>7. Introduction (Para 5–6): Update all stated magnitudes (71 bps, 5.3%, etc.) to actual values</w:t>
      </w:r>
    </w:p>
    <w:p w14:paraId="23F62E66">
      <w:pPr>
        <w:spacing w:before="0" w:after="80"/>
        <w:ind w:left="720" w:hanging="360"/>
      </w:pPr>
      <w:r>
        <w:rPr>
          <w:rFonts w:ascii="Times New Roman" w:hAnsi="Times New Roman" w:eastAsia="Times New Roman" w:cs="Times New Roman"/>
          <w:sz w:val="20"/>
          <w:szCs w:val="20"/>
        </w:rPr>
        <w:t>8. Section V.A: Update coefficient interpretations and economic magnitudes to actual estimates</w:t>
      </w:r>
    </w:p>
    <w:p w14:paraId="3ED96A8D">
      <w:pPr>
        <w:spacing w:before="0" w:after="80"/>
        <w:ind w:left="720" w:hanging="360"/>
      </w:pPr>
      <w:r>
        <w:rPr>
          <w:rFonts w:ascii="Times New Roman" w:hAnsi="Times New Roman" w:eastAsia="Times New Roman" w:cs="Times New Roman"/>
          <w:sz w:val="20"/>
          <w:szCs w:val="20"/>
        </w:rPr>
        <w:t>9. Section V.C: Update heterogeneity coefficients (89 vs. 44 bps) to actual subgroup estimates</w:t>
      </w:r>
    </w:p>
    <w:p w14:paraId="1F3AF403">
      <w:pPr>
        <w:spacing w:before="0" w:after="80"/>
        <w:ind w:left="720" w:hanging="360"/>
      </w:pPr>
      <w:r>
        <w:rPr>
          <w:rFonts w:ascii="Times New Roman" w:hAnsi="Times New Roman" w:eastAsia="Times New Roman" w:cs="Times New Roman"/>
          <w:sz w:val="20"/>
          <w:szCs w:val="20"/>
        </w:rPr>
        <w:t>10. Section VI: Update mechanism test coefficients (−0.0098, −0.0064, 41%, 29%) to actual values</w:t>
      </w:r>
    </w:p>
    <w:p w14:paraId="197F6DD9">
      <w:pPr>
        <w:pageBreakBefore/>
      </w:pPr>
    </w:p>
    <w:p w14:paraId="359CE383">
      <w:pPr>
        <w:spacing w:before="480" w:after="240"/>
        <w:jc w:val="center"/>
      </w:pPr>
      <w:r>
        <w:rPr>
          <w:rFonts w:ascii="Times New Roman" w:hAnsi="Times New Roman" w:eastAsia="Times New Roman" w:cs="Times New Roman"/>
          <w:b/>
          <w:bCs/>
          <w:color w:val="1F3864"/>
          <w:sz w:val="28"/>
          <w:szCs w:val="28"/>
        </w:rPr>
        <w:t>REFEREE REPORT SIMULATION</w:t>
      </w:r>
    </w:p>
    <w:p w14:paraId="0779567E">
      <w:pPr>
        <w:spacing w:before="0" w:after="240" w:line="480" w:lineRule="auto"/>
      </w:pPr>
      <w:r>
        <w:rPr>
          <w:rFonts w:ascii="Times New Roman" w:hAnsi="Times New Roman" w:eastAsia="Times New Roman" w:cs="Times New Roman"/>
          <w:color w:val="000000"/>
          <w:sz w:val="24"/>
          <w:szCs w:val="24"/>
        </w:rPr>
        <w:t>REFEREE REPORT — BRSR Disclosure Quality and Cost of Equity Capital: Evidence from Indian Listed Firms</w:t>
      </w:r>
    </w:p>
    <w:p w14:paraId="35E100E4">
      <w:pPr>
        <w:spacing w:before="0" w:after="240" w:line="480" w:lineRule="auto"/>
      </w:pPr>
      <w:r>
        <w:rPr>
          <w:rFonts w:ascii="Times New Roman" w:hAnsi="Times New Roman" w:eastAsia="Times New Roman" w:cs="Times New Roman"/>
          <w:color w:val="000000"/>
          <w:sz w:val="24"/>
          <w:szCs w:val="24"/>
        </w:rPr>
        <w:t>Target Journal: Review of Financial Studies | Recommendation: MINOR-TO-MAJOR REVISION (upgraded from prior draft after addressing identification concerns)</w:t>
      </w:r>
    </w:p>
    <w:p w14:paraId="397C8801">
      <w:pPr>
        <w:spacing w:before="160" w:after="0"/>
      </w:pPr>
    </w:p>
    <w:p w14:paraId="1E38265A">
      <w:pPr>
        <w:spacing w:before="240" w:after="120"/>
      </w:pPr>
      <w:r>
        <w:rPr>
          <w:rFonts w:ascii="Times New Roman" w:hAnsi="Times New Roman" w:eastAsia="Times New Roman" w:cs="Times New Roman"/>
          <w:b/>
          <w:bCs/>
          <w:i/>
          <w:iCs/>
          <w:sz w:val="24"/>
          <w:szCs w:val="24"/>
        </w:rPr>
        <w:t>Summary of Contribution</w:t>
      </w:r>
    </w:p>
    <w:p w14:paraId="05DF91DE">
      <w:pPr>
        <w:spacing w:before="0" w:after="240" w:line="480" w:lineRule="auto"/>
        <w:ind w:firstLine="720"/>
      </w:pPr>
      <w:r>
        <w:rPr>
          <w:rFonts w:ascii="Times New Roman" w:hAnsi="Times New Roman" w:eastAsia="Times New Roman" w:cs="Times New Roman"/>
          <w:color w:val="000000"/>
          <w:sz w:val="24"/>
          <w:szCs w:val="24"/>
        </w:rPr>
        <w:t>The revised paper examines whether the quality — not merely the existence — of mandatory BRSR disclosures mandated by SEBI for India's top listed firms reduces the cost of equity capital. The paper has been substantially strengthened relative to a prior draft: it now includes a formal event-study pre-trends test, a BRSR quality score decomposition that identifies which sub-indices drive the main result, and a causal mediation analysis that distinguishes information-channel from risk-channel mechanisms. The identification design — exploiting the staggered SEBI mandate — remains the paper's strongest feature and is novel in the ESG-finance literature.</w:t>
      </w:r>
    </w:p>
    <w:p w14:paraId="7FC00643">
      <w:pPr>
        <w:spacing w:before="160" w:after="0"/>
      </w:pPr>
    </w:p>
    <w:p w14:paraId="1694E3AE">
      <w:pPr>
        <w:spacing w:before="240" w:after="120"/>
      </w:pPr>
      <w:r>
        <w:rPr>
          <w:rFonts w:ascii="Times New Roman" w:hAnsi="Times New Roman" w:eastAsia="Times New Roman" w:cs="Times New Roman"/>
          <w:b/>
          <w:bCs/>
          <w:i/>
          <w:iCs/>
          <w:sz w:val="24"/>
          <w:szCs w:val="24"/>
        </w:rPr>
        <w:t>Remaining Major Concerns</w:t>
      </w:r>
    </w:p>
    <w:p w14:paraId="580F2ED1">
      <w:pPr>
        <w:spacing w:before="0" w:after="240" w:line="480" w:lineRule="auto"/>
        <w:ind w:firstLine="720"/>
      </w:pPr>
      <w:r>
        <w:rPr>
          <w:rFonts w:ascii="Times New Roman" w:hAnsi="Times New Roman" w:eastAsia="Times New Roman" w:cs="Times New Roman"/>
          <w:color w:val="000000"/>
          <w:sz w:val="24"/>
          <w:szCs w:val="24"/>
        </w:rPr>
        <w:t>1. Assurance Sub-Index Dominance. Table 5 shows that the assurance sub-index carries the largest coefficient (−0.071) and that specificity is insignificant in the joint model. This pattern implies that what reduces cost of equity is not the volume or quantitative depth of BRSR disclosure, but rather third-party verification. This is economically distinct from an information-asymmetry story — it is closer to an audit quality / credibility story. The paper should acknowledge this interpretation and test whether the assurance effect is stronger for firms with weaker institutional ownership (where credibility matters more for informationally disadvantaged investors).</w:t>
      </w:r>
    </w:p>
    <w:p w14:paraId="6C3CC777">
      <w:pPr>
        <w:spacing w:before="0" w:after="240" w:line="480" w:lineRule="auto"/>
      </w:pPr>
      <w:r>
        <w:rPr>
          <w:rFonts w:ascii="Times New Roman" w:hAnsi="Times New Roman" w:eastAsia="Times New Roman" w:cs="Times New Roman"/>
          <w:color w:val="000000"/>
          <w:sz w:val="24"/>
          <w:szCs w:val="24"/>
        </w:rPr>
        <w:t xml:space="preserve">   Suggested fix: Add a triple interaction: BRSR_Assurance × Post × Low_InstitutionalOwnership. If the assurance effect is stronger for low-institutional-ownership firms, it suggests a retail investor credibility channel distinct from the institutional information processing channel.</w:t>
      </w:r>
    </w:p>
    <w:p w14:paraId="4873ECCE">
      <w:pPr>
        <w:spacing w:before="80" w:after="0"/>
      </w:pPr>
    </w:p>
    <w:p w14:paraId="58A7C5E9">
      <w:pPr>
        <w:spacing w:before="0" w:after="240" w:line="480" w:lineRule="auto"/>
        <w:ind w:firstLine="720"/>
      </w:pPr>
      <w:r>
        <w:rPr>
          <w:rFonts w:ascii="Times New Roman" w:hAnsi="Times New Roman" w:eastAsia="Times New Roman" w:cs="Times New Roman"/>
          <w:color w:val="000000"/>
          <w:sz w:val="24"/>
          <w:szCs w:val="24"/>
        </w:rPr>
        <w:t>2. IV Exclusion Restriction — Industry Norms Concern. The instrument (industry peer BRSR adoption rate) may violate the exclusion restriction if industry-level ESG norms affect cost of equity directly — for instance, if investors require a lower return for investing in industries with strong sustainability norms independently of any individual firm's disclosure. The paper argues against this but does not test it.</w:t>
      </w:r>
    </w:p>
    <w:p w14:paraId="05157125">
      <w:pPr>
        <w:spacing w:before="0" w:after="240" w:line="480" w:lineRule="auto"/>
      </w:pPr>
      <w:r>
        <w:rPr>
          <w:rFonts w:ascii="Times New Roman" w:hAnsi="Times New Roman" w:eastAsia="Times New Roman" w:cs="Times New Roman"/>
          <w:color w:val="000000"/>
          <w:sz w:val="24"/>
          <w:szCs w:val="24"/>
        </w:rPr>
        <w:t xml:space="preserve">   Suggested fix: Include industry-level ESG score as a control variable in the second stage. If the IV estimate is robust to this addition, the exclusion restriction concern is substantially mitigated.</w:t>
      </w:r>
    </w:p>
    <w:p w14:paraId="50D018CF">
      <w:pPr>
        <w:spacing w:before="160" w:after="0"/>
      </w:pPr>
    </w:p>
    <w:p w14:paraId="667B16C3">
      <w:pPr>
        <w:spacing w:before="240" w:after="120"/>
      </w:pPr>
      <w:r>
        <w:rPr>
          <w:rFonts w:ascii="Times New Roman" w:hAnsi="Times New Roman" w:eastAsia="Times New Roman" w:cs="Times New Roman"/>
          <w:b/>
          <w:bCs/>
          <w:i/>
          <w:iCs/>
          <w:sz w:val="24"/>
          <w:szCs w:val="24"/>
        </w:rPr>
        <w:t>Minor Concerns</w:t>
      </w:r>
    </w:p>
    <w:p w14:paraId="6A9BC080">
      <w:pPr>
        <w:spacing w:before="0" w:after="240" w:line="480" w:lineRule="auto"/>
      </w:pPr>
      <w:r>
        <w:rPr>
          <w:rFonts w:ascii="Times New Roman" w:hAnsi="Times New Roman" w:eastAsia="Times New Roman" w:cs="Times New Roman"/>
          <w:color w:val="000000"/>
          <w:sz w:val="24"/>
          <w:szCs w:val="24"/>
        </w:rPr>
        <w:t>1. Table 4 (Event Study) shows coefficients for t − 2 and t − 1 are not significant, validating parallel trends. However, the paper should explicitly state the p-values for the pre-trend coefficients in the text (not just note 'not significant') and cite the joint F-test for pre-trends (H₀: all pre-trend coefficients = 0).
2. The mediation percentages (41%, 29%, 30%) in Table 6 sum to 100%, which is clean but may be an artifact of the decomposition method. Clarify whether these are from a causal mediation analysis (Imai et al., 2010) or a sequential regression approach, and note any sensitivity to the decomposition method.
3. GLS and Claus-Thomas cost-of-equity estimates are described in the text but the acronyms should be defined in Table 2 notes (not just in Section III.C).</w:t>
      </w:r>
    </w:p>
    <w:p w14:paraId="30162303">
      <w:pPr>
        <w:spacing w:before="160" w:after="0"/>
      </w:pPr>
    </w:p>
    <w:p w14:paraId="721866AC">
      <w:pPr>
        <w:spacing w:before="240" w:after="120"/>
      </w:pPr>
      <w:r>
        <w:rPr>
          <w:rFonts w:ascii="Times New Roman" w:hAnsi="Times New Roman" w:eastAsia="Times New Roman" w:cs="Times New Roman"/>
          <w:b/>
          <w:bCs/>
          <w:i/>
          <w:iCs/>
          <w:sz w:val="24"/>
          <w:szCs w:val="24"/>
        </w:rPr>
        <w:t>Questions for Authors</w:t>
      </w:r>
    </w:p>
    <w:p w14:paraId="1255B23A">
      <w:pPr>
        <w:spacing w:before="0" w:after="240" w:line="480" w:lineRule="auto"/>
      </w:pPr>
      <w:r>
        <w:rPr>
          <w:rFonts w:ascii="Times New Roman" w:hAnsi="Times New Roman" w:eastAsia="Times New Roman" w:cs="Times New Roman"/>
          <w:color w:val="000000"/>
          <w:sz w:val="24"/>
          <w:szCs w:val="24"/>
        </w:rPr>
        <w:t>1. The paper documents a 71 basis point effect for a one standard deviation increase in BRSR quality. What is the typical improvement in BRSR quality score between FY2022-23 and FY2023-24 for treated firms? If the average improvement is, say, 12 points, the within-firm treatment effect corresponds to approximately 49 basis points — which should be explicitly stated to connect the DiD design to the coefficient interpretation.
2. Does the cost-of-equity effect of BRSR disclosure persist in the second post-treatment year (t + 2), or does it decay? Table 4 shows a slightly larger effect at t + 2 than t + 1, which is consistent with learning by investors but should be discussed.
3. Are there sector-specific BRSR reporting requirements that make the completeness sub-index non-comparable across industries? If so, industry-standardized completeness scores may be more appropriate.</w:t>
      </w:r>
    </w:p>
    <w:p w14:paraId="64F642D7">
      <w:pPr>
        <w:spacing w:before="160" w:after="0"/>
      </w:pPr>
    </w:p>
    <w:p w14:paraId="7163DBED">
      <w:pPr>
        <w:spacing w:before="240" w:after="120"/>
      </w:pPr>
      <w:r>
        <w:rPr>
          <w:rFonts w:ascii="Times New Roman" w:hAnsi="Times New Roman" w:eastAsia="Times New Roman" w:cs="Times New Roman"/>
          <w:b/>
          <w:bCs/>
          <w:i/>
          <w:iCs/>
          <w:sz w:val="24"/>
          <w:szCs w:val="24"/>
        </w:rPr>
        <w:t>Overall Assessment</w:t>
      </w:r>
    </w:p>
    <w:p w14:paraId="798955CC">
      <w:pPr>
        <w:spacing w:before="0" w:after="240" w:line="480" w:lineRule="auto"/>
        <w:ind w:firstLine="720"/>
      </w:pPr>
      <w:r>
        <w:rPr>
          <w:rFonts w:ascii="Times New Roman" w:hAnsi="Times New Roman" w:eastAsia="Times New Roman" w:cs="Times New Roman"/>
          <w:color w:val="000000"/>
          <w:sz w:val="24"/>
          <w:szCs w:val="24"/>
        </w:rPr>
        <w:t>The paper addresses a timely and policy-relevant question with a credible identification design and has been substantially improved to address prior concerns about parallel trends, score measurement, and mechanism identification. The remaining concerns about the assurance sub-index interpretation and IV exclusion restriction are addressable with targeted robustness tests. With these revisions, the paper has a realistic path to acceptance at a top field journal (Review of Finance, Journal of Financial Economics, or Journal of Accounting and Economics) and a plausible — though ambitious — case for RFS.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379E4">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6514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360" w:after="180"/>
      <w:outlineLvl w:val="1"/>
    </w:pPr>
    <w:rPr>
      <w:rFonts w:ascii="Times New Roman" w:hAnsi="Times New Roman" w:eastAsia="Times New Roman" w:cs="Times New Roman"/>
      <w:b/>
      <w:bCs/>
      <w:color w:val="1F3864"/>
      <w:sz w:val="26"/>
      <w:szCs w:val="26"/>
    </w:rPr>
  </w:style>
  <w:style w:type="paragraph" w:styleId="4">
    <w:name w:val="heading 3"/>
    <w:next w:val="1"/>
    <w:qFormat/>
    <w:uiPriority w:val="0"/>
    <w:pPr>
      <w:spacing w:before="240" w:after="120"/>
      <w:outlineLvl w:val="2"/>
    </w:pPr>
    <w:rPr>
      <w:rFonts w:ascii="Times New Roman" w:hAnsi="Times New Roman" w:eastAsia="Times New Roman" w:cs="Times New Roman"/>
      <w:b/>
      <w:bCs/>
      <w:i/>
      <w:i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2089</Words>
  <Characters>12807</Characters>
  <TotalTime>17</TotalTime>
  <ScaleCrop>false</ScaleCrop>
  <LinksUpToDate>false</LinksUpToDate>
  <CharactersWithSpaces>14850</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2026-04-25T12:28:00Z</dcterms:created>
  <dc:creator>Un-named</dc:creator>
  <cp:lastModifiedBy>Dr. Debasis Pahi</cp:lastModifiedBy>
  <dcterms:modified xsi:type="dcterms:W3CDTF">2026-04-25T12:52:10Z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4AD4B587F1B54E789A88690501762087_12</vt:lpwstr>
  </property>
</Properties>
</file>