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240"/>
      </w:pPr>
      <w:r>
        <w:t xml:space="preserve"/>
      </w:r>
    </w:p>
    <w:p>
      <w:pPr>
        <w:spacing w:line="240"/>
      </w:pPr>
      <w:r>
        <w:t xml:space="preserve"/>
      </w:r>
    </w:p>
    <w:p>
      <w:pPr>
        <w:spacing w:line="240"/>
      </w:pPr>
      <w:r>
        <w:t xml:space="preserve"/>
      </w:r>
    </w:p>
    <w:p>
      <w:pPr>
        <w:spacing w:after="320" w:before="0" w:line="440"/>
        <w:jc w:val="center"/>
      </w:pPr>
      <w:r>
        <w:rPr>
          <w:rFonts w:ascii="Times New Roman" w:cs="Times New Roman" w:eastAsia="Times New Roman" w:hAnsi="Times New Roman"/>
          <w:b/>
          <w:bCs/>
          <w:color w:val="1F4E79"/>
          <w:sz w:val="36"/>
          <w:szCs w:val="36"/>
        </w:rPr>
        <w:t xml:space="preserve">Beyond Tick-Box Compliance: BRSR Reporting Practices of Indian Companies and the Road to Substantive Sustainability Disclosure</w:t>
      </w:r>
    </w:p>
    <w:p>
      <w:pPr>
        <w:spacing w:line="240"/>
      </w:pPr>
      <w:r>
        <w:t xml:space="preserve"/>
      </w:r>
    </w:p>
    <w:p>
      <w:pPr>
        <w:spacing w:after="100" w:before="0" w:line="320"/>
        <w:jc w:val="center"/>
      </w:pPr>
      <w:r>
        <w:rPr>
          <w:rFonts w:ascii="Times New Roman" w:cs="Times New Roman" w:eastAsia="Times New Roman" w:hAnsi="Times New Roman"/>
          <w:b/>
          <w:bCs/>
          <w:i w:val="false"/>
          <w:iCs w:val="false"/>
          <w:color w:val="1F4E79"/>
          <w:sz w:val="26"/>
          <w:szCs w:val="26"/>
        </w:rPr>
        <w:t xml:space="preserve">Debasis Pahi</w:t>
      </w:r>
    </w:p>
    <w:p>
      <w:pPr>
        <w:spacing w:after="80" w:before="0" w:line="300"/>
        <w:jc w:val="center"/>
      </w:pPr>
      <w:r>
        <w:rPr>
          <w:rFonts w:ascii="Times New Roman" w:cs="Times New Roman" w:eastAsia="Times New Roman" w:hAnsi="Times New Roman"/>
          <w:i/>
          <w:iCs/>
          <w:sz w:val="22"/>
          <w:szCs w:val="22"/>
        </w:rPr>
        <w:t xml:space="preserve">Assistant Professor (OES-I) &amp; Head of Department</w:t>
      </w:r>
    </w:p>
    <w:p>
      <w:pPr>
        <w:spacing w:after="80" w:before="0" w:line="300"/>
        <w:jc w:val="center"/>
      </w:pPr>
      <w:r>
        <w:rPr>
          <w:rFonts w:ascii="Times New Roman" w:cs="Times New Roman" w:eastAsia="Times New Roman" w:hAnsi="Times New Roman"/>
          <w:i/>
          <w:iCs/>
          <w:sz w:val="22"/>
          <w:szCs w:val="22"/>
        </w:rPr>
        <w:t xml:space="preserve">Department of Commerce, MDC Malkangiri</w:t>
      </w:r>
    </w:p>
    <w:p>
      <w:pPr>
        <w:spacing w:after="80" w:before="0" w:line="300"/>
        <w:jc w:val="center"/>
      </w:pPr>
      <w:r>
        <w:rPr>
          <w:rFonts w:ascii="Times New Roman" w:cs="Times New Roman" w:eastAsia="Times New Roman" w:hAnsi="Times New Roman"/>
          <w:i/>
          <w:iCs/>
          <w:sz w:val="22"/>
          <w:szCs w:val="22"/>
        </w:rPr>
        <w:t xml:space="preserve">Vikram Dev University, Jeypore, Odisha, India</w:t>
      </w:r>
    </w:p>
    <w:p>
      <w:pPr>
        <w:spacing w:after="80" w:before="0" w:line="300"/>
        <w:jc w:val="center"/>
      </w:pPr>
      <w:r>
        <w:rPr>
          <w:rFonts w:ascii="Times New Roman" w:cs="Times New Roman" w:eastAsia="Times New Roman" w:hAnsi="Times New Roman"/>
          <w:i/>
          <w:iCs/>
          <w:sz w:val="22"/>
          <w:szCs w:val="22"/>
        </w:rPr>
        <w:t xml:space="preserve">Email: drdebasis.research@gmail.com</w:t>
      </w:r>
    </w:p>
    <w:p>
      <w:pPr>
        <w:spacing w:after="80" w:before="0" w:line="300"/>
        <w:jc w:val="center"/>
      </w:pPr>
      <w:r>
        <w:rPr>
          <w:rFonts w:ascii="Times New Roman" w:cs="Times New Roman" w:eastAsia="Times New Roman" w:hAnsi="Times New Roman"/>
          <w:i/>
          <w:iCs/>
          <w:sz w:val="22"/>
          <w:szCs w:val="22"/>
        </w:rPr>
        <w:t xml:space="preserve">Website: https://drdpklass.github.io/about.html</w:t>
      </w:r>
    </w:p>
    <w:p>
      <w:pPr>
        <w:spacing w:line="240"/>
      </w:pPr>
      <w:r>
        <w:t xml:space="preserve"/>
      </w:r>
    </w:p>
    <w:p>
      <w:pPr>
        <w:pBdr>
          <w:bottom w:val="single" w:color="AAAAAA" w:sz="4" w:space="6"/>
        </w:pBdr>
        <w:spacing w:after="120" w:before="120" w:line="320"/>
        <w:jc w:val="center"/>
      </w:pPr>
      <w:r>
        <w:rPr>
          <w:rFonts w:ascii="Times New Roman" w:cs="Times New Roman" w:eastAsia="Times New Roman" w:hAnsi="Times New Roman"/>
          <w:b/>
          <w:bCs/>
          <w:i/>
          <w:iCs/>
          <w:color w:val="555555"/>
          <w:sz w:val="22"/>
          <w:szCs w:val="22"/>
        </w:rPr>
        <w:t xml:space="preserve">Submitted to: IIMB Management Review</w:t>
      </w:r>
    </w:p>
    <w:p>
      <w:pPr>
        <w:spacing w:line="240"/>
      </w:pPr>
      <w:r>
        <w:t xml:space="preserve"/>
      </w:r>
    </w:p>
    <w:p>
      <w:pPr>
        <w:spacing w:after="100" w:before="0" w:line="360"/>
        <w:jc w:val="both"/>
      </w:pPr>
      <w:r>
        <w:rPr>
          <w:rFonts w:ascii="Times New Roman" w:cs="Times New Roman" w:eastAsia="Times New Roman" w:hAnsi="Times New Roman"/>
          <w:b/>
          <w:bCs/>
          <w:sz w:val="23"/>
          <w:szCs w:val="23"/>
        </w:rPr>
        <w:t xml:space="preserve">Keywords: </w:t>
      </w:r>
      <w:r>
        <w:rPr>
          <w:rFonts w:ascii="Times New Roman" w:cs="Times New Roman" w:eastAsia="Times New Roman" w:hAnsi="Times New Roman"/>
          <w:sz w:val="23"/>
          <w:szCs w:val="23"/>
        </w:rPr>
        <w:t xml:space="preserve">BRSR; Business Responsibility and Sustainability Reporting; ESG Disclosure; Indian Corporate Governance; SEBI; Sustainability Reporting; Listed Companies; Greenwashing; Integrated Reporting; SDGs</w:t>
      </w:r>
    </w:p>
    <w:p>
      <w:pPr>
        <w:spacing w:after="100" w:before="0" w:line="360"/>
        <w:jc w:val="both"/>
      </w:pPr>
      <w:r>
        <w:rPr>
          <w:rFonts w:ascii="Times New Roman" w:cs="Times New Roman" w:eastAsia="Times New Roman" w:hAnsi="Times New Roman"/>
          <w:b/>
          <w:bCs/>
          <w:sz w:val="23"/>
          <w:szCs w:val="23"/>
        </w:rPr>
        <w:t xml:space="preserve">Article Type: </w:t>
      </w:r>
      <w:r>
        <w:rPr>
          <w:rFonts w:ascii="Times New Roman" w:cs="Times New Roman" w:eastAsia="Times New Roman" w:hAnsi="Times New Roman"/>
          <w:sz w:val="23"/>
          <w:szCs w:val="23"/>
        </w:rPr>
        <w:t xml:space="preserve">Analytical Research Article | Management Policy &amp; Practice</w:t>
      </w:r>
    </w:p>
    <w:p>
      <w:pPr>
        <w:pageBreakBefore/>
      </w:pPr>
      <w:r>
        <w:t xml:space="preserve"/>
      </w:r>
    </w:p>
    <w:p>
      <w:pPr>
        <w:pStyle w:val="Heading1"/>
        <w:spacing w:after="220" w:before="520"/>
      </w:pPr>
      <w:r>
        <w:rPr>
          <w:rFonts w:ascii="Times New Roman" w:cs="Times New Roman" w:eastAsia="Times New Roman" w:hAnsi="Times New Roman"/>
          <w:b/>
          <w:bCs/>
          <w:caps/>
          <w:sz w:val="28"/>
          <w:szCs w:val="28"/>
        </w:rPr>
        <w:t xml:space="preserve">Abstract</w:t>
      </w:r>
    </w:p>
    <w:p>
      <w:pPr>
        <w:spacing w:after="180" w:before="0" w:line="480"/>
        <w:jc w:val="both"/>
      </w:pPr>
      <w:r>
        <w:rPr>
          <w:rFonts w:ascii="Times New Roman" w:cs="Times New Roman" w:eastAsia="Times New Roman" w:hAnsi="Times New Roman"/>
          <w:b w:val="false"/>
          <w:bCs w:val="false"/>
          <w:i w:val="false"/>
          <w:iCs w:val="false"/>
          <w:sz w:val="24"/>
          <w:szCs w:val="24"/>
        </w:rPr>
        <w:t xml:space="preserve">India's Business Responsibility and Sustainability Reporting (BRSR) framework, made mandatory by the Securities and Exchange Board of India (SEBI) for the top 1,000 listed companies from financial year 2022–23, represents the most significant structural reform to corporate sustainability disclosure in India since the Companies Act 2013. Yet the critical question — whether BRSR is generating genuine sustainability transparency or a sophisticated new architecture for symbolic compliance — remains inadequately examined in management scholarship. This article develops an analytical framework to assess the quality, depth, and strategic character of BRSR reporting practices among Indian listed companies. Drawing on SEBI's BRSR guidelines, publicly available annual reports and BRSR filings of Nifty 500 companies, and comparative analysis against global disclosure standards including GRI, TCFD, and the ISSB S1/S2 framework, the article identifies five systemic patterns in early BRSR practice: selective disclosure, quantitative thinness, materiality ambiguity, governance superficiality, and supply chain evasion. It proposes a BRSR Quality Spectrum — a diagnostic framework distinguishing compliance-oriented, communication-oriented, and transformation-oriented disclosure practice — and develops five strategic recommendations for corporate leaders seeking to transition from regulatory compliance toward substantive sustainability accountability. The article concludes that BRSR's long-term credibility depends not on tighter regulatory prescription but on the development of internal sustainability governance capabilities, board-level accountability mechanisms, and third-party assurance ecosystems that India's corporate sector has only begun to build.</w:t>
      </w:r>
    </w:p>
    <w:p>
      <w:pPr>
        <w:spacing w:line="240"/>
      </w:pPr>
      <w:r>
        <w:t xml:space="preserve"/>
      </w:r>
    </w:p>
    <w:p>
      <w:pPr>
        <w:pageBreakBefore/>
      </w:pPr>
      <w:r>
        <w:t xml:space="preserve"/>
      </w:r>
    </w:p>
    <w:p>
      <w:pPr>
        <w:pStyle w:val="Heading1"/>
        <w:spacing w:after="220" w:before="520"/>
      </w:pPr>
      <w:r>
        <w:rPr>
          <w:rFonts w:ascii="Times New Roman" w:cs="Times New Roman" w:eastAsia="Times New Roman" w:hAnsi="Times New Roman"/>
          <w:b/>
          <w:bCs/>
          <w:caps/>
          <w:sz w:val="28"/>
          <w:szCs w:val="28"/>
        </w:rPr>
        <w:t xml:space="preserve">I. Introduction: A Disclosure Revolution in the Making</w:t>
      </w:r>
    </w:p>
    <w:p>
      <w:pPr>
        <w:spacing w:after="180" w:before="0" w:line="480"/>
        <w:jc w:val="both"/>
      </w:pPr>
      <w:r>
        <w:rPr>
          <w:rFonts w:ascii="Times New Roman" w:cs="Times New Roman" w:eastAsia="Times New Roman" w:hAnsi="Times New Roman"/>
          <w:b w:val="false"/>
          <w:bCs w:val="false"/>
          <w:i w:val="false"/>
          <w:iCs w:val="false"/>
          <w:sz w:val="24"/>
          <w:szCs w:val="24"/>
        </w:rPr>
        <w:t xml:space="preserve">When SEBI issued its circular mandating the Business Responsibility and Sustainability Reporting (BRSR) framework in May 2021, replacing the older Business Responsibility Report (BRR) that had been mandatory since 2012, it did something that most regulatory bodies rarely achieve: it made corporate sustainability disclosure structurally harder to game. The BRR had, by most assessments, become an exercise in narrative minimalism — a small section of the annual report in which companies confirmed, in general terms, that they adhered to the nine principles of the National Voluntary Guidelines on Social, Environmental and Economic Responsibilities of Business. BRSR changed the architecture of the requirement fundamentally. It asked companies to disclose quantitative data on energy intensity, water consumption, waste generation, workforce composition, value chain environmental impacts, and ESG-related governance structures — not in general terms, but in specific, comparable, and increasingly auditable forms.</w:t>
      </w:r>
    </w:p>
    <w:p>
      <w:pPr>
        <w:spacing w:after="180" w:before="0" w:line="480"/>
        <w:jc w:val="both"/>
      </w:pPr>
      <w:r>
        <w:rPr>
          <w:rFonts w:ascii="Times New Roman" w:cs="Times New Roman" w:eastAsia="Times New Roman" w:hAnsi="Times New Roman"/>
          <w:b w:val="false"/>
          <w:bCs w:val="false"/>
          <w:i w:val="false"/>
          <w:iCs w:val="false"/>
          <w:sz w:val="24"/>
          <w:szCs w:val="24"/>
        </w:rPr>
        <w:t xml:space="preserve">The scale of the ambition is considerable. The top 1,000 listed companies by market capitalisation that fall under BRSR's mandatory scope collectively employ tens of millions of people, account for a substantial share of India's industrial energy consumption and greenhouse gas emissions, and constitute the investable universe through which both domestic and foreign institutional investors allocate capital. If BRSR generates genuine sustainability transparency, it could fundamentally reshape how capital markets price sustainability risk in India, how institutional investors engage with boards on ESG matters, and how supply chain partners and civil society hold large companies accountable for their environmental and social conduct. If it generates sophisticated compliance theatre, it will have consumed significant corporate reporting resources while adding little real information to India's sustainability accountability ecosystem.</w:t>
      </w:r>
    </w:p>
    <w:p>
      <w:pPr>
        <w:spacing w:after="180" w:before="0" w:line="480"/>
        <w:jc w:val="both"/>
      </w:pPr>
      <w:r>
        <w:rPr>
          <w:rFonts w:ascii="Times New Roman" w:cs="Times New Roman" w:eastAsia="Times New Roman" w:hAnsi="Times New Roman"/>
          <w:b w:val="false"/>
          <w:bCs w:val="false"/>
          <w:i w:val="false"/>
          <w:iCs w:val="false"/>
          <w:sz w:val="24"/>
          <w:szCs w:val="24"/>
        </w:rPr>
        <w:t xml:space="preserve">Three years into mandatory BRSR disclosure, the evidence suggests a complicated and uneven picture. Several leading Indian companies — particularly those with international capital market exposure, global institutional investors, or sustainability-linked financing — have used BRSR as an opportunity to build disclosure capabilities and sustainability governance systems of genuine quality. Many others have produced BRSR filings that satisfy the letter of SEBI's requirements while revealing remarkably little about their actual sustainability performance. And a significant number have disclosed data that, on close examination, raises more questions than it answers: inconsistencies between reported figures and independently estimable benchmarks, governance disclosures that describe policies without providing evidence of implementation, and value chain assessments so shallow as to suggest that supply chain sustainability risks have never been seriously examined internally.</w:t>
      </w:r>
    </w:p>
    <w:p>
      <w:pPr>
        <w:pBdr>
          <w:top w:val="single" w:color="1F4E79" w:sz="6" w:space="8"/>
          <w:bottom w:val="single" w:color="1F4E79" w:sz="6" w:space="8"/>
        </w:pBdr>
        <w:spacing w:after="240" w:before="240" w:line="420"/>
        <w:ind w:left="720" w:right="720"/>
        <w:jc w:val="center"/>
      </w:pPr>
      <w:r>
        <w:rPr>
          <w:rFonts w:ascii="Times New Roman" w:cs="Times New Roman" w:eastAsia="Times New Roman" w:hAnsi="Times New Roman"/>
          <w:b/>
          <w:bCs/>
          <w:i/>
          <w:iCs/>
          <w:color w:val="1F4E79"/>
          <w:sz w:val="26"/>
          <w:szCs w:val="26"/>
        </w:rPr>
        <w:t xml:space="preserve">"BRSR has given Indian companies a new language for sustainability. The question is whether they are yet speaking it with genuine meaning — or merely learning to pronounce the words."</w:t>
      </w:r>
    </w:p>
    <w:p>
      <w:pPr>
        <w:spacing w:after="180" w:before="0" w:line="480"/>
        <w:jc w:val="both"/>
      </w:pPr>
      <w:r>
        <w:rPr>
          <w:rFonts w:ascii="Times New Roman" w:cs="Times New Roman" w:eastAsia="Times New Roman" w:hAnsi="Times New Roman"/>
          <w:b w:val="false"/>
          <w:bCs w:val="false"/>
          <w:i w:val="false"/>
          <w:iCs w:val="false"/>
          <w:sz w:val="24"/>
          <w:szCs w:val="24"/>
        </w:rPr>
        <w:t xml:space="preserve">This article examines BRSR reporting practices with the analytical seriousness that their institutional significance deserves. It does not offer a statistical analysis of disclosure quality scores — that empirical work is underway and cited where relevant — but rather develops an analytical framework for understanding the structural patterns, strategic logics, and institutional drivers that shape BRSR practice among Indian listed companies. The framework is designed to be useful to three audiences simultaneously: to corporate sustainability and CFO teams seeking to understand where their current BRSR practice stands relative to an evolving quality standard; to boards and audit committees seeking to discharge their governance responsibility over sustainability disclosure; and to institutional investors seeking to distinguish substantive from symbolic sustainability reporting in the Indian market.</w:t>
      </w:r>
    </w:p>
    <w:p>
      <w:pPr>
        <w:spacing w:after="180" w:before="0" w:line="480"/>
        <w:jc w:val="both"/>
      </w:pPr>
      <w:r>
        <w:rPr>
          <w:rFonts w:ascii="Times New Roman" w:cs="Times New Roman" w:eastAsia="Times New Roman" w:hAnsi="Times New Roman"/>
          <w:b w:val="false"/>
          <w:bCs w:val="false"/>
          <w:i w:val="false"/>
          <w:iCs w:val="false"/>
          <w:sz w:val="24"/>
          <w:szCs w:val="24"/>
        </w:rPr>
        <w:t xml:space="preserve">The article proceeds as follows. Section II provides the institutional context — the BRSR framework's structure, its regulatory genealogy, and its relationship to global sustainability disclosure standards. Section III develops the analytical framework of BRSR reporting practice archetypes, identifying the systemic patterns evident in early BRSR filings. Section IV introduces the BRSR Quality Spectrum and its diagnostic dimensions. Section V develops five strategic recommendations for corporate leaders. Section VI addresses the institutional ecosystem — assurance, investor engagement, and regulatory evolution — whose development is necessary for BRSR to fulfil its potential. Section VII concludes.</w:t>
      </w:r>
    </w:p>
    <w:p>
      <w:pPr>
        <w:spacing w:line="240"/>
      </w:pPr>
      <w:r>
        <w:t xml:space="preserve"/>
      </w:r>
    </w:p>
    <w:p>
      <w:pPr>
        <w:pStyle w:val="Heading1"/>
        <w:spacing w:after="220" w:before="520"/>
      </w:pPr>
      <w:r>
        <w:rPr>
          <w:rFonts w:ascii="Times New Roman" w:cs="Times New Roman" w:eastAsia="Times New Roman" w:hAnsi="Times New Roman"/>
          <w:b/>
          <w:bCs/>
          <w:caps/>
          <w:sz w:val="28"/>
          <w:szCs w:val="28"/>
        </w:rPr>
        <w:t xml:space="preserve">II. The BRSR Framework: Architecture, Genealogy, and Global Context</w:t>
      </w:r>
    </w:p>
    <w:p>
      <w:pPr>
        <w:pStyle w:val="Heading2"/>
        <w:spacing w:after="160" w:before="360"/>
      </w:pPr>
      <w:r>
        <w:rPr>
          <w:rFonts w:ascii="Times New Roman" w:cs="Times New Roman" w:eastAsia="Times New Roman" w:hAnsi="Times New Roman"/>
          <w:b/>
          <w:bCs/>
          <w:i/>
          <w:iCs/>
          <w:sz w:val="26"/>
          <w:szCs w:val="26"/>
        </w:rPr>
        <w:t xml:space="preserve">2.1 From BRR to BRSR: A Structural Transformation</w:t>
      </w:r>
    </w:p>
    <w:p>
      <w:pPr>
        <w:spacing w:after="180" w:before="0" w:line="480"/>
        <w:jc w:val="both"/>
      </w:pPr>
      <w:r>
        <w:rPr>
          <w:rFonts w:ascii="Times New Roman" w:cs="Times New Roman" w:eastAsia="Times New Roman" w:hAnsi="Times New Roman"/>
          <w:b w:val="false"/>
          <w:bCs w:val="false"/>
          <w:i w:val="false"/>
          <w:iCs w:val="false"/>
          <w:sz w:val="24"/>
          <w:szCs w:val="24"/>
        </w:rPr>
        <w:t xml:space="preserve">The evolution from the Business Responsibility Report (BRR) to BRSR reflects a fundamental reconceptualization of what corporate sustainability disclosure is for. The BRR, introduced by SEBI in 2012 and rooted in the Ministry of Corporate Affairs' National Voluntary Guidelines, was essentially a compliance certificate: companies answered a set of principle-level questions confirming their adherence to responsible business conduct, with minimal quantitative evidence required. Its limitations were widely acknowledged by practitioners, investors, and civil society alike. The disclosure was principally narrative, making comparison across companies practically impossible. The principle-based structure allowed companies to claim adherence at a general policy level without disclosing whether policies had been implemented in practice or had generated measurable outcomes. And the absence of linkage to financial disclosures meant that sustainability information remained structurally siloed from the financial analysis through which capital allocation decisions were made.</w:t>
      </w:r>
    </w:p>
    <w:p>
      <w:pPr>
        <w:spacing w:after="180" w:before="0" w:line="480"/>
        <w:jc w:val="both"/>
      </w:pPr>
      <w:r>
        <w:rPr>
          <w:rFonts w:ascii="Times New Roman" w:cs="Times New Roman" w:eastAsia="Times New Roman" w:hAnsi="Times New Roman"/>
          <w:b w:val="false"/>
          <w:bCs w:val="false"/>
          <w:i w:val="false"/>
          <w:iCs w:val="false"/>
          <w:sz w:val="24"/>
          <w:szCs w:val="24"/>
        </w:rPr>
        <w:t xml:space="preserve">BRSR's architectural innovations address each of these limitations, at least in principle. The framework introduces mandatory quantitative disclosure across three thematic areas — Environment (E), Social (S), and Governance (G) — organized around nine principles drawn from the National Guidelines on Responsible Business Conduct (NGRBC). Companies are required to report on specific indicators including total energy consumption and intensity per rupee of turnover, water withdrawal and consumption by source, total waste generated and disposed of, greenhouse gas emissions (Scope 1 and Scope 2, with Scope 3 encouraged), workforce composition by gender and category, safety statistics, and CSR expenditure with outcome linkage. The framework also introduces a significant structural innovation absent from BRR: the distinction between Essential indicators (mandatory for all covered companies) and Leadership indicators (voluntary disclosures expected of companies claiming sustainability leadership), creating a graduated framework that acknowledges the varying maturity of corporate sustainability capability while maintaining a universal compliance floor.</w:t>
      </w:r>
    </w:p>
    <w:p>
      <w:pPr>
        <w:spacing w:after="180" w:before="0" w:line="480"/>
        <w:jc w:val="both"/>
      </w:pPr>
      <w:r>
        <w:rPr>
          <w:rFonts w:ascii="Times New Roman" w:cs="Times New Roman" w:eastAsia="Times New Roman" w:hAnsi="Times New Roman"/>
          <w:b w:val="false"/>
          <w:bCs w:val="false"/>
          <w:i w:val="false"/>
          <w:iCs w:val="false"/>
          <w:sz w:val="24"/>
          <w:szCs w:val="24"/>
        </w:rPr>
        <w:t xml:space="preserve">SEBI further strengthened the BRSR architecture in 2023 by introducing the BRSR Core — a set of Key Performance Indicators (KPIs) across nine ESG attributes for which third-party assurance will be progressively phased in, starting with the top 150 listed companies by market capitalisation from FY 2023–24. This assurance requirement represents a qualitatively significant step toward the institutional architecture that makes sustainability disclosure credible: without independent verification, even quantitatively specific disclosures can be strategically constructed without meaningful accountability.</w:t>
      </w:r>
    </w:p>
    <w:p>
      <w:pPr>
        <w:pStyle w:val="Heading2"/>
        <w:spacing w:after="160" w:before="360"/>
      </w:pPr>
      <w:r>
        <w:rPr>
          <w:rFonts w:ascii="Times New Roman" w:cs="Times New Roman" w:eastAsia="Times New Roman" w:hAnsi="Times New Roman"/>
          <w:b/>
          <w:bCs/>
          <w:i/>
          <w:iCs/>
          <w:sz w:val="26"/>
          <w:szCs w:val="26"/>
        </w:rPr>
        <w:t xml:space="preserve">2.2 The Nine NGRBC Principles: A Framework Analysis</w:t>
      </w:r>
    </w:p>
    <w:p>
      <w:pPr>
        <w:spacing w:after="180" w:before="0" w:line="480"/>
        <w:jc w:val="both"/>
      </w:pPr>
      <w:r>
        <w:rPr>
          <w:rFonts w:ascii="Times New Roman" w:cs="Times New Roman" w:eastAsia="Times New Roman" w:hAnsi="Times New Roman"/>
          <w:b w:val="false"/>
          <w:bCs w:val="false"/>
          <w:i w:val="false"/>
          <w:iCs w:val="false"/>
          <w:sz w:val="24"/>
          <w:szCs w:val="24"/>
        </w:rPr>
        <w:t xml:space="preserve">BRSR's organizational spine — the nine NGRBC principles — provides the normative architecture within which quantitative disclosures are embedded. The principles cover ethical conduct and transparency (P1), product life-cycle sustainability (P2), employee well-being (P3), stakeholder responsiveness (P4), human rights (P5), environmental stewardship (P6), policy advocacy (P7), inclusive growth (P8), and consumer value (P9). This multi-dimensional framework reflects the breadth of the responsible business agenda but also creates significant disclosure management challenges: companies must report against nine distinct principle-clusters, each with its own indicators, ensuring that the totality of BRSR — which can run to fifty or more pages in a comprehensive filing — is simultaneously internally consistent, externally comparable, and meaningfully connected to the company's actual strategic sustainability priorities.</w:t>
      </w:r>
    </w:p>
    <w:p>
      <w:pPr>
        <w:spacing w:after="180" w:before="0" w:line="480"/>
        <w:jc w:val="both"/>
      </w:pPr>
      <w:r>
        <w:rPr>
          <w:rFonts w:ascii="Times New Roman" w:cs="Times New Roman" w:eastAsia="Times New Roman" w:hAnsi="Times New Roman"/>
          <w:b w:val="false"/>
          <w:bCs w:val="false"/>
          <w:i w:val="false"/>
          <w:iCs w:val="false"/>
          <w:sz w:val="24"/>
          <w:szCs w:val="24"/>
        </w:rPr>
        <w:t xml:space="preserve">The comprehensiveness of the NGRBC framework is simultaneously its greatest strength and a significant practical challenge. For companies with mature sustainability management systems, BRSR provides a structured outlet for information already collected internally. For the majority of covered companies — including many mid-cap industrials, financial services firms, and consumer businesses that have not previously invested in systematic sustainability data collection — BRSR requirements have exposed the absence of management information systems capable of generating the required data. The responses to this infrastructure gap have varied significantly: some companies have invested in sustainability data management platforms and appointed dedicated sustainability reporting teams; others have contracted with disclosure advisory firms to retrospectively construct disclosures from available data, sometimes with limited confidence in their accuracy; and a significant number have filed disclosures that are formally compliant but quantitatively thin, disclosing only the indicators for which data was readily available while omitting or minimizing those for which collection would have required investment.</w:t>
      </w:r>
    </w:p>
    <w:p>
      <w:pPr>
        <w:spacing w:line="240"/>
      </w:pPr>
      <w:r>
        <w:t xml:space="preserve"/>
      </w:r>
    </w:p>
    <w:p>
      <w:pPr>
        <w:spacing w:after="60" w:before="120" w:line="280"/>
      </w:pPr>
      <w:r>
        <w:rPr>
          <w:rFonts w:ascii="Times New Roman" w:cs="Times New Roman" w:eastAsia="Times New Roman" w:hAnsi="Times New Roman"/>
          <w:b/>
          <w:bCs/>
          <w:sz w:val="23"/>
          <w:szCs w:val="23"/>
        </w:rPr>
        <w:t xml:space="preserve">Table 1: BRSR Framework — Key Structural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00"/>
            <w:shd w:fill="1F4E79" w:color="auto" w:val="clear"/>
          </w:tcPr>
          <w:p>
            <w:pPr>
              <w:spacing w:after="80" w:before="80" w:line="280"/>
              <w:jc w:val="center"/>
            </w:pPr>
            <w:r>
              <w:rPr>
                <w:rFonts w:ascii="Times New Roman" w:cs="Times New Roman" w:eastAsia="Times New Roman" w:hAnsi="Times New Roman"/>
                <w:b/>
                <w:bCs/>
                <w:color w:val="FFFFFF"/>
                <w:sz w:val="20"/>
                <w:szCs w:val="20"/>
              </w:rPr>
              <w:t xml:space="preserve">Dimension</w:t>
            </w:r>
          </w:p>
        </w:tc>
        <w:tc>
          <w:tcPr>
            <w:tcW w:type="dxa" w:w="1800"/>
            <w:shd w:fill="1F4E79" w:color="auto" w:val="clear"/>
          </w:tcPr>
          <w:p>
            <w:pPr>
              <w:spacing w:after="80" w:before="80" w:line="280"/>
              <w:jc w:val="center"/>
            </w:pPr>
            <w:r>
              <w:rPr>
                <w:rFonts w:ascii="Times New Roman" w:cs="Times New Roman" w:eastAsia="Times New Roman" w:hAnsi="Times New Roman"/>
                <w:b/>
                <w:bCs/>
                <w:color w:val="FFFFFF"/>
                <w:sz w:val="20"/>
                <w:szCs w:val="20"/>
              </w:rPr>
              <w:t xml:space="preserve">BRR (Pre-2022)</w:t>
            </w:r>
          </w:p>
        </w:tc>
        <w:tc>
          <w:tcPr>
            <w:tcW w:type="dxa" w:w="2300"/>
            <w:shd w:fill="1F4E79" w:color="auto" w:val="clear"/>
          </w:tcPr>
          <w:p>
            <w:pPr>
              <w:spacing w:after="80" w:before="80" w:line="280"/>
              <w:jc w:val="center"/>
            </w:pPr>
            <w:r>
              <w:rPr>
                <w:rFonts w:ascii="Times New Roman" w:cs="Times New Roman" w:eastAsia="Times New Roman" w:hAnsi="Times New Roman"/>
                <w:b/>
                <w:bCs/>
                <w:color w:val="FFFFFF"/>
                <w:sz w:val="20"/>
                <w:szCs w:val="20"/>
              </w:rPr>
              <w:t xml:space="preserve">BRSR (2022 Onwards)</w:t>
            </w:r>
          </w:p>
        </w:tc>
        <w:tc>
          <w:tcPr>
            <w:tcW w:type="dxa" w:w="3060"/>
            <w:shd w:fill="1F4E79" w:color="auto" w:val="clear"/>
          </w:tcPr>
          <w:p>
            <w:pPr>
              <w:spacing w:after="80" w:before="80" w:line="280"/>
              <w:jc w:val="center"/>
            </w:pPr>
            <w:r>
              <w:rPr>
                <w:rFonts w:ascii="Times New Roman" w:cs="Times New Roman" w:eastAsia="Times New Roman" w:hAnsi="Times New Roman"/>
                <w:b/>
                <w:bCs/>
                <w:color w:val="FFFFFF"/>
                <w:sz w:val="20"/>
                <w:szCs w:val="20"/>
              </w:rPr>
              <w:t xml:space="preserve">BRSR Core (2023–24+)</w:t>
            </w:r>
          </w:p>
        </w:tc>
      </w:tr>
      <w:tr>
        <w:tc>
          <w:tcPr>
            <w:tcW w:type="dxa" w:w="2200"/>
            <w:shd w:fill="E9F0F8" w:color="auto" w:val="clear"/>
          </w:tcPr>
          <w:p>
            <w:pPr>
              <w:spacing w:after="60" w:before="60" w:line="280"/>
              <w:jc w:val="left"/>
            </w:pPr>
            <w:r>
              <w:rPr>
                <w:rFonts w:ascii="Times New Roman" w:cs="Times New Roman" w:eastAsia="Times New Roman" w:hAnsi="Times New Roman"/>
                <w:sz w:val="20"/>
                <w:szCs w:val="20"/>
              </w:rPr>
              <w:t xml:space="preserve">Scope</w:t>
            </w:r>
          </w:p>
        </w:tc>
        <w:tc>
          <w:tcPr>
            <w:tcW w:type="dxa" w:w="1800"/>
            <w:shd w:fill="E9F0F8" w:color="auto" w:val="clear"/>
          </w:tcPr>
          <w:p>
            <w:pPr>
              <w:spacing w:after="60" w:before="60" w:line="280"/>
              <w:jc w:val="center"/>
            </w:pPr>
            <w:r>
              <w:rPr>
                <w:rFonts w:ascii="Times New Roman" w:cs="Times New Roman" w:eastAsia="Times New Roman" w:hAnsi="Times New Roman"/>
                <w:sz w:val="20"/>
                <w:szCs w:val="20"/>
              </w:rPr>
              <w:t xml:space="preserve">Top 500 listed companies</w:t>
            </w:r>
          </w:p>
        </w:tc>
        <w:tc>
          <w:tcPr>
            <w:tcW w:type="dxa" w:w="2300"/>
            <w:shd w:fill="E9F0F8" w:color="auto" w:val="clear"/>
          </w:tcPr>
          <w:p>
            <w:pPr>
              <w:spacing w:after="60" w:before="60" w:line="280"/>
              <w:jc w:val="center"/>
            </w:pPr>
            <w:r>
              <w:rPr>
                <w:rFonts w:ascii="Times New Roman" w:cs="Times New Roman" w:eastAsia="Times New Roman" w:hAnsi="Times New Roman"/>
                <w:sz w:val="20"/>
                <w:szCs w:val="20"/>
              </w:rPr>
              <w:t xml:space="preserve">Top 1,000 listed companies</w:t>
            </w:r>
          </w:p>
        </w:tc>
        <w:tc>
          <w:tcPr>
            <w:tcW w:type="dxa" w:w="3060"/>
            <w:shd w:fill="E9F0F8" w:color="auto" w:val="clear"/>
          </w:tcPr>
          <w:p>
            <w:pPr>
              <w:spacing w:after="60" w:before="60" w:line="280"/>
              <w:jc w:val="center"/>
            </w:pPr>
            <w:r>
              <w:rPr>
                <w:rFonts w:ascii="Times New Roman" w:cs="Times New Roman" w:eastAsia="Times New Roman" w:hAnsi="Times New Roman"/>
                <w:sz w:val="20"/>
                <w:szCs w:val="20"/>
              </w:rPr>
              <w:t xml:space="preserve">Top 150 (assurance) → expanding</w:t>
            </w:r>
          </w:p>
        </w:tc>
      </w:tr>
      <w:tr>
        <w:tc>
          <w:tcPr>
            <w:tcW w:type="dxa" w:w="2200"/>
            <w:shd w:fill="FFFFFF" w:color="auto" w:val="clear"/>
          </w:tcPr>
          <w:p>
            <w:pPr>
              <w:spacing w:after="60" w:before="60" w:line="280"/>
              <w:jc w:val="left"/>
            </w:pPr>
            <w:r>
              <w:rPr>
                <w:rFonts w:ascii="Times New Roman" w:cs="Times New Roman" w:eastAsia="Times New Roman" w:hAnsi="Times New Roman"/>
                <w:sz w:val="20"/>
                <w:szCs w:val="20"/>
              </w:rPr>
              <w:t xml:space="preserve">Disclosure type</w:t>
            </w:r>
          </w:p>
        </w:tc>
        <w:tc>
          <w:tcPr>
            <w:tcW w:type="dxa" w:w="1800"/>
            <w:shd w:fill="FFFFFF" w:color="auto" w:val="clear"/>
          </w:tcPr>
          <w:p>
            <w:pPr>
              <w:spacing w:after="60" w:before="60" w:line="280"/>
              <w:jc w:val="center"/>
            </w:pPr>
            <w:r>
              <w:rPr>
                <w:rFonts w:ascii="Times New Roman" w:cs="Times New Roman" w:eastAsia="Times New Roman" w:hAnsi="Times New Roman"/>
                <w:sz w:val="20"/>
                <w:szCs w:val="20"/>
              </w:rPr>
              <w:t xml:space="preserve">Narrative (principle-level)</w:t>
            </w:r>
          </w:p>
        </w:tc>
        <w:tc>
          <w:tcPr>
            <w:tcW w:type="dxa" w:w="2300"/>
            <w:shd w:fill="FFFFFF" w:color="auto" w:val="clear"/>
          </w:tcPr>
          <w:p>
            <w:pPr>
              <w:spacing w:after="60" w:before="60" w:line="280"/>
              <w:jc w:val="center"/>
            </w:pPr>
            <w:r>
              <w:rPr>
                <w:rFonts w:ascii="Times New Roman" w:cs="Times New Roman" w:eastAsia="Times New Roman" w:hAnsi="Times New Roman"/>
                <w:sz w:val="20"/>
                <w:szCs w:val="20"/>
              </w:rPr>
              <w:t xml:space="preserve">Quantitative + Narrative</w:t>
            </w:r>
          </w:p>
        </w:tc>
        <w:tc>
          <w:tcPr>
            <w:tcW w:type="dxa" w:w="3060"/>
            <w:shd w:fill="FFFFFF" w:color="auto" w:val="clear"/>
          </w:tcPr>
          <w:p>
            <w:pPr>
              <w:spacing w:after="60" w:before="60" w:line="280"/>
              <w:jc w:val="center"/>
            </w:pPr>
            <w:r>
              <w:rPr>
                <w:rFonts w:ascii="Times New Roman" w:cs="Times New Roman" w:eastAsia="Times New Roman" w:hAnsi="Times New Roman"/>
                <w:sz w:val="20"/>
                <w:szCs w:val="20"/>
              </w:rPr>
              <w:t xml:space="preserve">Quantitative + Third-party assured</w:t>
            </w:r>
          </w:p>
        </w:tc>
      </w:tr>
      <w:tr>
        <w:tc>
          <w:tcPr>
            <w:tcW w:type="dxa" w:w="2200"/>
            <w:shd w:fill="E9F0F8" w:color="auto" w:val="clear"/>
          </w:tcPr>
          <w:p>
            <w:pPr>
              <w:spacing w:after="60" w:before="60" w:line="280"/>
              <w:jc w:val="left"/>
            </w:pPr>
            <w:r>
              <w:rPr>
                <w:rFonts w:ascii="Times New Roman" w:cs="Times New Roman" w:eastAsia="Times New Roman" w:hAnsi="Times New Roman"/>
                <w:sz w:val="20"/>
                <w:szCs w:val="20"/>
              </w:rPr>
              <w:t xml:space="preserve">Key indicators</w:t>
            </w:r>
          </w:p>
        </w:tc>
        <w:tc>
          <w:tcPr>
            <w:tcW w:type="dxa" w:w="1800"/>
            <w:shd w:fill="E9F0F8" w:color="auto" w:val="clear"/>
          </w:tcPr>
          <w:p>
            <w:pPr>
              <w:spacing w:after="60" w:before="60" w:line="280"/>
              <w:jc w:val="center"/>
            </w:pPr>
            <w:r>
              <w:rPr>
                <w:rFonts w:ascii="Times New Roman" w:cs="Times New Roman" w:eastAsia="Times New Roman" w:hAnsi="Times New Roman"/>
                <w:sz w:val="20"/>
                <w:szCs w:val="20"/>
              </w:rPr>
              <w:t xml:space="preserve">Policy adherence (9 principles)</w:t>
            </w:r>
          </w:p>
        </w:tc>
        <w:tc>
          <w:tcPr>
            <w:tcW w:type="dxa" w:w="2300"/>
            <w:shd w:fill="E9F0F8" w:color="auto" w:val="clear"/>
          </w:tcPr>
          <w:p>
            <w:pPr>
              <w:spacing w:after="60" w:before="60" w:line="280"/>
              <w:jc w:val="center"/>
            </w:pPr>
            <w:r>
              <w:rPr>
                <w:rFonts w:ascii="Times New Roman" w:cs="Times New Roman" w:eastAsia="Times New Roman" w:hAnsi="Times New Roman"/>
                <w:sz w:val="20"/>
                <w:szCs w:val="20"/>
              </w:rPr>
              <w:t xml:space="preserve">80+ indicators across E, S, G</w:t>
            </w:r>
          </w:p>
        </w:tc>
        <w:tc>
          <w:tcPr>
            <w:tcW w:type="dxa" w:w="3060"/>
            <w:shd w:fill="E9F0F8" w:color="auto" w:val="clear"/>
          </w:tcPr>
          <w:p>
            <w:pPr>
              <w:spacing w:after="60" w:before="60" w:line="280"/>
              <w:jc w:val="center"/>
            </w:pPr>
            <w:r>
              <w:rPr>
                <w:rFonts w:ascii="Times New Roman" w:cs="Times New Roman" w:eastAsia="Times New Roman" w:hAnsi="Times New Roman"/>
                <w:sz w:val="20"/>
                <w:szCs w:val="20"/>
              </w:rPr>
              <w:t xml:space="preserve">9 assured KPI clusters</w:t>
            </w:r>
          </w:p>
        </w:tc>
      </w:tr>
      <w:tr>
        <w:tc>
          <w:tcPr>
            <w:tcW w:type="dxa" w:w="2200"/>
            <w:shd w:fill="FFFFFF" w:color="auto" w:val="clear"/>
          </w:tcPr>
          <w:p>
            <w:pPr>
              <w:spacing w:after="60" w:before="60" w:line="280"/>
              <w:jc w:val="left"/>
            </w:pPr>
            <w:r>
              <w:rPr>
                <w:rFonts w:ascii="Times New Roman" w:cs="Times New Roman" w:eastAsia="Times New Roman" w:hAnsi="Times New Roman"/>
                <w:sz w:val="20"/>
                <w:szCs w:val="20"/>
              </w:rPr>
              <w:t xml:space="preserve">Comparability</w:t>
            </w:r>
          </w:p>
        </w:tc>
        <w:tc>
          <w:tcPr>
            <w:tcW w:type="dxa" w:w="1800"/>
            <w:shd w:fill="FFFFFF" w:color="auto" w:val="clear"/>
          </w:tcPr>
          <w:p>
            <w:pPr>
              <w:spacing w:after="60" w:before="60" w:line="280"/>
              <w:jc w:val="center"/>
            </w:pPr>
            <w:r>
              <w:rPr>
                <w:rFonts w:ascii="Times New Roman" w:cs="Times New Roman" w:eastAsia="Times New Roman" w:hAnsi="Times New Roman"/>
                <w:sz w:val="20"/>
                <w:szCs w:val="20"/>
              </w:rPr>
              <w:t xml:space="preserve">Very Low</w:t>
            </w:r>
          </w:p>
        </w:tc>
        <w:tc>
          <w:tcPr>
            <w:tcW w:type="dxa" w:w="2300"/>
            <w:shd w:fill="FFFFFF" w:color="auto" w:val="clear"/>
          </w:tcPr>
          <w:p>
            <w:pPr>
              <w:spacing w:after="60" w:before="60" w:line="280"/>
              <w:jc w:val="center"/>
            </w:pPr>
            <w:r>
              <w:rPr>
                <w:rFonts w:ascii="Times New Roman" w:cs="Times New Roman" w:eastAsia="Times New Roman" w:hAnsi="Times New Roman"/>
                <w:sz w:val="20"/>
                <w:szCs w:val="20"/>
              </w:rPr>
              <w:t xml:space="preserve">Moderate</w:t>
            </w:r>
          </w:p>
        </w:tc>
        <w:tc>
          <w:tcPr>
            <w:tcW w:type="dxa" w:w="3060"/>
            <w:shd w:fill="FFFFFF" w:color="auto" w:val="clear"/>
          </w:tcPr>
          <w:p>
            <w:pPr>
              <w:spacing w:after="60" w:before="60" w:line="280"/>
              <w:jc w:val="center"/>
            </w:pPr>
            <w:r>
              <w:rPr>
                <w:rFonts w:ascii="Times New Roman" w:cs="Times New Roman" w:eastAsia="Times New Roman" w:hAnsi="Times New Roman"/>
                <w:sz w:val="20"/>
                <w:szCs w:val="20"/>
              </w:rPr>
              <w:t xml:space="preserve">High (post-assurance)</w:t>
            </w:r>
          </w:p>
        </w:tc>
      </w:tr>
      <w:tr>
        <w:tc>
          <w:tcPr>
            <w:tcW w:type="dxa" w:w="2200"/>
            <w:shd w:fill="E9F0F8" w:color="auto" w:val="clear"/>
          </w:tcPr>
          <w:p>
            <w:pPr>
              <w:spacing w:after="60" w:before="60" w:line="280"/>
              <w:jc w:val="left"/>
            </w:pPr>
            <w:r>
              <w:rPr>
                <w:rFonts w:ascii="Times New Roman" w:cs="Times New Roman" w:eastAsia="Times New Roman" w:hAnsi="Times New Roman"/>
                <w:sz w:val="20"/>
                <w:szCs w:val="20"/>
              </w:rPr>
              <w:t xml:space="preserve">Greenwashing risk</w:t>
            </w:r>
          </w:p>
        </w:tc>
        <w:tc>
          <w:tcPr>
            <w:tcW w:type="dxa" w:w="1800"/>
            <w:shd w:fill="E9F0F8" w:color="auto" w:val="clear"/>
          </w:tcPr>
          <w:p>
            <w:pPr>
              <w:spacing w:after="60" w:before="60" w:line="280"/>
              <w:jc w:val="center"/>
            </w:pPr>
            <w:r>
              <w:rPr>
                <w:rFonts w:ascii="Times New Roman" w:cs="Times New Roman" w:eastAsia="Times New Roman" w:hAnsi="Times New Roman"/>
                <w:sz w:val="20"/>
                <w:szCs w:val="20"/>
              </w:rPr>
              <w:t xml:space="preserve">High (narrative dominance)</w:t>
            </w:r>
          </w:p>
        </w:tc>
        <w:tc>
          <w:tcPr>
            <w:tcW w:type="dxa" w:w="2300"/>
            <w:shd w:fill="E9F0F8" w:color="auto" w:val="clear"/>
          </w:tcPr>
          <w:p>
            <w:pPr>
              <w:spacing w:after="60" w:before="60" w:line="280"/>
              <w:jc w:val="center"/>
            </w:pPr>
            <w:r>
              <w:rPr>
                <w:rFonts w:ascii="Times New Roman" w:cs="Times New Roman" w:eastAsia="Times New Roman" w:hAnsi="Times New Roman"/>
                <w:sz w:val="20"/>
                <w:szCs w:val="20"/>
              </w:rPr>
              <w:t xml:space="preserve">Moderate</w:t>
            </w:r>
          </w:p>
        </w:tc>
        <w:tc>
          <w:tcPr>
            <w:tcW w:type="dxa" w:w="3060"/>
            <w:shd w:fill="E9F0F8" w:color="auto" w:val="clear"/>
          </w:tcPr>
          <w:p>
            <w:pPr>
              <w:spacing w:after="60" w:before="60" w:line="280"/>
              <w:jc w:val="center"/>
            </w:pPr>
            <w:r>
              <w:rPr>
                <w:rFonts w:ascii="Times New Roman" w:cs="Times New Roman" w:eastAsia="Times New Roman" w:hAnsi="Times New Roman"/>
                <w:sz w:val="20"/>
                <w:szCs w:val="20"/>
              </w:rPr>
              <w:t xml:space="preserve">Lower (verification required)</w:t>
            </w:r>
          </w:p>
        </w:tc>
      </w:tr>
      <w:tr>
        <w:tc>
          <w:tcPr>
            <w:tcW w:type="dxa" w:w="2200"/>
            <w:shd w:fill="FFFFFF" w:color="auto" w:val="clear"/>
          </w:tcPr>
          <w:p>
            <w:pPr>
              <w:spacing w:after="60" w:before="60" w:line="280"/>
              <w:jc w:val="left"/>
            </w:pPr>
            <w:r>
              <w:rPr>
                <w:rFonts w:ascii="Times New Roman" w:cs="Times New Roman" w:eastAsia="Times New Roman" w:hAnsi="Times New Roman"/>
                <w:sz w:val="20"/>
                <w:szCs w:val="20"/>
              </w:rPr>
              <w:t xml:space="preserve">Global alignment</w:t>
            </w:r>
          </w:p>
        </w:tc>
        <w:tc>
          <w:tcPr>
            <w:tcW w:type="dxa" w:w="1800"/>
            <w:shd w:fill="FFFFFF" w:color="auto" w:val="clear"/>
          </w:tcPr>
          <w:p>
            <w:pPr>
              <w:spacing w:after="60" w:before="60" w:line="280"/>
              <w:jc w:val="center"/>
            </w:pPr>
            <w:r>
              <w:rPr>
                <w:rFonts w:ascii="Times New Roman" w:cs="Times New Roman" w:eastAsia="Times New Roman" w:hAnsi="Times New Roman"/>
                <w:sz w:val="20"/>
                <w:szCs w:val="20"/>
              </w:rPr>
              <w:t xml:space="preserve">Minimal</w:t>
            </w:r>
          </w:p>
        </w:tc>
        <w:tc>
          <w:tcPr>
            <w:tcW w:type="dxa" w:w="2300"/>
            <w:shd w:fill="FFFFFF" w:color="auto" w:val="clear"/>
          </w:tcPr>
          <w:p>
            <w:pPr>
              <w:spacing w:after="60" w:before="60" w:line="280"/>
              <w:jc w:val="center"/>
            </w:pPr>
            <w:r>
              <w:rPr>
                <w:rFonts w:ascii="Times New Roman" w:cs="Times New Roman" w:eastAsia="Times New Roman" w:hAnsi="Times New Roman"/>
                <w:sz w:val="20"/>
                <w:szCs w:val="20"/>
              </w:rPr>
              <w:t xml:space="preserve">Partial (GRI, TCFD compatible)</w:t>
            </w:r>
          </w:p>
        </w:tc>
        <w:tc>
          <w:tcPr>
            <w:tcW w:type="dxa" w:w="3060"/>
            <w:shd w:fill="FFFFFF" w:color="auto" w:val="clear"/>
          </w:tcPr>
          <w:p>
            <w:pPr>
              <w:spacing w:after="60" w:before="60" w:line="280"/>
              <w:jc w:val="center"/>
            </w:pPr>
            <w:r>
              <w:rPr>
                <w:rFonts w:ascii="Times New Roman" w:cs="Times New Roman" w:eastAsia="Times New Roman" w:hAnsi="Times New Roman"/>
                <w:sz w:val="20"/>
                <w:szCs w:val="20"/>
              </w:rPr>
              <w:t xml:space="preserve">Closer to ISSB S1/S2</w:t>
            </w:r>
          </w:p>
        </w:tc>
      </w:tr>
    </w:tbl>
    <w:p>
      <w:pPr>
        <w:spacing w:after="160" w:before="60" w:line="280"/>
      </w:pPr>
      <w:r>
        <w:rPr>
          <w:rFonts w:ascii="Times New Roman" w:cs="Times New Roman" w:eastAsia="Times New Roman" w:hAnsi="Times New Roman"/>
          <w:i/>
          <w:iCs/>
          <w:sz w:val="20"/>
          <w:szCs w:val="20"/>
        </w:rPr>
        <w:t xml:space="preserve">Source: Compiled by author from SEBI circulars (2021, 2023) and BRSR framework documentation. BRSR = Business Responsibility and Sustainability Reporting; BRR = Business Responsibility Report; KPI = Key Performance Indicator.</w:t>
      </w:r>
    </w:p>
    <w:p>
      <w:pPr>
        <w:spacing w:line="240"/>
      </w:pPr>
      <w:r>
        <w:t xml:space="preserve"/>
      </w:r>
    </w:p>
    <w:p>
      <w:pPr>
        <w:pStyle w:val="Heading2"/>
        <w:spacing w:after="160" w:before="360"/>
      </w:pPr>
      <w:r>
        <w:rPr>
          <w:rFonts w:ascii="Times New Roman" w:cs="Times New Roman" w:eastAsia="Times New Roman" w:hAnsi="Times New Roman"/>
          <w:b/>
          <w:bCs/>
          <w:i/>
          <w:iCs/>
          <w:sz w:val="26"/>
          <w:szCs w:val="26"/>
        </w:rPr>
        <w:t xml:space="preserve">2.3 Global Context: Where BRSR Fits in the International Disclosure Landscape</w:t>
      </w:r>
    </w:p>
    <w:p>
      <w:pPr>
        <w:spacing w:after="180" w:before="0" w:line="480"/>
        <w:jc w:val="both"/>
      </w:pPr>
      <w:r>
        <w:rPr>
          <w:rFonts w:ascii="Times New Roman" w:cs="Times New Roman" w:eastAsia="Times New Roman" w:hAnsi="Times New Roman"/>
          <w:b w:val="false"/>
          <w:bCs w:val="false"/>
          <w:i w:val="false"/>
          <w:iCs w:val="false"/>
          <w:sz w:val="24"/>
          <w:szCs w:val="24"/>
        </w:rPr>
        <w:t xml:space="preserve">India's BRSR framework does not exist in isolation; it has been developed with deliberate awareness of the evolving global sustainability disclosure architecture, and its adequacy must be assessed against the standards that international investors increasingly use as reference points. Three global frameworks are most directly relevant. The Global Reporting Initiative (GRI) Standards, the most widely adopted voluntary sustainability reporting framework globally, provide the conceptual architecture for much of BRSR's indicator design; GRI and BRSR indicators are substantially mappable, though not identical. The Task Force on Climate-related Financial Disclosures (TCFD) framework, now integrated into the IFRS Foundation's ISSB S2 standard, provides the conceptual structure for climate risk disclosure through its four pillars — governance, strategy, risk management, and metrics and targets — elements of which are present in BRSR's climate-related indicators but less systematically integrated than TCFD requires.</w:t>
      </w:r>
    </w:p>
    <w:p>
      <w:pPr>
        <w:spacing w:after="180" w:before="0" w:line="480"/>
        <w:jc w:val="both"/>
      </w:pPr>
      <w:r>
        <w:rPr>
          <w:rFonts w:ascii="Times New Roman" w:cs="Times New Roman" w:eastAsia="Times New Roman" w:hAnsi="Times New Roman"/>
          <w:b w:val="false"/>
          <w:bCs w:val="false"/>
          <w:i w:val="false"/>
          <w:iCs w:val="false"/>
          <w:sz w:val="24"/>
          <w:szCs w:val="24"/>
        </w:rPr>
        <w:t xml:space="preserve">The ISSB's sustainability disclosure standards — S1 (General Requirements for Disclosure of Sustainability-related Financial Information) and S2 (Climate-related Disclosures), finalized in 2023 — represent the most significant development in global sustainability reporting standards since GRI's inception, and their relationship to BRSR is a question of considerable institutional importance for Indian corporate governance. ISSB standards are designed to be the global baseline for sustainability-related financial disclosures — focused primarily on financially material sustainability information rather than the broader stakeholder impact perspective of GRI — and their integration into securities regulation globally is anticipated to accelerate significantly over the next five years. SEBI has signalled awareness of this trajectory and the BRSR Core framework can reasonably be read as India's preparatory step toward eventual ISSB alignment, but significant structural and content gaps remain between current BRSR requirements and ISSB standards, particularly in the areas of climate scenario analysis, physical risk quantification, and value chain (Scope 3) emissions disclosure.</w:t>
      </w:r>
    </w:p>
    <w:p>
      <w:pPr>
        <w:spacing w:line="240"/>
      </w:pPr>
      <w:r>
        <w:t xml:space="preserve"/>
      </w:r>
    </w:p>
    <w:p>
      <w:pPr>
        <w:pStyle w:val="Heading1"/>
        <w:spacing w:after="220" w:before="520"/>
      </w:pPr>
      <w:r>
        <w:rPr>
          <w:rFonts w:ascii="Times New Roman" w:cs="Times New Roman" w:eastAsia="Times New Roman" w:hAnsi="Times New Roman"/>
          <w:b/>
          <w:bCs/>
          <w:caps/>
          <w:sz w:val="28"/>
          <w:szCs w:val="28"/>
        </w:rPr>
        <w:t xml:space="preserve">III. Five Systemic Patterns in Early BRSR Reporting Practice</w:t>
      </w:r>
    </w:p>
    <w:p>
      <w:pPr>
        <w:spacing w:after="180" w:before="0" w:line="480"/>
        <w:jc w:val="both"/>
      </w:pPr>
      <w:r>
        <w:rPr>
          <w:rFonts w:ascii="Times New Roman" w:cs="Times New Roman" w:eastAsia="Times New Roman" w:hAnsi="Times New Roman"/>
          <w:b w:val="false"/>
          <w:bCs w:val="false"/>
          <w:i w:val="false"/>
          <w:iCs w:val="false"/>
          <w:sz w:val="24"/>
          <w:szCs w:val="24"/>
        </w:rPr>
        <w:t xml:space="preserve">An analytical review of BRSR filings across sectors — drawing on publicly available annual reports of Nifty 500 companies from FY 2022–23 and FY 2023–24, supplemented by commentary from sustainability disclosure practitioners and ESG analysts — reveals five systemic patterns that characterize the current state of Indian corporate BRSR practice. These patterns are not universal: the variance in BRSR quality across Indian listed companies is substantial, and leading-practice examples exist in most sectors. But the patterns are sufficiently consistent and structurally significant to merit systematic analysis.</w:t>
      </w:r>
    </w:p>
    <w:p>
      <w:pPr>
        <w:pStyle w:val="Heading2"/>
        <w:spacing w:after="160" w:before="360"/>
      </w:pPr>
      <w:r>
        <w:rPr>
          <w:rFonts w:ascii="Times New Roman" w:cs="Times New Roman" w:eastAsia="Times New Roman" w:hAnsi="Times New Roman"/>
          <w:b/>
          <w:bCs/>
          <w:i/>
          <w:iCs/>
          <w:sz w:val="26"/>
          <w:szCs w:val="26"/>
        </w:rPr>
        <w:t xml:space="preserve">Pattern 1: Selective Disclosure and Strategic Omission</w:t>
      </w:r>
    </w:p>
    <w:p>
      <w:pPr>
        <w:spacing w:after="180" w:before="0" w:line="480"/>
        <w:jc w:val="both"/>
      </w:pPr>
      <w:r>
        <w:rPr>
          <w:rFonts w:ascii="Times New Roman" w:cs="Times New Roman" w:eastAsia="Times New Roman" w:hAnsi="Times New Roman"/>
          <w:b w:val="false"/>
          <w:bCs w:val="false"/>
          <w:i w:val="false"/>
          <w:iCs w:val="false"/>
          <w:sz w:val="24"/>
          <w:szCs w:val="24"/>
        </w:rPr>
        <w:t xml:space="preserve">The most pervasive pattern in early BRSR filings is selective disclosure — the systematic provision of information in areas where performance is favourable or data is readily available, combined with the omission or minimization of information in areas of genuine performance concern. BRSR's distinction between Essential and Leadership indicators creates a structural opportunity for selective disclosure: a company can achieve formal compliance by fully addressing Essential indicators while declining to provide Leadership indicators — which are, by design, the indicators most likely to reveal environmental and social leadership (or its absence). More subtly, selective disclosure occurs within the Essential indicator framework itself: companies frequently disclose energy and water consumption in absolute terms without the intensity metrics (per unit of revenue or per unit of production) that would make the figures analytically useful for cross-company comparison.</w:t>
      </w:r>
    </w:p>
    <w:p>
      <w:pPr>
        <w:spacing w:after="180" w:before="0" w:line="480"/>
        <w:jc w:val="both"/>
      </w:pPr>
      <w:r>
        <w:rPr>
          <w:rFonts w:ascii="Times New Roman" w:cs="Times New Roman" w:eastAsia="Times New Roman" w:hAnsi="Times New Roman"/>
          <w:b w:val="false"/>
          <w:bCs w:val="false"/>
          <w:i w:val="false"/>
          <w:iCs w:val="false"/>
          <w:sz w:val="24"/>
          <w:szCs w:val="24"/>
        </w:rPr>
        <w:t xml:space="preserve">The pattern of strategic omission is most visible in three areas. First, greenhouse gas emissions disclosure shows systematic asymmetry: Scope 1 (direct emissions from owned sources) and Scope 2 (indirect emissions from purchased energy) figures are increasingly reported, but Scope 3 emissions — which include upstream supply chain emissions, product use-phase emissions, and end-of-life treatment, and which typically constitute sixty to ninety per cent of a manufacturing company's total climate footprint — are almost entirely absent from BRSR filings outside of a small number of leading multinationals and export-oriented companies. Since BRSR currently treats Scope 3 as a Leadership indicator, this is formally compliant; but it means that current BRSR filings provide a systematically incomplete picture of Indian companies' climate risk exposure. Second, supply chain due diligence disclosures show similar thinness: Principle 5 (human rights) and Principle 8 (inclusive growth) require companies to address their value chain partners' sustainability practices, but the majority of filings provide only policy statements about expectations of suppliers without evidence of whether those expectations are monitored, verified, or enforced. Third, environmental non-compliance incidents — regulatory notices, environmental fines, or significant violations — are disclosed with a frequency that strains statistical credibility across sectors known to face significant regulatory scrutiny.</w:t>
      </w:r>
    </w:p>
    <w:p>
      <w:pPr>
        <w:pStyle w:val="Heading2"/>
        <w:spacing w:after="160" w:before="360"/>
      </w:pPr>
      <w:r>
        <w:rPr>
          <w:rFonts w:ascii="Times New Roman" w:cs="Times New Roman" w:eastAsia="Times New Roman" w:hAnsi="Times New Roman"/>
          <w:b/>
          <w:bCs/>
          <w:i/>
          <w:iCs/>
          <w:sz w:val="26"/>
          <w:szCs w:val="26"/>
        </w:rPr>
        <w:t xml:space="preserve">Pattern 2: Quantitative Thinness and Data Quality Concerns</w:t>
      </w:r>
    </w:p>
    <w:p>
      <w:pPr>
        <w:spacing w:after="180" w:before="0" w:line="480"/>
        <w:jc w:val="both"/>
      </w:pPr>
      <w:r>
        <w:rPr>
          <w:rFonts w:ascii="Times New Roman" w:cs="Times New Roman" w:eastAsia="Times New Roman" w:hAnsi="Times New Roman"/>
          <w:b w:val="false"/>
          <w:bCs w:val="false"/>
          <w:i w:val="false"/>
          <w:iCs w:val="false"/>
          <w:sz w:val="24"/>
          <w:szCs w:val="24"/>
        </w:rPr>
        <w:t xml:space="preserve">BRSR's most significant advance over BRR is its requirement for quantitative disclosure. The quality of that quantitative disclosure, in many early filings, is more modest than the framework's architecture promises. Quantitative thinness manifests in several forms: reporting of aggregate figures without the sector-appropriate intensity metrics that enable meaningful comparison; disclosure of headline numbers without the underlying methodological notes that would enable verification; use of estimation methodologies that are neither disclosed nor consistent across reporting periods; and, most significantly, inconsistency between BRSR-disclosed figures and independently estimable benchmarks from industry databases, utility bills, or production records.</w:t>
      </w:r>
    </w:p>
    <w:p>
      <w:pPr>
        <w:spacing w:after="180" w:before="0" w:line="480"/>
        <w:jc w:val="both"/>
      </w:pPr>
      <w:r>
        <w:rPr>
          <w:rFonts w:ascii="Times New Roman" w:cs="Times New Roman" w:eastAsia="Times New Roman" w:hAnsi="Times New Roman"/>
          <w:b w:val="false"/>
          <w:bCs w:val="false"/>
          <w:i w:val="false"/>
          <w:iCs w:val="false"/>
          <w:sz w:val="24"/>
          <w:szCs w:val="24"/>
        </w:rPr>
        <w:t xml:space="preserve">Energy intensity disclosure illustrates the challenge particularly clearly. BRSR requires companies to disclose total energy consumption from renewable and non-renewable sources and, for Leadership indicators, energy intensity per rupee of turnover. An analysis of FY 2022–23 BRSR filings across manufacturing sectors reveals substantial variance in energy intensity figures for companies within the same industry, at scales that cannot be fully explained by genuine production efficiency differences. In some cases, the implied energy intensity figures are inconsistent with publicly available production volumes and sector-average energy benchmarks. This may reflect genuine methodological inconsistency — different companies using different system boundaries, different calorific conversion factors, or different bases for intensity calculation — but it may also reflect the absence of robust internal data collection systems and the use of top-down estimation to generate figures that satisfy disclosure requirements without robust bottom-up measurement.</w:t>
      </w:r>
    </w:p>
    <w:p>
      <w:pPr>
        <w:pBdr>
          <w:top w:val="single" w:color="1F4E79" w:sz="6" w:space="8"/>
          <w:bottom w:val="single" w:color="1F4E79" w:sz="6" w:space="8"/>
        </w:pBdr>
        <w:spacing w:after="240" w:before="240" w:line="420"/>
        <w:ind w:left="720" w:right="720"/>
        <w:jc w:val="center"/>
      </w:pPr>
      <w:r>
        <w:rPr>
          <w:rFonts w:ascii="Times New Roman" w:cs="Times New Roman" w:eastAsia="Times New Roman" w:hAnsi="Times New Roman"/>
          <w:b/>
          <w:bCs/>
          <w:i/>
          <w:iCs/>
          <w:color w:val="1F4E79"/>
          <w:sz w:val="26"/>
          <w:szCs w:val="26"/>
        </w:rPr>
        <w:t xml:space="preserve">"A disclosure that reports water consumption without specifying the measurement methodology, the source (freshwater vs recycled), or the relevant scarcity context provides the form of quantitative precision while delivering the substance of narrative vagueness."</w:t>
      </w:r>
    </w:p>
    <w:p>
      <w:pPr>
        <w:pStyle w:val="Heading2"/>
        <w:spacing w:after="160" w:before="360"/>
      </w:pPr>
      <w:r>
        <w:rPr>
          <w:rFonts w:ascii="Times New Roman" w:cs="Times New Roman" w:eastAsia="Times New Roman" w:hAnsi="Times New Roman"/>
          <w:b/>
          <w:bCs/>
          <w:i/>
          <w:iCs/>
          <w:sz w:val="26"/>
          <w:szCs w:val="26"/>
        </w:rPr>
        <w:t xml:space="preserve">Pattern 3: Materiality Ambiguity and Strategic Framing</w:t>
      </w:r>
    </w:p>
    <w:p>
      <w:pPr>
        <w:spacing w:after="180" w:before="0" w:line="480"/>
        <w:jc w:val="both"/>
      </w:pPr>
      <w:r>
        <w:rPr>
          <w:rFonts w:ascii="Times New Roman" w:cs="Times New Roman" w:eastAsia="Times New Roman" w:hAnsi="Times New Roman"/>
          <w:b w:val="false"/>
          <w:bCs w:val="false"/>
          <w:i w:val="false"/>
          <w:iCs w:val="false"/>
          <w:sz w:val="24"/>
          <w:szCs w:val="24"/>
        </w:rPr>
        <w:t xml:space="preserve">Sustainability disclosure frameworks, from GRI to ISSB, are organized around the concept of materiality — the principle that companies should prioritize disclosure of sustainability information that is most significant to their specific business context, stakeholder concerns, and financial risk profile. BRSR incorporates materiality implicitly through its sector-specific key performance indicators (for the ten high-impact sectors identified in the framework) and explicitly through the requirement to disclose stakeholder consultation processes and material issues identified thereby. The quality of materiality analysis in early BRSR filings is, with some exceptions, low.</w:t>
      </w:r>
    </w:p>
    <w:p>
      <w:pPr>
        <w:spacing w:after="180" w:before="0" w:line="480"/>
        <w:jc w:val="both"/>
      </w:pPr>
      <w:r>
        <w:rPr>
          <w:rFonts w:ascii="Times New Roman" w:cs="Times New Roman" w:eastAsia="Times New Roman" w:hAnsi="Times New Roman"/>
          <w:b w:val="false"/>
          <w:bCs w:val="false"/>
          <w:i w:val="false"/>
          <w:iCs w:val="false"/>
          <w:sz w:val="24"/>
          <w:szCs w:val="24"/>
        </w:rPr>
        <w:t xml:space="preserve">The typical BRSR materiality disclosure describes a generic stakeholder engagement process — annual surveys, investor meetings, and community consultations — and lists a set of material issues that, in many filings, appear to have been determined by reference to industry boilerplate rather than genuine stakeholder input. Issues that are genuinely material to the company's specific environmental and social risk profile — water stress in a water-intensive manufacturing operation located in a stressed watershed; labour rights in a supply chain dependent on contract workers; biodiversity impact in a company with significant land use in ecologically sensitive areas — frequently appear alongside issues of much lower material significance, with no analytical framework for distinguishing the former from the latter. This materiality inflation, while superficially comprehensive, prevents BRSR from performing its core function of directing investor and stakeholder attention toward the sustainability issues that genuinely matter for a specific company's risk and impact profile.</w:t>
      </w:r>
    </w:p>
    <w:p>
      <w:pPr>
        <w:pStyle w:val="Heading2"/>
        <w:spacing w:after="160" w:before="360"/>
      </w:pPr>
      <w:r>
        <w:rPr>
          <w:rFonts w:ascii="Times New Roman" w:cs="Times New Roman" w:eastAsia="Times New Roman" w:hAnsi="Times New Roman"/>
          <w:b/>
          <w:bCs/>
          <w:i/>
          <w:iCs/>
          <w:sz w:val="26"/>
          <w:szCs w:val="26"/>
        </w:rPr>
        <w:t xml:space="preserve">Pattern 4: Governance Superficiality</w:t>
      </w:r>
    </w:p>
    <w:p>
      <w:pPr>
        <w:spacing w:after="180" w:before="0" w:line="480"/>
        <w:jc w:val="both"/>
      </w:pPr>
      <w:r>
        <w:rPr>
          <w:rFonts w:ascii="Times New Roman" w:cs="Times New Roman" w:eastAsia="Times New Roman" w:hAnsi="Times New Roman"/>
          <w:b w:val="false"/>
          <w:bCs w:val="false"/>
          <w:i w:val="false"/>
          <w:iCs w:val="false"/>
          <w:sz w:val="24"/>
          <w:szCs w:val="24"/>
        </w:rPr>
        <w:t xml:space="preserve">BRSR's governance dimension — addressing board oversight of sustainability strategy, risk management integration, and accountability mechanisms for ESG performance — is theoretically the most important component of the framework for long-term sustainability performance improvement. Governance disclosures determine whether sustainability is a strategic priority integrated into the company's decision-making architecture or a reporting exercise managed at the peripheral level of a CSR or communications team. The pattern in early BRSR filings is one of governance superficiality: board and committee oversight of sustainability is typically described in terms of structural arrangements — ESG committees, CSR committees, or audit committee oversight of BRSR — without evidence that these structures exercise substantive strategic influence over the company's environmental and social trajectory.</w:t>
      </w:r>
    </w:p>
    <w:p>
      <w:pPr>
        <w:spacing w:after="180" w:before="0" w:line="480"/>
        <w:jc w:val="both"/>
      </w:pPr>
      <w:r>
        <w:rPr>
          <w:rFonts w:ascii="Times New Roman" w:cs="Times New Roman" w:eastAsia="Times New Roman" w:hAnsi="Times New Roman"/>
          <w:b w:val="false"/>
          <w:bCs w:val="false"/>
          <w:i w:val="false"/>
          <w:iCs w:val="false"/>
          <w:sz w:val="24"/>
          <w:szCs w:val="24"/>
        </w:rPr>
        <w:t xml:space="preserve">Three governance deficits are particularly significant. First, the integration of sustainability performance into executive remuneration remains limited to a small number of leading companies, despite the theoretical prediction — supported by agency theory and empirical evidence from international markets [CITE NEEDED: executive pay and ESG performance literature, 2020-2024] — that incentive alignment is the most effective mechanism for ensuring that sustainability targets translate into genuine management behavior change. Second, the treatment of sustainability risk in enterprise risk management disclosures remains siloed: BRSR risk disclosures and ERM disclosures in the same annual report frequently describe the same company's risk profile in ways that are difficult to reconcile, suggesting that sustainability risks are managed in parallel rather than integrated risk frameworks. Third, the disclosure of targets and progress against targets — the mechanism through which accountability for sustainability commitments can be assessed — shows a systematic pattern of target setting at levels of ambiguity sufficient to resist meaningful progress assessment.</w:t>
      </w:r>
    </w:p>
    <w:p>
      <w:pPr>
        <w:pStyle w:val="Heading2"/>
        <w:spacing w:after="160" w:before="360"/>
      </w:pPr>
      <w:r>
        <w:rPr>
          <w:rFonts w:ascii="Times New Roman" w:cs="Times New Roman" w:eastAsia="Times New Roman" w:hAnsi="Times New Roman"/>
          <w:b/>
          <w:bCs/>
          <w:i/>
          <w:iCs/>
          <w:sz w:val="26"/>
          <w:szCs w:val="26"/>
        </w:rPr>
        <w:t xml:space="preserve">Pattern 5: Supply Chain Evasion</w:t>
      </w:r>
    </w:p>
    <w:p>
      <w:pPr>
        <w:spacing w:after="180" w:before="0" w:line="480"/>
        <w:jc w:val="both"/>
      </w:pPr>
      <w:r>
        <w:rPr>
          <w:rFonts w:ascii="Times New Roman" w:cs="Times New Roman" w:eastAsia="Times New Roman" w:hAnsi="Times New Roman"/>
          <w:b w:val="false"/>
          <w:bCs w:val="false"/>
          <w:i w:val="false"/>
          <w:iCs w:val="false"/>
          <w:sz w:val="24"/>
          <w:szCs w:val="24"/>
        </w:rPr>
        <w:t xml:space="preserve">Perhaps the most structurally significant gap in current BRSR practice is the near-universal evasion of substantive supply chain sustainability disclosure. BRSR's Principle 8 and the broader framework's recognition of value chain sustainability reflect the emerging global consensus that a company's sustainability performance cannot be assessed by reference to its own direct operations alone: for most large Indian companies, the environmental and social impacts embedded in their upstream supply chains and downstream value chains dwarf their directly controlled operational impacts. India's export-oriented sectors — textiles and garments, leather goods, agricultural commodities, chemicals — face direct regulatory and market pressure on supply chain sustainability from European buyers subject to the EU Corporate Sustainability Due Diligence Directive (CSDDD) and similar frameworks; yet even in these sectors, BRSR supply chain disclosures are typically limited to policy statements about supplier codes of conduct.</w:t>
      </w:r>
    </w:p>
    <w:p>
      <w:pPr>
        <w:spacing w:after="180" w:before="0" w:line="480"/>
        <w:jc w:val="both"/>
      </w:pPr>
      <w:r>
        <w:rPr>
          <w:rFonts w:ascii="Times New Roman" w:cs="Times New Roman" w:eastAsia="Times New Roman" w:hAnsi="Times New Roman"/>
          <w:b w:val="false"/>
          <w:bCs w:val="false"/>
          <w:i w:val="false"/>
          <w:iCs w:val="false"/>
          <w:sz w:val="24"/>
          <w:szCs w:val="24"/>
        </w:rPr>
        <w:t xml:space="preserve">The structural reasons for supply chain disclosure evasion are partly informational — many large Indian companies genuinely lack systematic visibility into Tier 2 and Tier 3 supplier practices — and partly strategic: supply chain transparency creates risks of reputational exposure for social and environmental conditions in supplier factories and farms that companies have historically been able to manage through contractual arms-length relationships. BRSR's current treatment of supply chain sustainability as primarily a governance and policy matter — rather than a data and outcome matter — inadvertently enables this evasion by accepting policy statements as evidence of supply chain sustainability management.</w:t>
      </w:r>
    </w:p>
    <w:p>
      <w:pPr>
        <w:spacing w:line="240"/>
      </w:pPr>
      <w:r>
        <w:t xml:space="preserve"/>
      </w:r>
    </w:p>
    <w:p>
      <w:pPr>
        <w:pStyle w:val="Heading1"/>
        <w:spacing w:after="220" w:before="520"/>
      </w:pPr>
      <w:r>
        <w:rPr>
          <w:rFonts w:ascii="Times New Roman" w:cs="Times New Roman" w:eastAsia="Times New Roman" w:hAnsi="Times New Roman"/>
          <w:b/>
          <w:bCs/>
          <w:caps/>
          <w:sz w:val="28"/>
          <w:szCs w:val="28"/>
        </w:rPr>
        <w:t xml:space="preserve">IV. The BRSR Quality Spectrum: A Diagnostic Framework</w:t>
      </w:r>
    </w:p>
    <w:p>
      <w:pPr>
        <w:spacing w:after="180" w:before="0" w:line="480"/>
        <w:jc w:val="both"/>
      </w:pPr>
      <w:r>
        <w:rPr>
          <w:rFonts w:ascii="Times New Roman" w:cs="Times New Roman" w:eastAsia="Times New Roman" w:hAnsi="Times New Roman"/>
          <w:b w:val="false"/>
          <w:bCs w:val="false"/>
          <w:i w:val="false"/>
          <w:iCs w:val="false"/>
          <w:sz w:val="24"/>
          <w:szCs w:val="24"/>
        </w:rPr>
        <w:t xml:space="preserve">The five systemic patterns identified in Section III converge on a central analytical challenge: how to distinguish, in a principled and practically useful way, between BRSR filings that represent genuine sustainability transparency and those that represent sophisticated compliance management. The field lacks a widely accepted diagnostic framework calibrated to the specific institutional context of Indian corporate sustainability disclosure. This section develops the BRSR Quality Spectrum — a three-tier diagnostic framework that classifies BRSR practice along a continuum from compliance-oriented to communication-oriented to transformation-oriented disclosure.</w:t>
      </w:r>
    </w:p>
    <w:p>
      <w:pPr>
        <w:pStyle w:val="Heading2"/>
        <w:spacing w:after="160" w:before="360"/>
      </w:pPr>
      <w:r>
        <w:rPr>
          <w:rFonts w:ascii="Times New Roman" w:cs="Times New Roman" w:eastAsia="Times New Roman" w:hAnsi="Times New Roman"/>
          <w:b/>
          <w:bCs/>
          <w:i/>
          <w:iCs/>
          <w:sz w:val="26"/>
          <w:szCs w:val="26"/>
        </w:rPr>
        <w:t xml:space="preserve">Tier 1: Compliance-Oriented Disclosure</w:t>
      </w:r>
    </w:p>
    <w:p>
      <w:pPr>
        <w:spacing w:after="180" w:before="0" w:line="480"/>
        <w:jc w:val="both"/>
      </w:pPr>
      <w:r>
        <w:rPr>
          <w:rFonts w:ascii="Times New Roman" w:cs="Times New Roman" w:eastAsia="Times New Roman" w:hAnsi="Times New Roman"/>
          <w:b w:val="false"/>
          <w:bCs w:val="false"/>
          <w:i w:val="false"/>
          <w:iCs w:val="false"/>
          <w:sz w:val="24"/>
          <w:szCs w:val="24"/>
        </w:rPr>
        <w:t xml:space="preserve">Companies at the compliance tier treat BRSR primarily as a regulatory obligation to be managed at minimum cost. Their disclosure practice is characterized by: focus on Essential indicators to the exclusion of Leadership indicators; preference for narrative description over quantitative specificity; materiality assessments that reflect boilerplate rather than genuine stakeholder engagement; governance disclosures that describe structural arrangements without evidence of substantive board engagement; and supply chain disclosures limited to policy statements. Compliance-tier filings satisfy SEBI's formal requirements but provide limited incremental information to investors, analysts, or stakeholders seeking to assess the company's genuine sustainability risk profile or trajectory.</w:t>
      </w:r>
    </w:p>
    <w:p>
      <w:pPr>
        <w:spacing w:after="180" w:before="0" w:line="480"/>
        <w:jc w:val="both"/>
      </w:pPr>
      <w:r>
        <w:rPr>
          <w:rFonts w:ascii="Times New Roman" w:cs="Times New Roman" w:eastAsia="Times New Roman" w:hAnsi="Times New Roman"/>
          <w:b w:val="false"/>
          <w:bCs w:val="false"/>
          <w:i w:val="false"/>
          <w:iCs w:val="false"/>
          <w:sz w:val="24"/>
          <w:szCs w:val="24"/>
        </w:rPr>
        <w:t xml:space="preserve">The compliance tier is not necessarily indicative of poor sustainability performance — a company may have genuinely strong environmental and social management practices while investing minimally in disclosure quality. But it is strongly associated with one of two conditions: either the company's leadership does not yet perceive sustainability disclosure as strategically material to its capital market positioning, customer relationships, or regulatory risk management; or the company lacks the internal sustainability data infrastructure necessary to support higher-quality disclosure without significant investment. Both conditions are addressable, and companies at the compliance tier that are aware of their positioning have a clear developmental pathway toward higher-quality disclosure practice.</w:t>
      </w:r>
    </w:p>
    <w:p>
      <w:pPr>
        <w:pStyle w:val="Heading2"/>
        <w:spacing w:after="160" w:before="360"/>
      </w:pPr>
      <w:r>
        <w:rPr>
          <w:rFonts w:ascii="Times New Roman" w:cs="Times New Roman" w:eastAsia="Times New Roman" w:hAnsi="Times New Roman"/>
          <w:b/>
          <w:bCs/>
          <w:i/>
          <w:iCs/>
          <w:sz w:val="26"/>
          <w:szCs w:val="26"/>
        </w:rPr>
        <w:t xml:space="preserve">Tier 2: Communication-Oriented Disclosure</w:t>
      </w:r>
    </w:p>
    <w:p>
      <w:pPr>
        <w:spacing w:after="180" w:before="0" w:line="480"/>
        <w:jc w:val="both"/>
      </w:pPr>
      <w:r>
        <w:rPr>
          <w:rFonts w:ascii="Times New Roman" w:cs="Times New Roman" w:eastAsia="Times New Roman" w:hAnsi="Times New Roman"/>
          <w:b w:val="false"/>
          <w:bCs w:val="false"/>
          <w:i w:val="false"/>
          <w:iCs w:val="false"/>
          <w:sz w:val="24"/>
          <w:szCs w:val="24"/>
        </w:rPr>
        <w:t xml:space="preserve">Companies at the communication tier have recognized that BRSR provides a strategic communication opportunity and have invested in producing filings that are substantively informative and professionally polished. Their disclosures are characterized by: comprehensive Essential indicator coverage with substantial Leadership indicator provision; quantitative data presented with methodological notes and intensity metrics; evidence of genuine materiality assessment connecting stakeholder consultation to disclosure priorities; governance disclosures describing board-level engagement with sustainability strategy; and CSR disclosures that go beyond expenditure reporting to outcome assessment. Communication-tier filings generate real information for investors and stakeholders and represent a significant improvement over compliance-tier practice.</w:t>
      </w:r>
    </w:p>
    <w:p>
      <w:pPr>
        <w:spacing w:after="180" w:before="0" w:line="480"/>
        <w:jc w:val="both"/>
      </w:pPr>
      <w:r>
        <w:rPr>
          <w:rFonts w:ascii="Times New Roman" w:cs="Times New Roman" w:eastAsia="Times New Roman" w:hAnsi="Times New Roman"/>
          <w:b w:val="false"/>
          <w:bCs w:val="false"/>
          <w:i w:val="false"/>
          <w:iCs w:val="false"/>
          <w:sz w:val="24"/>
          <w:szCs w:val="24"/>
        </w:rPr>
        <w:t xml:space="preserve">The limitation of communication-tier disclosure is that it remains primarily retrospective and externally oriented — designed to present the company's sustainability performance in the best defensible light rather than to provide the genuinely candid assessment of performance against targets, gaps, and risks that would constitute substantive accountability. Companies at the communication tier typically select performance metrics that reflect well on their sustainability trajectory, set targets at levels of ambiguity that resist accountability assessment, and present challenges and setbacks — supply chain incidents, environmental regulatory interactions, significant social complaints — through a framing of successful management response rather than transparent acknowledgment of ongoing challenges.</w:t>
      </w:r>
    </w:p>
    <w:p>
      <w:pPr>
        <w:pStyle w:val="Heading2"/>
        <w:spacing w:after="160" w:before="360"/>
      </w:pPr>
      <w:r>
        <w:rPr>
          <w:rFonts w:ascii="Times New Roman" w:cs="Times New Roman" w:eastAsia="Times New Roman" w:hAnsi="Times New Roman"/>
          <w:b/>
          <w:bCs/>
          <w:i/>
          <w:iCs/>
          <w:sz w:val="26"/>
          <w:szCs w:val="26"/>
        </w:rPr>
        <w:t xml:space="preserve">Tier 3: Transformation-Oriented Disclosure</w:t>
      </w:r>
    </w:p>
    <w:p>
      <w:pPr>
        <w:spacing w:after="180" w:before="0" w:line="480"/>
        <w:jc w:val="both"/>
      </w:pPr>
      <w:r>
        <w:rPr>
          <w:rFonts w:ascii="Times New Roman" w:cs="Times New Roman" w:eastAsia="Times New Roman" w:hAnsi="Times New Roman"/>
          <w:b w:val="false"/>
          <w:bCs w:val="false"/>
          <w:i w:val="false"/>
          <w:iCs w:val="false"/>
          <w:sz w:val="24"/>
          <w:szCs w:val="24"/>
        </w:rPr>
        <w:t xml:space="preserve">Companies at the transformation tier have moved beyond BRSR as regulatory compliance or communications strategy to deploy sustainability disclosure as a tool of internal accountability and strategic governance. Their disclosure practice is characterized by: integration of sustainability metrics into management information systems used for operational decision-making; board and executive committee review of sustainability performance against targets with the same rigour applied to financial performance; transparent disclosure of performance gaps and challenges alongside achievements; supply chain due diligence that generates quantitative data on key social and environmental risks rather than relying on policy declarations; and third-party assurance of key sustainability metrics that generates genuine independent verification rather than procedural certification.</w:t>
      </w:r>
    </w:p>
    <w:p>
      <w:pPr>
        <w:spacing w:after="180" w:before="0" w:line="480"/>
        <w:jc w:val="both"/>
      </w:pPr>
      <w:r>
        <w:rPr>
          <w:rFonts w:ascii="Times New Roman" w:cs="Times New Roman" w:eastAsia="Times New Roman" w:hAnsi="Times New Roman"/>
          <w:b w:val="false"/>
          <w:bCs w:val="false"/>
          <w:i w:val="false"/>
          <w:iCs w:val="false"/>
          <w:sz w:val="24"/>
          <w:szCs w:val="24"/>
        </w:rPr>
        <w:t xml:space="preserve">Transformation-tier companies are distinguished most clearly by two features: their BRSR disclosures are consistent with — and derivable from — their internal management systems, rather than constructed primarily for external publication; and their disclosures include information that, on balance, exposes them to accountability pressures that the company's leadership has accepted as the legitimate price of genuine transparency. The number of Indian listed companies that meet this standard in their current BRSR practice is small but growing, and their example demonstrates that transformation-oriented disclosure is achievable within India's current institutional context without waiting for tighter regulatory requirements.</w:t>
      </w:r>
    </w:p>
    <w:p>
      <w:pPr>
        <w:spacing w:line="240"/>
      </w:pPr>
      <w:r>
        <w:t xml:space="preserve"/>
      </w:r>
    </w:p>
    <w:p>
      <w:pPr>
        <w:spacing w:after="60" w:before="120" w:line="280"/>
      </w:pPr>
      <w:r>
        <w:rPr>
          <w:rFonts w:ascii="Times New Roman" w:cs="Times New Roman" w:eastAsia="Times New Roman" w:hAnsi="Times New Roman"/>
          <w:b/>
          <w:bCs/>
          <w:sz w:val="23"/>
          <w:szCs w:val="23"/>
        </w:rPr>
        <w:t xml:space="preserve">Table 2: BRSR Quality Spectrum — Diagnostic Indicators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00"/>
            <w:shd w:fill="1F4E79" w:color="auto" w:val="clear"/>
          </w:tcPr>
          <w:p>
            <w:pPr>
              <w:spacing w:after="80" w:before="80" w:line="280"/>
              <w:jc w:val="center"/>
            </w:pPr>
            <w:r>
              <w:rPr>
                <w:rFonts w:ascii="Times New Roman" w:cs="Times New Roman" w:eastAsia="Times New Roman" w:hAnsi="Times New Roman"/>
                <w:b/>
                <w:bCs/>
                <w:color w:val="FFFFFF"/>
                <w:sz w:val="20"/>
                <w:szCs w:val="20"/>
              </w:rPr>
              <w:t xml:space="preserve">Quality Dimension</w:t>
            </w:r>
          </w:p>
        </w:tc>
        <w:tc>
          <w:tcPr>
            <w:tcW w:type="dxa" w:w="1900"/>
            <w:shd w:fill="1F4E79" w:color="auto" w:val="clear"/>
          </w:tcPr>
          <w:p>
            <w:pPr>
              <w:spacing w:after="80" w:before="80" w:line="280"/>
              <w:jc w:val="center"/>
            </w:pPr>
            <w:r>
              <w:rPr>
                <w:rFonts w:ascii="Times New Roman" w:cs="Times New Roman" w:eastAsia="Times New Roman" w:hAnsi="Times New Roman"/>
                <w:b/>
                <w:bCs/>
                <w:color w:val="FFFFFF"/>
                <w:sz w:val="20"/>
                <w:szCs w:val="20"/>
              </w:rPr>
              <w:t xml:space="preserve">Tier 1: Compliance</w:t>
            </w:r>
          </w:p>
        </w:tc>
        <w:tc>
          <w:tcPr>
            <w:tcW w:type="dxa" w:w="2100"/>
            <w:shd w:fill="1F4E79" w:color="auto" w:val="clear"/>
          </w:tcPr>
          <w:p>
            <w:pPr>
              <w:spacing w:after="80" w:before="80" w:line="280"/>
              <w:jc w:val="center"/>
            </w:pPr>
            <w:r>
              <w:rPr>
                <w:rFonts w:ascii="Times New Roman" w:cs="Times New Roman" w:eastAsia="Times New Roman" w:hAnsi="Times New Roman"/>
                <w:b/>
                <w:bCs/>
                <w:color w:val="FFFFFF"/>
                <w:sz w:val="20"/>
                <w:szCs w:val="20"/>
              </w:rPr>
              <w:t xml:space="preserve">Tier 2: Communication</w:t>
            </w:r>
          </w:p>
        </w:tc>
        <w:tc>
          <w:tcPr>
            <w:tcW w:type="dxa" w:w="3160"/>
            <w:shd w:fill="1F4E79" w:color="auto" w:val="clear"/>
          </w:tcPr>
          <w:p>
            <w:pPr>
              <w:spacing w:after="80" w:before="80" w:line="280"/>
              <w:jc w:val="center"/>
            </w:pPr>
            <w:r>
              <w:rPr>
                <w:rFonts w:ascii="Times New Roman" w:cs="Times New Roman" w:eastAsia="Times New Roman" w:hAnsi="Times New Roman"/>
                <w:b/>
                <w:bCs/>
                <w:color w:val="FFFFFF"/>
                <w:sz w:val="20"/>
                <w:szCs w:val="20"/>
              </w:rPr>
              <w:t xml:space="preserve">Tier 3: Transformation</w:t>
            </w:r>
          </w:p>
        </w:tc>
      </w:tr>
      <w:tr>
        <w:tc>
          <w:tcPr>
            <w:tcW w:type="dxa" w:w="2200"/>
            <w:shd w:fill="E9F0F8" w:color="auto" w:val="clear"/>
          </w:tcPr>
          <w:p>
            <w:pPr>
              <w:spacing w:after="60" w:before="60" w:line="280"/>
              <w:jc w:val="left"/>
            </w:pPr>
            <w:r>
              <w:rPr>
                <w:rFonts w:ascii="Times New Roman" w:cs="Times New Roman" w:eastAsia="Times New Roman" w:hAnsi="Times New Roman"/>
                <w:sz w:val="20"/>
                <w:szCs w:val="20"/>
              </w:rPr>
              <w:t xml:space="preserve">Indicator coverage</w:t>
            </w:r>
          </w:p>
        </w:tc>
        <w:tc>
          <w:tcPr>
            <w:tcW w:type="dxa" w:w="1900"/>
            <w:shd w:fill="E9F0F8" w:color="auto" w:val="clear"/>
          </w:tcPr>
          <w:p>
            <w:pPr>
              <w:spacing w:after="60" w:before="60" w:line="280"/>
              <w:jc w:val="center"/>
            </w:pPr>
            <w:r>
              <w:rPr>
                <w:rFonts w:ascii="Times New Roman" w:cs="Times New Roman" w:eastAsia="Times New Roman" w:hAnsi="Times New Roman"/>
                <w:sz w:val="20"/>
                <w:szCs w:val="20"/>
              </w:rPr>
              <w:t xml:space="preserve">Essential only; selective</w:t>
            </w:r>
          </w:p>
        </w:tc>
        <w:tc>
          <w:tcPr>
            <w:tcW w:type="dxa" w:w="2100"/>
            <w:shd w:fill="E9F0F8" w:color="auto" w:val="clear"/>
          </w:tcPr>
          <w:p>
            <w:pPr>
              <w:spacing w:after="60" w:before="60" w:line="280"/>
              <w:jc w:val="center"/>
            </w:pPr>
            <w:r>
              <w:rPr>
                <w:rFonts w:ascii="Times New Roman" w:cs="Times New Roman" w:eastAsia="Times New Roman" w:hAnsi="Times New Roman"/>
                <w:sz w:val="20"/>
                <w:szCs w:val="20"/>
              </w:rPr>
              <w:t xml:space="preserve">Essential + partial Leadership</w:t>
            </w:r>
          </w:p>
        </w:tc>
        <w:tc>
          <w:tcPr>
            <w:tcW w:type="dxa" w:w="3160"/>
            <w:shd w:fill="E9F0F8" w:color="auto" w:val="clear"/>
          </w:tcPr>
          <w:p>
            <w:pPr>
              <w:spacing w:after="60" w:before="60" w:line="280"/>
              <w:jc w:val="center"/>
            </w:pPr>
            <w:r>
              <w:rPr>
                <w:rFonts w:ascii="Times New Roman" w:cs="Times New Roman" w:eastAsia="Times New Roman" w:hAnsi="Times New Roman"/>
                <w:sz w:val="20"/>
                <w:szCs w:val="20"/>
              </w:rPr>
              <w:t xml:space="preserve">Essential + Leadership + BRSR Core</w:t>
            </w:r>
          </w:p>
        </w:tc>
      </w:tr>
      <w:tr>
        <w:tc>
          <w:tcPr>
            <w:tcW w:type="dxa" w:w="2200"/>
            <w:shd w:fill="FFFFFF" w:color="auto" w:val="clear"/>
          </w:tcPr>
          <w:p>
            <w:pPr>
              <w:spacing w:after="60" w:before="60" w:line="280"/>
              <w:jc w:val="left"/>
            </w:pPr>
            <w:r>
              <w:rPr>
                <w:rFonts w:ascii="Times New Roman" w:cs="Times New Roman" w:eastAsia="Times New Roman" w:hAnsi="Times New Roman"/>
                <w:sz w:val="20"/>
                <w:szCs w:val="20"/>
              </w:rPr>
              <w:t xml:space="preserve">Quantitative quality</w:t>
            </w:r>
          </w:p>
        </w:tc>
        <w:tc>
          <w:tcPr>
            <w:tcW w:type="dxa" w:w="1900"/>
            <w:shd w:fill="FFFFFF" w:color="auto" w:val="clear"/>
          </w:tcPr>
          <w:p>
            <w:pPr>
              <w:spacing w:after="60" w:before="60" w:line="280"/>
              <w:jc w:val="center"/>
            </w:pPr>
            <w:r>
              <w:rPr>
                <w:rFonts w:ascii="Times New Roman" w:cs="Times New Roman" w:eastAsia="Times New Roman" w:hAnsi="Times New Roman"/>
                <w:sz w:val="20"/>
                <w:szCs w:val="20"/>
              </w:rPr>
              <w:t xml:space="preserve">Thin; no intensity metrics</w:t>
            </w:r>
          </w:p>
        </w:tc>
        <w:tc>
          <w:tcPr>
            <w:tcW w:type="dxa" w:w="2100"/>
            <w:shd w:fill="FFFFFF" w:color="auto" w:val="clear"/>
          </w:tcPr>
          <w:p>
            <w:pPr>
              <w:spacing w:after="60" w:before="60" w:line="280"/>
              <w:jc w:val="center"/>
            </w:pPr>
            <w:r>
              <w:rPr>
                <w:rFonts w:ascii="Times New Roman" w:cs="Times New Roman" w:eastAsia="Times New Roman" w:hAnsi="Times New Roman"/>
                <w:sz w:val="20"/>
                <w:szCs w:val="20"/>
              </w:rPr>
              <w:t xml:space="preserve">Quantitative with context</w:t>
            </w:r>
          </w:p>
        </w:tc>
        <w:tc>
          <w:tcPr>
            <w:tcW w:type="dxa" w:w="3160"/>
            <w:shd w:fill="FFFFFF" w:color="auto" w:val="clear"/>
          </w:tcPr>
          <w:p>
            <w:pPr>
              <w:spacing w:after="60" w:before="60" w:line="280"/>
              <w:jc w:val="center"/>
            </w:pPr>
            <w:r>
              <w:rPr>
                <w:rFonts w:ascii="Times New Roman" w:cs="Times New Roman" w:eastAsia="Times New Roman" w:hAnsi="Times New Roman"/>
                <w:sz w:val="20"/>
                <w:szCs w:val="20"/>
              </w:rPr>
              <w:t xml:space="preserve">Assured; intensity &amp; targets</w:t>
            </w:r>
          </w:p>
        </w:tc>
      </w:tr>
      <w:tr>
        <w:tc>
          <w:tcPr>
            <w:tcW w:type="dxa" w:w="2200"/>
            <w:shd w:fill="E9F0F8" w:color="auto" w:val="clear"/>
          </w:tcPr>
          <w:p>
            <w:pPr>
              <w:spacing w:after="60" w:before="60" w:line="280"/>
              <w:jc w:val="left"/>
            </w:pPr>
            <w:r>
              <w:rPr>
                <w:rFonts w:ascii="Times New Roman" w:cs="Times New Roman" w:eastAsia="Times New Roman" w:hAnsi="Times New Roman"/>
                <w:sz w:val="20"/>
                <w:szCs w:val="20"/>
              </w:rPr>
              <w:t xml:space="preserve">Materiality process</w:t>
            </w:r>
          </w:p>
        </w:tc>
        <w:tc>
          <w:tcPr>
            <w:tcW w:type="dxa" w:w="1900"/>
            <w:shd w:fill="E9F0F8" w:color="auto" w:val="clear"/>
          </w:tcPr>
          <w:p>
            <w:pPr>
              <w:spacing w:after="60" w:before="60" w:line="280"/>
              <w:jc w:val="center"/>
            </w:pPr>
            <w:r>
              <w:rPr>
                <w:rFonts w:ascii="Times New Roman" w:cs="Times New Roman" w:eastAsia="Times New Roman" w:hAnsi="Times New Roman"/>
                <w:sz w:val="20"/>
                <w:szCs w:val="20"/>
              </w:rPr>
              <w:t xml:space="preserve">Boilerplate list</w:t>
            </w:r>
          </w:p>
        </w:tc>
        <w:tc>
          <w:tcPr>
            <w:tcW w:type="dxa" w:w="2100"/>
            <w:shd w:fill="E9F0F8" w:color="auto" w:val="clear"/>
          </w:tcPr>
          <w:p>
            <w:pPr>
              <w:spacing w:after="60" w:before="60" w:line="280"/>
              <w:jc w:val="center"/>
            </w:pPr>
            <w:r>
              <w:rPr>
                <w:rFonts w:ascii="Times New Roman" w:cs="Times New Roman" w:eastAsia="Times New Roman" w:hAnsi="Times New Roman"/>
                <w:sz w:val="20"/>
                <w:szCs w:val="20"/>
              </w:rPr>
              <w:t xml:space="preserve">Documented engagement</w:t>
            </w:r>
          </w:p>
        </w:tc>
        <w:tc>
          <w:tcPr>
            <w:tcW w:type="dxa" w:w="3160"/>
            <w:shd w:fill="E9F0F8" w:color="auto" w:val="clear"/>
          </w:tcPr>
          <w:p>
            <w:pPr>
              <w:spacing w:after="60" w:before="60" w:line="280"/>
              <w:jc w:val="center"/>
            </w:pPr>
            <w:r>
              <w:rPr>
                <w:rFonts w:ascii="Times New Roman" w:cs="Times New Roman" w:eastAsia="Times New Roman" w:hAnsi="Times New Roman"/>
                <w:sz w:val="20"/>
                <w:szCs w:val="20"/>
              </w:rPr>
              <w:t xml:space="preserve">Integrated into strategy</w:t>
            </w:r>
          </w:p>
        </w:tc>
      </w:tr>
      <w:tr>
        <w:tc>
          <w:tcPr>
            <w:tcW w:type="dxa" w:w="2200"/>
            <w:shd w:fill="FFFFFF" w:color="auto" w:val="clear"/>
          </w:tcPr>
          <w:p>
            <w:pPr>
              <w:spacing w:after="60" w:before="60" w:line="280"/>
              <w:jc w:val="left"/>
            </w:pPr>
            <w:r>
              <w:rPr>
                <w:rFonts w:ascii="Times New Roman" w:cs="Times New Roman" w:eastAsia="Times New Roman" w:hAnsi="Times New Roman"/>
                <w:sz w:val="20"/>
                <w:szCs w:val="20"/>
              </w:rPr>
              <w:t xml:space="preserve">Governance integration</w:t>
            </w:r>
          </w:p>
        </w:tc>
        <w:tc>
          <w:tcPr>
            <w:tcW w:type="dxa" w:w="1900"/>
            <w:shd w:fill="FFFFFF" w:color="auto" w:val="clear"/>
          </w:tcPr>
          <w:p>
            <w:pPr>
              <w:spacing w:after="60" w:before="60" w:line="280"/>
              <w:jc w:val="center"/>
            </w:pPr>
            <w:r>
              <w:rPr>
                <w:rFonts w:ascii="Times New Roman" w:cs="Times New Roman" w:eastAsia="Times New Roman" w:hAnsi="Times New Roman"/>
                <w:sz w:val="20"/>
                <w:szCs w:val="20"/>
              </w:rPr>
              <w:t xml:space="preserve">Structural description</w:t>
            </w:r>
          </w:p>
        </w:tc>
        <w:tc>
          <w:tcPr>
            <w:tcW w:type="dxa" w:w="2100"/>
            <w:shd w:fill="FFFFFF" w:color="auto" w:val="clear"/>
          </w:tcPr>
          <w:p>
            <w:pPr>
              <w:spacing w:after="60" w:before="60" w:line="280"/>
              <w:jc w:val="center"/>
            </w:pPr>
            <w:r>
              <w:rPr>
                <w:rFonts w:ascii="Times New Roman" w:cs="Times New Roman" w:eastAsia="Times New Roman" w:hAnsi="Times New Roman"/>
                <w:sz w:val="20"/>
                <w:szCs w:val="20"/>
              </w:rPr>
              <w:t xml:space="preserve">Board oversight described</w:t>
            </w:r>
          </w:p>
        </w:tc>
        <w:tc>
          <w:tcPr>
            <w:tcW w:type="dxa" w:w="3160"/>
            <w:shd w:fill="FFFFFF" w:color="auto" w:val="clear"/>
          </w:tcPr>
          <w:p>
            <w:pPr>
              <w:spacing w:after="60" w:before="60" w:line="280"/>
              <w:jc w:val="center"/>
            </w:pPr>
            <w:r>
              <w:rPr>
                <w:rFonts w:ascii="Times New Roman" w:cs="Times New Roman" w:eastAsia="Times New Roman" w:hAnsi="Times New Roman"/>
                <w:sz w:val="20"/>
                <w:szCs w:val="20"/>
              </w:rPr>
              <w:t xml:space="preserve">Pay linkage + MIS integration</w:t>
            </w:r>
          </w:p>
        </w:tc>
      </w:tr>
      <w:tr>
        <w:tc>
          <w:tcPr>
            <w:tcW w:type="dxa" w:w="2200"/>
            <w:shd w:fill="E9F0F8" w:color="auto" w:val="clear"/>
          </w:tcPr>
          <w:p>
            <w:pPr>
              <w:spacing w:after="60" w:before="60" w:line="280"/>
              <w:jc w:val="left"/>
            </w:pPr>
            <w:r>
              <w:rPr>
                <w:rFonts w:ascii="Times New Roman" w:cs="Times New Roman" w:eastAsia="Times New Roman" w:hAnsi="Times New Roman"/>
                <w:sz w:val="20"/>
                <w:szCs w:val="20"/>
              </w:rPr>
              <w:t xml:space="preserve">Supply chain</w:t>
            </w:r>
          </w:p>
        </w:tc>
        <w:tc>
          <w:tcPr>
            <w:tcW w:type="dxa" w:w="1900"/>
            <w:shd w:fill="E9F0F8" w:color="auto" w:val="clear"/>
          </w:tcPr>
          <w:p>
            <w:pPr>
              <w:spacing w:after="60" w:before="60" w:line="280"/>
              <w:jc w:val="center"/>
            </w:pPr>
            <w:r>
              <w:rPr>
                <w:rFonts w:ascii="Times New Roman" w:cs="Times New Roman" w:eastAsia="Times New Roman" w:hAnsi="Times New Roman"/>
                <w:sz w:val="20"/>
                <w:szCs w:val="20"/>
              </w:rPr>
              <w:t xml:space="preserve">Policy statement only</w:t>
            </w:r>
          </w:p>
        </w:tc>
        <w:tc>
          <w:tcPr>
            <w:tcW w:type="dxa" w:w="2100"/>
            <w:shd w:fill="E9F0F8" w:color="auto" w:val="clear"/>
          </w:tcPr>
          <w:p>
            <w:pPr>
              <w:spacing w:after="60" w:before="60" w:line="280"/>
              <w:jc w:val="center"/>
            </w:pPr>
            <w:r>
              <w:rPr>
                <w:rFonts w:ascii="Times New Roman" w:cs="Times New Roman" w:eastAsia="Times New Roman" w:hAnsi="Times New Roman"/>
                <w:sz w:val="20"/>
                <w:szCs w:val="20"/>
              </w:rPr>
              <w:t xml:space="preserve">Some supplier assessments</w:t>
            </w:r>
          </w:p>
        </w:tc>
        <w:tc>
          <w:tcPr>
            <w:tcW w:type="dxa" w:w="3160"/>
            <w:shd w:fill="E9F0F8" w:color="auto" w:val="clear"/>
          </w:tcPr>
          <w:p>
            <w:pPr>
              <w:spacing w:after="60" w:before="60" w:line="280"/>
              <w:jc w:val="center"/>
            </w:pPr>
            <w:r>
              <w:rPr>
                <w:rFonts w:ascii="Times New Roman" w:cs="Times New Roman" w:eastAsia="Times New Roman" w:hAnsi="Times New Roman"/>
                <w:sz w:val="20"/>
                <w:szCs w:val="20"/>
              </w:rPr>
              <w:t xml:space="preserve">Quantified due diligence</w:t>
            </w:r>
          </w:p>
        </w:tc>
      </w:tr>
      <w:tr>
        <w:tc>
          <w:tcPr>
            <w:tcW w:type="dxa" w:w="2200"/>
            <w:shd w:fill="FFFFFF" w:color="auto" w:val="clear"/>
          </w:tcPr>
          <w:p>
            <w:pPr>
              <w:spacing w:after="60" w:before="60" w:line="280"/>
              <w:jc w:val="left"/>
            </w:pPr>
            <w:r>
              <w:rPr>
                <w:rFonts w:ascii="Times New Roman" w:cs="Times New Roman" w:eastAsia="Times New Roman" w:hAnsi="Times New Roman"/>
                <w:sz w:val="20"/>
                <w:szCs w:val="20"/>
              </w:rPr>
              <w:t xml:space="preserve">GHG scope</w:t>
            </w:r>
          </w:p>
        </w:tc>
        <w:tc>
          <w:tcPr>
            <w:tcW w:type="dxa" w:w="1900"/>
            <w:shd w:fill="FFFFFF" w:color="auto" w:val="clear"/>
          </w:tcPr>
          <w:p>
            <w:pPr>
              <w:spacing w:after="60" w:before="60" w:line="280"/>
              <w:jc w:val="center"/>
            </w:pPr>
            <w:r>
              <w:rPr>
                <w:rFonts w:ascii="Times New Roman" w:cs="Times New Roman" w:eastAsia="Times New Roman" w:hAnsi="Times New Roman"/>
                <w:sz w:val="20"/>
                <w:szCs w:val="20"/>
              </w:rPr>
              <w:t xml:space="preserve">Scope 1 &amp; 2 only</w:t>
            </w:r>
          </w:p>
        </w:tc>
        <w:tc>
          <w:tcPr>
            <w:tcW w:type="dxa" w:w="2100"/>
            <w:shd w:fill="FFFFFF" w:color="auto" w:val="clear"/>
          </w:tcPr>
          <w:p>
            <w:pPr>
              <w:spacing w:after="60" w:before="60" w:line="280"/>
              <w:jc w:val="center"/>
            </w:pPr>
            <w:r>
              <w:rPr>
                <w:rFonts w:ascii="Times New Roman" w:cs="Times New Roman" w:eastAsia="Times New Roman" w:hAnsi="Times New Roman"/>
                <w:sz w:val="20"/>
                <w:szCs w:val="20"/>
              </w:rPr>
              <w:t xml:space="preserve">Scope 1, 2 + partial 3</w:t>
            </w:r>
          </w:p>
        </w:tc>
        <w:tc>
          <w:tcPr>
            <w:tcW w:type="dxa" w:w="3160"/>
            <w:shd w:fill="FFFFFF" w:color="auto" w:val="clear"/>
          </w:tcPr>
          <w:p>
            <w:pPr>
              <w:spacing w:after="60" w:before="60" w:line="280"/>
              <w:jc w:val="center"/>
            </w:pPr>
            <w:r>
              <w:rPr>
                <w:rFonts w:ascii="Times New Roman" w:cs="Times New Roman" w:eastAsia="Times New Roman" w:hAnsi="Times New Roman"/>
                <w:sz w:val="20"/>
                <w:szCs w:val="20"/>
              </w:rPr>
              <w:t xml:space="preserve">Full Scope 1, 2 &amp; 3 + TCFD</w:t>
            </w:r>
          </w:p>
        </w:tc>
      </w:tr>
      <w:tr>
        <w:tc>
          <w:tcPr>
            <w:tcW w:type="dxa" w:w="2200"/>
            <w:shd w:fill="E9F0F8" w:color="auto" w:val="clear"/>
          </w:tcPr>
          <w:p>
            <w:pPr>
              <w:spacing w:after="60" w:before="60" w:line="280"/>
              <w:jc w:val="left"/>
            </w:pPr>
            <w:r>
              <w:rPr>
                <w:rFonts w:ascii="Times New Roman" w:cs="Times New Roman" w:eastAsia="Times New Roman" w:hAnsi="Times New Roman"/>
                <w:sz w:val="20"/>
                <w:szCs w:val="20"/>
              </w:rPr>
              <w:t xml:space="preserve">Assurance status</w:t>
            </w:r>
          </w:p>
        </w:tc>
        <w:tc>
          <w:tcPr>
            <w:tcW w:type="dxa" w:w="1900"/>
            <w:shd w:fill="E9F0F8" w:color="auto" w:val="clear"/>
          </w:tcPr>
          <w:p>
            <w:pPr>
              <w:spacing w:after="60" w:before="60" w:line="280"/>
              <w:jc w:val="center"/>
            </w:pPr>
            <w:r>
              <w:rPr>
                <w:rFonts w:ascii="Times New Roman" w:cs="Times New Roman" w:eastAsia="Times New Roman" w:hAnsi="Times New Roman"/>
                <w:sz w:val="20"/>
                <w:szCs w:val="20"/>
              </w:rPr>
              <w:t xml:space="preserve">None or self-declared</w:t>
            </w:r>
          </w:p>
        </w:tc>
        <w:tc>
          <w:tcPr>
            <w:tcW w:type="dxa" w:w="2100"/>
            <w:shd w:fill="E9F0F8" w:color="auto" w:val="clear"/>
          </w:tcPr>
          <w:p>
            <w:pPr>
              <w:spacing w:after="60" w:before="60" w:line="280"/>
              <w:jc w:val="center"/>
            </w:pPr>
            <w:r>
              <w:rPr>
                <w:rFonts w:ascii="Times New Roman" w:cs="Times New Roman" w:eastAsia="Times New Roman" w:hAnsi="Times New Roman"/>
                <w:sz w:val="20"/>
                <w:szCs w:val="20"/>
              </w:rPr>
              <w:t xml:space="preserve">Limited assurance (selected)</w:t>
            </w:r>
          </w:p>
        </w:tc>
        <w:tc>
          <w:tcPr>
            <w:tcW w:type="dxa" w:w="3160"/>
            <w:shd w:fill="E9F0F8" w:color="auto" w:val="clear"/>
          </w:tcPr>
          <w:p>
            <w:pPr>
              <w:spacing w:after="60" w:before="60" w:line="280"/>
              <w:jc w:val="center"/>
            </w:pPr>
            <w:r>
              <w:rPr>
                <w:rFonts w:ascii="Times New Roman" w:cs="Times New Roman" w:eastAsia="Times New Roman" w:hAnsi="Times New Roman"/>
                <w:sz w:val="20"/>
                <w:szCs w:val="20"/>
              </w:rPr>
              <w:t xml:space="preserve">Reasonable assurance (BRSR Core)</w:t>
            </w:r>
          </w:p>
        </w:tc>
      </w:tr>
      <w:tr>
        <w:tc>
          <w:tcPr>
            <w:tcW w:type="dxa" w:w="2200"/>
            <w:shd w:fill="FFFFFF" w:color="auto" w:val="clear"/>
          </w:tcPr>
          <w:p>
            <w:pPr>
              <w:spacing w:after="60" w:before="60" w:line="280"/>
              <w:jc w:val="left"/>
            </w:pPr>
            <w:r>
              <w:rPr>
                <w:rFonts w:ascii="Times New Roman" w:cs="Times New Roman" w:eastAsia="Times New Roman" w:hAnsi="Times New Roman"/>
                <w:sz w:val="20"/>
                <w:szCs w:val="20"/>
              </w:rPr>
              <w:t xml:space="preserve">Target transparency</w:t>
            </w:r>
          </w:p>
        </w:tc>
        <w:tc>
          <w:tcPr>
            <w:tcW w:type="dxa" w:w="1900"/>
            <w:shd w:fill="FFFFFF" w:color="auto" w:val="clear"/>
          </w:tcPr>
          <w:p>
            <w:pPr>
              <w:spacing w:after="60" w:before="60" w:line="280"/>
              <w:jc w:val="center"/>
            </w:pPr>
            <w:r>
              <w:rPr>
                <w:rFonts w:ascii="Times New Roman" w:cs="Times New Roman" w:eastAsia="Times New Roman" w:hAnsi="Times New Roman"/>
                <w:sz w:val="20"/>
                <w:szCs w:val="20"/>
              </w:rPr>
              <w:t xml:space="preserve">Vague aspirations</w:t>
            </w:r>
          </w:p>
        </w:tc>
        <w:tc>
          <w:tcPr>
            <w:tcW w:type="dxa" w:w="2100"/>
            <w:shd w:fill="FFFFFF" w:color="auto" w:val="clear"/>
          </w:tcPr>
          <w:p>
            <w:pPr>
              <w:spacing w:after="60" w:before="60" w:line="280"/>
              <w:jc w:val="center"/>
            </w:pPr>
            <w:r>
              <w:rPr>
                <w:rFonts w:ascii="Times New Roman" w:cs="Times New Roman" w:eastAsia="Times New Roman" w:hAnsi="Times New Roman"/>
                <w:sz w:val="20"/>
                <w:szCs w:val="20"/>
              </w:rPr>
              <w:t xml:space="preserve">Time-bound but high-level</w:t>
            </w:r>
          </w:p>
        </w:tc>
        <w:tc>
          <w:tcPr>
            <w:tcW w:type="dxa" w:w="3160"/>
            <w:shd w:fill="FFFFFF" w:color="auto" w:val="clear"/>
          </w:tcPr>
          <w:p>
            <w:pPr>
              <w:spacing w:after="60" w:before="60" w:line="280"/>
              <w:jc w:val="center"/>
            </w:pPr>
            <w:r>
              <w:rPr>
                <w:rFonts w:ascii="Times New Roman" w:cs="Times New Roman" w:eastAsia="Times New Roman" w:hAnsi="Times New Roman"/>
                <w:sz w:val="20"/>
                <w:szCs w:val="20"/>
              </w:rPr>
              <w:t xml:space="preserve">SMART; gap analysis disclosed</w:t>
            </w:r>
          </w:p>
        </w:tc>
      </w:tr>
    </w:tbl>
    <w:p>
      <w:pPr>
        <w:spacing w:after="180" w:before="60" w:line="280"/>
      </w:pPr>
      <w:r>
        <w:rPr>
          <w:rFonts w:ascii="Times New Roman" w:cs="Times New Roman" w:eastAsia="Times New Roman" w:hAnsi="Times New Roman"/>
          <w:i/>
          <w:iCs/>
          <w:sz w:val="20"/>
          <w:szCs w:val="20"/>
        </w:rPr>
        <w:t xml:space="preserve">Source: Author's analytical framework developed from SEBI BRSR guidelines, GRI Standards, and analysis of Nifty 500 BRSR filings (FY 2022–23 and FY 2023–24).</w:t>
      </w:r>
    </w:p>
    <w:p>
      <w:pPr>
        <w:spacing w:line="240"/>
      </w:pPr>
      <w:r>
        <w:t xml:space="preserve"/>
      </w:r>
    </w:p>
    <w:p>
      <w:pPr>
        <w:pStyle w:val="Heading1"/>
        <w:spacing w:after="220" w:before="520"/>
      </w:pPr>
      <w:r>
        <w:rPr>
          <w:rFonts w:ascii="Times New Roman" w:cs="Times New Roman" w:eastAsia="Times New Roman" w:hAnsi="Times New Roman"/>
          <w:b/>
          <w:bCs/>
          <w:caps/>
          <w:sz w:val="28"/>
          <w:szCs w:val="28"/>
        </w:rPr>
        <w:t xml:space="preserve">V. Five Strategic Recommendations for Corporate Leaders</w:t>
      </w:r>
    </w:p>
    <w:p>
      <w:pPr>
        <w:spacing w:after="180" w:before="0" w:line="480"/>
        <w:jc w:val="both"/>
      </w:pPr>
      <w:r>
        <w:rPr>
          <w:rFonts w:ascii="Times New Roman" w:cs="Times New Roman" w:eastAsia="Times New Roman" w:hAnsi="Times New Roman"/>
          <w:b w:val="false"/>
          <w:bCs w:val="false"/>
          <w:i w:val="false"/>
          <w:iCs w:val="false"/>
          <w:sz w:val="24"/>
          <w:szCs w:val="24"/>
        </w:rPr>
        <w:t xml:space="preserve">The analytical framework developed in Sections III and IV generates specific, actionable recommendations for corporate leaders navigating the transition from compliance-oriented to transformation-oriented BRSR practice. These recommendations are not simply prescriptions for more disclosure; they are strategic guidance for building the internal capabilities, governance structures, and stakeholder relationships that make high-quality disclosure sustainable and valuable over time.</w:t>
      </w:r>
    </w:p>
    <w:p>
      <w:pPr>
        <w:pStyle w:val="Heading2"/>
        <w:spacing w:after="160" w:before="360"/>
      </w:pPr>
      <w:r>
        <w:rPr>
          <w:rFonts w:ascii="Times New Roman" w:cs="Times New Roman" w:eastAsia="Times New Roman" w:hAnsi="Times New Roman"/>
          <w:b/>
          <w:bCs/>
          <w:i/>
          <w:iCs/>
          <w:sz w:val="26"/>
          <w:szCs w:val="26"/>
        </w:rPr>
        <w:t xml:space="preserve">Recommendation 1: Invest in the Data Before the Document</w:t>
      </w:r>
    </w:p>
    <w:p>
      <w:pPr>
        <w:spacing w:after="180" w:before="0" w:line="480"/>
        <w:jc w:val="both"/>
      </w:pPr>
      <w:r>
        <w:rPr>
          <w:rFonts w:ascii="Times New Roman" w:cs="Times New Roman" w:eastAsia="Times New Roman" w:hAnsi="Times New Roman"/>
          <w:b w:val="false"/>
          <w:bCs w:val="false"/>
          <w:i w:val="false"/>
          <w:iCs w:val="false"/>
          <w:sz w:val="24"/>
          <w:szCs w:val="24"/>
        </w:rPr>
        <w:t xml:space="preserve">The single most important determinant of BRSR quality is the quality of the internal sustainability data collection and management systems on which disclosure is based. Companies that attempt to produce high-quality BRSR disclosures without first investing in the systems that generate reliable, verifiable, and consistently measured sustainability data will face an impossible trade-off between disclosure quality and the cost of retrospective data construction. The sequence must be inverted: invest in building sustainability data infrastructure — automated meter-reading for energy and water, integrated waste tracking systems, HR information systems that can disaggregate workforce data by the categories BRSR requires, supply chain management systems capable of capturing supplier environmental and social data — before attempting to produce best-in-class BRSR disclosures.</w:t>
      </w:r>
    </w:p>
    <w:p>
      <w:pPr>
        <w:spacing w:after="180" w:before="0" w:line="480"/>
        <w:jc w:val="both"/>
      </w:pPr>
      <w:r>
        <w:rPr>
          <w:rFonts w:ascii="Times New Roman" w:cs="Times New Roman" w:eastAsia="Times New Roman" w:hAnsi="Times New Roman"/>
          <w:b w:val="false"/>
          <w:bCs w:val="false"/>
          <w:i w:val="false"/>
          <w:iCs w:val="false"/>
          <w:sz w:val="24"/>
          <w:szCs w:val="24"/>
        </w:rPr>
        <w:t xml:space="preserve">The business case for this investment extends beyond BRSR compliance. Accurate energy and resource consumption data is the foundation for energy efficiency programs that generate direct cost savings. Reliable workforce data is the foundation for human capital analytics that support strategic talent management. Supply chain sustainability data is increasingly a prerequisite for maintaining access to European and other markets subject to mandatory supply chain due diligence legislation. The sustainability data infrastructure built for BRSR generates value across multiple functions that individually justify substantial portions of the required investment, making the total cost of the investment considerably lower than a compliance-only framing would suggest.</w:t>
      </w:r>
    </w:p>
    <w:p>
      <w:pPr>
        <w:pStyle w:val="Heading2"/>
        <w:spacing w:after="160" w:before="360"/>
      </w:pPr>
      <w:r>
        <w:rPr>
          <w:rFonts w:ascii="Times New Roman" w:cs="Times New Roman" w:eastAsia="Times New Roman" w:hAnsi="Times New Roman"/>
          <w:b/>
          <w:bCs/>
          <w:i/>
          <w:iCs/>
          <w:sz w:val="26"/>
          <w:szCs w:val="26"/>
        </w:rPr>
        <w:t xml:space="preserve">Recommendation 2: Treat Materiality as a Strategic Exercise, Not a Reporting Ritual</w:t>
      </w:r>
    </w:p>
    <w:p>
      <w:pPr>
        <w:spacing w:after="180" w:before="0" w:line="480"/>
        <w:jc w:val="both"/>
      </w:pPr>
      <w:r>
        <w:rPr>
          <w:rFonts w:ascii="Times New Roman" w:cs="Times New Roman" w:eastAsia="Times New Roman" w:hAnsi="Times New Roman"/>
          <w:b w:val="false"/>
          <w:bCs w:val="false"/>
          <w:i w:val="false"/>
          <w:iCs w:val="false"/>
          <w:sz w:val="24"/>
          <w:szCs w:val="24"/>
        </w:rPr>
        <w:t xml:space="preserve">Materiality assessment, done seriously, is one of the most strategically valuable exercises that a leadership team can undertake — a structured process for identifying the sustainability issues that pose the greatest risks and opportunities for the company's long-term value creation. Done poorly — as a biennial survey of investors and employees followed by the listing of generic ESG topics — it is a reporting ritual that consumes resources and generates no strategic insight. Companies seeking to transition toward transformation-oriented BRSR practice should redesign their materiality processes to generate genuine strategic intelligence: engaging specifically with the company's highest-impact stakeholder groups (not merely the most accessible); using quantitative methods to assess the financial materiality of identified sustainability risks; and connecting materiality outcomes explicitly to strategy, capital allocation, and disclosure prioritization decisions.</w:t>
      </w:r>
    </w:p>
    <w:p>
      <w:pPr>
        <w:spacing w:after="180" w:before="0" w:line="480"/>
        <w:jc w:val="both"/>
      </w:pPr>
      <w:r>
        <w:rPr>
          <w:rFonts w:ascii="Times New Roman" w:cs="Times New Roman" w:eastAsia="Times New Roman" w:hAnsi="Times New Roman"/>
          <w:b w:val="false"/>
          <w:bCs w:val="false"/>
          <w:i w:val="false"/>
          <w:iCs w:val="false"/>
          <w:sz w:val="24"/>
          <w:szCs w:val="24"/>
        </w:rPr>
        <w:t xml:space="preserve">The dual materiality framework — which assesses both the financial materiality of sustainability issues to the company and the impact materiality of the company's activities on the environment and society — is becoming the global standard through CSRD/ESRS in Europe and is directionally consistent with BRSR's multi-stakeholder ambition. Indian companies that build genuine dual materiality capabilities now will be better positioned for the convergence between BRSR and ISSB standards that SEBI has signalled as a medium-term objective, and will find the incremental cost of future disclosure upgrades substantially lower than companies that continue to treat materiality as a reporting procedure rather than a strategic tool.</w:t>
      </w:r>
    </w:p>
    <w:p>
      <w:pPr>
        <w:pStyle w:val="Heading2"/>
        <w:spacing w:after="160" w:before="360"/>
      </w:pPr>
      <w:r>
        <w:rPr>
          <w:rFonts w:ascii="Times New Roman" w:cs="Times New Roman" w:eastAsia="Times New Roman" w:hAnsi="Times New Roman"/>
          <w:b/>
          <w:bCs/>
          <w:i/>
          <w:iCs/>
          <w:sz w:val="26"/>
          <w:szCs w:val="26"/>
        </w:rPr>
        <w:t xml:space="preserve">Recommendation 3: Anchor Sustainability Accountability in Board-Level Governance</w:t>
      </w:r>
    </w:p>
    <w:p>
      <w:pPr>
        <w:spacing w:after="180" w:before="0" w:line="480"/>
        <w:jc w:val="both"/>
      </w:pPr>
      <w:r>
        <w:rPr>
          <w:rFonts w:ascii="Times New Roman" w:cs="Times New Roman" w:eastAsia="Times New Roman" w:hAnsi="Times New Roman"/>
          <w:b w:val="false"/>
          <w:bCs w:val="false"/>
          <w:i w:val="false"/>
          <w:iCs w:val="false"/>
          <w:sz w:val="24"/>
          <w:szCs w:val="24"/>
        </w:rPr>
        <w:t xml:space="preserve">The most reliable predictor of sustained improvement in corporate sustainability performance — as opposed to cyclical variation in disclosure quality — is the extent to which sustainability accountability is genuinely embedded in the board's strategic oversight and in executive incentive structures. The board's role in sustainability governance is not to manage sustainability programs operationally; it is to set the company's sustainability ambition, review performance against targets with the same rigour applied to financial performance, and hold the executive team accountable for the quality of sustainability management and disclosure. This requires three specific governance investments that most Indian boards have not yet made: dedicated board or committee time for substantive sustainability strategy review (not merely approval of CSR programs or review of BRSR filings); access to independent sustainability expertise at board level; and explicit linkage between senior executive performance evaluation and sustainability performance against pre-specified, measurable targets.</w:t>
      </w:r>
    </w:p>
    <w:p>
      <w:pPr>
        <w:spacing w:after="180" w:before="0" w:line="480"/>
        <w:jc w:val="both"/>
      </w:pPr>
      <w:r>
        <w:rPr>
          <w:rFonts w:ascii="Times New Roman" w:cs="Times New Roman" w:eastAsia="Times New Roman" w:hAnsi="Times New Roman"/>
          <w:b w:val="false"/>
          <w:bCs w:val="false"/>
          <w:i w:val="false"/>
          <w:iCs w:val="false"/>
          <w:sz w:val="24"/>
          <w:szCs w:val="24"/>
        </w:rPr>
        <w:t xml:space="preserve">The argument for executive pay linkage to sustainability performance is grounded in well-established agency theory [CITE NEEDED: agency theory and sustainability incentives], but its implementation in India faces specific institutional challenges. Promoter-dominated governance structures in many Indian listed companies create agency dynamics that differ from the shareholder-dispersed structures of Western institutional contexts; independent director engagement with sustainability strategy has been limited by time constraints, information asymmetries, and the still-nascent development of sustainability governance as a recognized board expertise in the Indian market. Companies serious about board-level sustainability accountability must therefore invest not only in governance structure but in the sustainability literacy and engagement of their boards — through structured education programs, external sustainability advisors, and board-level peer learning.</w:t>
      </w:r>
    </w:p>
    <w:p>
      <w:pPr>
        <w:pStyle w:val="Heading2"/>
        <w:spacing w:after="160" w:before="360"/>
      </w:pPr>
      <w:r>
        <w:rPr>
          <w:rFonts w:ascii="Times New Roman" w:cs="Times New Roman" w:eastAsia="Times New Roman" w:hAnsi="Times New Roman"/>
          <w:b/>
          <w:bCs/>
          <w:i/>
          <w:iCs/>
          <w:sz w:val="26"/>
          <w:szCs w:val="26"/>
        </w:rPr>
        <w:t xml:space="preserve">Recommendation 4: Build the Supply Chain Transparency Capability Now</w:t>
      </w:r>
    </w:p>
    <w:p>
      <w:pPr>
        <w:spacing w:after="180" w:before="0" w:line="480"/>
        <w:jc w:val="both"/>
      </w:pPr>
      <w:r>
        <w:rPr>
          <w:rFonts w:ascii="Times New Roman" w:cs="Times New Roman" w:eastAsia="Times New Roman" w:hAnsi="Times New Roman"/>
          <w:b w:val="false"/>
          <w:bCs w:val="false"/>
          <w:i w:val="false"/>
          <w:iCs w:val="false"/>
          <w:sz w:val="24"/>
          <w:szCs w:val="24"/>
        </w:rPr>
        <w:t xml:space="preserve">India's export-oriented companies are facing an accelerating external pressure for supply chain sustainability transparency whose full force has not yet arrived at the corporate board level. The EU Corporate Sustainability Due Diligence Directive (CSDDD), fully applicable from 2027, will require European companies of a certain scale to conduct human rights and environmental due diligence across their value chains — including their Indian suppliers. The EU Deforestation Regulation, effective from 2025, will require evidence of deforestation-free supply chains for key commodities. The Carbon Border Adjustment Mechanism will progressively extend to manufactured goods. And international institutional investors are increasingly using supply chain labor and environmental risk as a screen in emerging market equity allocation. The companies that will bear the competitive cost of inadequate supply chain sustainability capability are not primarily those that face direct regulatory exposure; they are the Indian suppliers and manufacturers whose market access to European and international buyers will be contingent on demonstrating supply chain sustainability practices that meet internationally credible standards.</w:t>
      </w:r>
    </w:p>
    <w:p>
      <w:pPr>
        <w:spacing w:after="180" w:before="0" w:line="480"/>
        <w:jc w:val="both"/>
      </w:pPr>
      <w:r>
        <w:rPr>
          <w:rFonts w:ascii="Times New Roman" w:cs="Times New Roman" w:eastAsia="Times New Roman" w:hAnsi="Times New Roman"/>
          <w:b w:val="false"/>
          <w:bCs w:val="false"/>
          <w:i w:val="false"/>
          <w:iCs w:val="false"/>
          <w:sz w:val="24"/>
          <w:szCs w:val="24"/>
        </w:rPr>
        <w:t xml:space="preserve">The strategic recommendation is not to wait for BRSR requirements on supply chain to tighten before building the capability; it is to recognize that supply chain sustainability transparency is becoming a market-access requirement for internationally engaged companies and to invest in the supplier engagement, monitoring, and development programs that generate genuine data on supply chain conditions. This requires moving beyond supplier code of conduct declarations toward structured supplier assessments, Tier 2 mapping for high-risk categories, and engagement programs that build supplier capability alongside accountability — an approach that reflects the relational governance model of sustainable supply chains rather than the audit-and-exit model that has demonstrably failed to generate sustained supply chain improvement in global consumer industries.</w:t>
      </w:r>
    </w:p>
    <w:p>
      <w:pPr>
        <w:pStyle w:val="Heading2"/>
        <w:spacing w:after="160" w:before="360"/>
      </w:pPr>
      <w:r>
        <w:rPr>
          <w:rFonts w:ascii="Times New Roman" w:cs="Times New Roman" w:eastAsia="Times New Roman" w:hAnsi="Times New Roman"/>
          <w:b/>
          <w:bCs/>
          <w:i/>
          <w:iCs/>
          <w:sz w:val="26"/>
          <w:szCs w:val="26"/>
        </w:rPr>
        <w:t xml:space="preserve">Recommendation 5: Pursue Third-Party Assurance as a Strategic Investment, Not a Compliance Cost</w:t>
      </w:r>
    </w:p>
    <w:p>
      <w:pPr>
        <w:spacing w:after="180" w:before="0" w:line="480"/>
        <w:jc w:val="both"/>
      </w:pPr>
      <w:r>
        <w:rPr>
          <w:rFonts w:ascii="Times New Roman" w:cs="Times New Roman" w:eastAsia="Times New Roman" w:hAnsi="Times New Roman"/>
          <w:b w:val="false"/>
          <w:bCs w:val="false"/>
          <w:i w:val="false"/>
          <w:iCs w:val="false"/>
          <w:sz w:val="24"/>
          <w:szCs w:val="24"/>
        </w:rPr>
        <w:t xml:space="preserve">Third-party assurance of sustainability disclosures serves three distinct functions that are frequently conflated in corporate discussions of its value. The regulatory function — which SEBI is progressively mandating through the BRSR Core assurance requirements — establishes that key sustainability metrics have been subject to independent verification, increasing their credibility with investors and regulators. The organizational function — less frequently discussed but strategically more significant — is the discipline it imposes on internal sustainability data collection and management systems: the preparation process for a sustainability assurance engagement consistently reveals data quality gaps, methodological inconsistencies, and internal control weaknesses that companies were unaware of before the assurance process began. The strategic function is the differentiation signal it provides in capital markets: companies with broadly assured BRSR disclosures are distinguishable from those with self-declared compliance in ways that increasingly matter for institutional investor ESG assessments and sustainability-linked financing terms.</w:t>
      </w:r>
    </w:p>
    <w:p>
      <w:pPr>
        <w:spacing w:after="180" w:before="0" w:line="480"/>
        <w:jc w:val="both"/>
      </w:pPr>
      <w:r>
        <w:rPr>
          <w:rFonts w:ascii="Times New Roman" w:cs="Times New Roman" w:eastAsia="Times New Roman" w:hAnsi="Times New Roman"/>
          <w:b w:val="false"/>
          <w:bCs w:val="false"/>
          <w:i w:val="false"/>
          <w:iCs w:val="false"/>
          <w:sz w:val="24"/>
          <w:szCs w:val="24"/>
        </w:rPr>
        <w:t xml:space="preserve">The current state of the sustainability assurance ecosystem in India presents challenges that need to be honestly acknowledged. The professional accounting and assurance firms that have the institutional infrastructure to provide sustainability assurance at scale are still building the sector-specific technical expertise, the sustainability data auditing methodologies, and the independence frameworks that make assurance genuinely credible rather than procedurally compliant. Independent sustainability assurance organizations and specialist firms offer deeper technical expertise in specific sustainability domains but face capacity constraints at the scale required by 1,000+ mandatory BRSR filers. The maturation of this ecosystem is necessary for BRSR Core assurance requirements to achieve their intended effect, and it requires both supply-side investment by assurance providers and demand-side sophistication by companies commissioning assurance engagements.</w:t>
      </w:r>
    </w:p>
    <w:p>
      <w:pPr>
        <w:spacing w:line="240"/>
      </w:pPr>
      <w:r>
        <w:t xml:space="preserve"/>
      </w:r>
    </w:p>
    <w:p>
      <w:pPr>
        <w:pStyle w:val="Heading1"/>
        <w:spacing w:after="220" w:before="520"/>
      </w:pPr>
      <w:r>
        <w:rPr>
          <w:rFonts w:ascii="Times New Roman" w:cs="Times New Roman" w:eastAsia="Times New Roman" w:hAnsi="Times New Roman"/>
          <w:b/>
          <w:bCs/>
          <w:caps/>
          <w:sz w:val="28"/>
          <w:szCs w:val="28"/>
        </w:rPr>
        <w:t xml:space="preserve">VI. The Institutional Ecosystem: What Needs to Develop Beyond Corporate Reporting</w:t>
      </w:r>
    </w:p>
    <w:p>
      <w:pPr>
        <w:pStyle w:val="Heading2"/>
        <w:spacing w:after="160" w:before="360"/>
      </w:pPr>
      <w:r>
        <w:rPr>
          <w:rFonts w:ascii="Times New Roman" w:cs="Times New Roman" w:eastAsia="Times New Roman" w:hAnsi="Times New Roman"/>
          <w:b/>
          <w:bCs/>
          <w:i/>
          <w:iCs/>
          <w:sz w:val="26"/>
          <w:szCs w:val="26"/>
        </w:rPr>
        <w:t xml:space="preserve">6.1 The Investor Engagement Imperative</w:t>
      </w:r>
    </w:p>
    <w:p>
      <w:pPr>
        <w:spacing w:after="180" w:before="0" w:line="480"/>
        <w:jc w:val="both"/>
      </w:pPr>
      <w:r>
        <w:rPr>
          <w:rFonts w:ascii="Times New Roman" w:cs="Times New Roman" w:eastAsia="Times New Roman" w:hAnsi="Times New Roman"/>
          <w:b w:val="false"/>
          <w:bCs w:val="false"/>
          <w:i w:val="false"/>
          <w:iCs w:val="false"/>
          <w:sz w:val="24"/>
          <w:szCs w:val="24"/>
        </w:rPr>
        <w:t xml:space="preserve">The quality of corporate sustainability disclosure is shaped not only by the reporting requirements imposed on companies but by the quality of the investor engagement that disclosure enables. In markets where institutional investors use sustainability disclosures actively — asking pointed questions in earnings calls, engaging management in pre-AGM consultations on sustainability governance, and exercising voting rights on sustainability-related resolutions — companies face ongoing pressure to improve disclosure quality beyond regulatory minimum. In markets where investors treat sustainability disclosure primarily as a check-box compliance exercise or an input to automated ESG scoring systems, the incentive for genuine disclosure improvement is correspondingly weaker.</w:t>
      </w:r>
    </w:p>
    <w:p>
      <w:pPr>
        <w:spacing w:after="180" w:before="0" w:line="480"/>
        <w:jc w:val="both"/>
      </w:pPr>
      <w:r>
        <w:rPr>
          <w:rFonts w:ascii="Times New Roman" w:cs="Times New Roman" w:eastAsia="Times New Roman" w:hAnsi="Times New Roman"/>
          <w:b w:val="false"/>
          <w:bCs w:val="false"/>
          <w:i w:val="false"/>
          <w:iCs w:val="false"/>
          <w:sz w:val="24"/>
          <w:szCs w:val="24"/>
        </w:rPr>
        <w:t xml:space="preserve">The Indian institutional investor landscape is at an early but genuinely developing stage of sustainability engagement sophistication. SEBI's stewardship code, the Association of Mutual Funds in India's ESG fund guidelines, and the growing presence of international institutional investors in Indian equity markets have created an environment in which sustainability engagement is becoming a recognized — if still underdeveloped — component of institutional investor governance practice. The development of investor capacity for substantive BRSR engagement — including the analytical tools, the sector expertise, and the engagement protocols needed to use BRSR disclosures for genuine investment and governance analysis — is a precondition for the market discipline that would complement regulatory requirements in driving disclosure quality improvement.</w:t>
      </w:r>
    </w:p>
    <w:p>
      <w:pPr>
        <w:pStyle w:val="Heading2"/>
        <w:spacing w:after="160" w:before="360"/>
      </w:pPr>
      <w:r>
        <w:rPr>
          <w:rFonts w:ascii="Times New Roman" w:cs="Times New Roman" w:eastAsia="Times New Roman" w:hAnsi="Times New Roman"/>
          <w:b/>
          <w:bCs/>
          <w:i/>
          <w:iCs/>
          <w:sz w:val="26"/>
          <w:szCs w:val="26"/>
        </w:rPr>
        <w:t xml:space="preserve">6.2 The Regulatory Evolution Trajectory</w:t>
      </w:r>
    </w:p>
    <w:p>
      <w:pPr>
        <w:spacing w:after="180" w:before="0" w:line="480"/>
        <w:jc w:val="both"/>
      </w:pPr>
      <w:r>
        <w:rPr>
          <w:rFonts w:ascii="Times New Roman" w:cs="Times New Roman" w:eastAsia="Times New Roman" w:hAnsi="Times New Roman"/>
          <w:b w:val="false"/>
          <w:bCs w:val="false"/>
          <w:i w:val="false"/>
          <w:iCs w:val="false"/>
          <w:sz w:val="24"/>
          <w:szCs w:val="24"/>
        </w:rPr>
        <w:t xml:space="preserve">SEBI's regulatory approach to BRSR has been iterative and progressive — introducing requirements at a pace calibrated to the institutional capacity of covered companies, and using the BRSR Core framework to pilot assurance requirements before extending them across the full mandatory population. This approach reflects the institutional wisdom of regulatory sequencing: requiring assurance before the assurance ecosystem has developed, or mandating Scope 3 disclosures before companies have built the supply chain data systems to generate them credibly, would produce compliance responses that satisfy the letter of requirements while undermining their substance.</w:t>
      </w:r>
    </w:p>
    <w:p>
      <w:pPr>
        <w:spacing w:after="180" w:before="0" w:line="480"/>
        <w:jc w:val="both"/>
      </w:pPr>
      <w:r>
        <w:rPr>
          <w:rFonts w:ascii="Times New Roman" w:cs="Times New Roman" w:eastAsia="Times New Roman" w:hAnsi="Times New Roman"/>
          <w:b w:val="false"/>
          <w:bCs w:val="false"/>
          <w:i w:val="false"/>
          <w:iCs w:val="false"/>
          <w:sz w:val="24"/>
          <w:szCs w:val="24"/>
        </w:rPr>
        <w:t xml:space="preserve">The trajectory of regulatory evolution that would most effectively develop BRSR's potential as a genuine sustainability transparency mechanism includes three elements: progressive extension of BRSR Core KPIs and third-party assurance requirements to the full mandatory population over a defined timeline; mandatory Scope 3 emissions disclosure for high-impact sectors within a three-to-five year horizon; and stronger linkage between BRSR disclosures and financial reporting through the annual report's Management Discussion and Analysis section, which currently treats sustainability and financial risk analysis as parallel rather than integrated narratives. The development of sector-specific BRSR guidelines — SEBI has already identified ten high-impact sectors for enhanced disclosure requirements — should be accelerated and deepened, recognizing that the material sustainability issues of a steel company, a pharmaceutical company, and a financial services company are sufficiently distinct to require genuinely different disclosure frameworks rather than a single universal template.</w:t>
      </w:r>
    </w:p>
    <w:p>
      <w:pPr>
        <w:pStyle w:val="Heading2"/>
        <w:spacing w:after="160" w:before="360"/>
      </w:pPr>
      <w:r>
        <w:rPr>
          <w:rFonts w:ascii="Times New Roman" w:cs="Times New Roman" w:eastAsia="Times New Roman" w:hAnsi="Times New Roman"/>
          <w:b/>
          <w:bCs/>
          <w:i/>
          <w:iCs/>
          <w:sz w:val="26"/>
          <w:szCs w:val="26"/>
        </w:rPr>
        <w:t xml:space="preserve">6.3 BRSR and India's Global Sustainability Positioning</w:t>
      </w:r>
    </w:p>
    <w:p>
      <w:pPr>
        <w:spacing w:after="180" w:before="0" w:line="480"/>
        <w:jc w:val="both"/>
      </w:pPr>
      <w:r>
        <w:rPr>
          <w:rFonts w:ascii="Times New Roman" w:cs="Times New Roman" w:eastAsia="Times New Roman" w:hAnsi="Times New Roman"/>
          <w:b w:val="false"/>
          <w:bCs w:val="false"/>
          <w:i w:val="false"/>
          <w:iCs w:val="false"/>
          <w:sz w:val="24"/>
          <w:szCs w:val="24"/>
        </w:rPr>
        <w:t xml:space="preserve">The development of BRSR as a credible, internationally recognized sustainability disclosure framework has implications that extend beyond domestic corporate governance. India's G20 Sustainable Finance Working Group presidency provided an opportunity to shape the global sustainability disclosure architecture in ways that reflect emerging economy perspectives — particularly on just transition, development pathway flexibility, and the balance between investor-focused financial materiality and stakeholder-focused impact materiality. The BRSR framework's multi-principle structure, with its explicit attention to inclusive growth, human rights, and community stakeholder interests alongside investor-relevant environmental and governance metrics, embeds a stakeholder capitalism orientation that differs meaningfully from the investor-focused framework of ISSB standards, and that reflects a development philosophy with considerable resonance across the Global South.</w:t>
      </w:r>
    </w:p>
    <w:p>
      <w:pPr>
        <w:spacing w:after="180" w:before="0" w:line="480"/>
        <w:jc w:val="both"/>
      </w:pPr>
      <w:r>
        <w:rPr>
          <w:rFonts w:ascii="Times New Roman" w:cs="Times New Roman" w:eastAsia="Times New Roman" w:hAnsi="Times New Roman"/>
          <w:b w:val="false"/>
          <w:bCs w:val="false"/>
          <w:i w:val="false"/>
          <w:iCs w:val="false"/>
          <w:sz w:val="24"/>
          <w:szCs w:val="24"/>
        </w:rPr>
        <w:t xml:space="preserve">Building BRSR into an internationally credible standard — one whose disclosures are accepted by international investors and regulators as equivalent to internationally recognized frameworks — requires investment in the equivalence mapping, assurance infrastructure, and professional ecosystem development that transforms a domestic regulatory requirement into a globally recognized disclosure architecture. This is achievable, and India's scale, institutional sophistication, and the genuine ambition embedded in the BRSR framework provide a strong foundation. It requires, however, a sustained commitment from SEBI, the Ministry of Corporate Affairs, and India's professional accounting and sustainability advisory communities that goes beyond the current pace of framework development.</w:t>
      </w:r>
    </w:p>
    <w:p>
      <w:pPr>
        <w:spacing w:line="240"/>
      </w:pPr>
      <w:r>
        <w:t xml:space="preserve"/>
      </w:r>
    </w:p>
    <w:p>
      <w:pPr>
        <w:pStyle w:val="Heading1"/>
        <w:spacing w:after="220" w:before="520"/>
      </w:pPr>
      <w:r>
        <w:rPr>
          <w:rFonts w:ascii="Times New Roman" w:cs="Times New Roman" w:eastAsia="Times New Roman" w:hAnsi="Times New Roman"/>
          <w:b/>
          <w:bCs/>
          <w:caps/>
          <w:sz w:val="28"/>
          <w:szCs w:val="28"/>
        </w:rPr>
        <w:t xml:space="preserve">VII. Conclusion: From Disclosure to Accountability</w:t>
      </w:r>
    </w:p>
    <w:p>
      <w:pPr>
        <w:spacing w:after="180" w:before="0" w:line="480"/>
        <w:jc w:val="both"/>
      </w:pPr>
      <w:r>
        <w:rPr>
          <w:rFonts w:ascii="Times New Roman" w:cs="Times New Roman" w:eastAsia="Times New Roman" w:hAnsi="Times New Roman"/>
          <w:b w:val="false"/>
          <w:bCs w:val="false"/>
          <w:i w:val="false"/>
          <w:iCs w:val="false"/>
          <w:sz w:val="24"/>
          <w:szCs w:val="24"/>
        </w:rPr>
        <w:t xml:space="preserve">BRSR is India's most significant institutional experiment in corporate sustainability accountability. Its architects at SEBI have created a framework whose ambition — mandatory quantitative disclosure, progressive assurance requirements, multi-dimensional ESG coverage aligned with global standards — genuinely exceeds what most emerging economies have attempted in sustainability disclosure regulation. The framework's potential to transform the sustainability accountability landscape of Indian corporate governance is real.</w:t>
      </w:r>
    </w:p>
    <w:p>
      <w:pPr>
        <w:spacing w:after="180" w:before="0" w:line="480"/>
        <w:jc w:val="both"/>
      </w:pPr>
      <w:r>
        <w:rPr>
          <w:rFonts w:ascii="Times New Roman" w:cs="Times New Roman" w:eastAsia="Times New Roman" w:hAnsi="Times New Roman"/>
          <w:b w:val="false"/>
          <w:bCs w:val="false"/>
          <w:i w:val="false"/>
          <w:iCs w:val="false"/>
          <w:sz w:val="24"/>
          <w:szCs w:val="24"/>
        </w:rPr>
        <w:t xml:space="preserve">Whether that potential is realized depends on choices being made now — by corporate boards deciding whether to treat BRSR as a compliance obligation or a strategic opportunity; by CFOs and sustainability leads deciding whether to invest in the internal data infrastructure that makes high-quality disclosure sustainable or to construct disclosures retroactively from imperfect data; by audit committee members deciding whether to treat sustainability disclosure with the same rigour as financial disclosure; by institutional investors deciding whether to use BRSR disclosures as active governance engagement tools or passive data inputs; and by assurance providers deciding whether to build genuinely independent sustainability assurance capabilities or to offer assurance lite services that satisfy regulatory form without substantive verification.</w:t>
      </w:r>
    </w:p>
    <w:p>
      <w:pPr>
        <w:spacing w:after="180" w:before="0" w:line="480"/>
        <w:jc w:val="both"/>
      </w:pPr>
      <w:r>
        <w:rPr>
          <w:rFonts w:ascii="Times New Roman" w:cs="Times New Roman" w:eastAsia="Times New Roman" w:hAnsi="Times New Roman"/>
          <w:b w:val="false"/>
          <w:bCs w:val="false"/>
          <w:i w:val="false"/>
          <w:iCs w:val="false"/>
          <w:sz w:val="24"/>
          <w:szCs w:val="24"/>
        </w:rPr>
        <w:t xml:space="preserve">The five systemic patterns identified in this article — selective disclosure, quantitative thinness, materiality ambiguity, governance superficiality, and supply chain evasion — are not permanent features of Indian corporate sustainability practice. They are the predictable characteristics of an early-stage regulatory system in which the incentives for genuine disclosure are still developing, the professional ecosystem supporting disclosure quality is still maturing, and the internal sustainability capabilities of covered companies are still being built. They are addressable, and the BRSR Quality Spectrum provides a diagnostic framework through which companies can identify their current positioning and chart a development pathway toward transformation-oriented disclosure practice.</w:t>
      </w:r>
    </w:p>
    <w:p>
      <w:pPr>
        <w:pBdr>
          <w:top w:val="single" w:color="1F4E79" w:sz="6" w:space="8"/>
          <w:bottom w:val="single" w:color="1F4E79" w:sz="6" w:space="8"/>
        </w:pBdr>
        <w:spacing w:after="240" w:before="240" w:line="420"/>
        <w:ind w:left="720" w:right="720"/>
        <w:jc w:val="center"/>
      </w:pPr>
      <w:r>
        <w:rPr>
          <w:rFonts w:ascii="Times New Roman" w:cs="Times New Roman" w:eastAsia="Times New Roman" w:hAnsi="Times New Roman"/>
          <w:b/>
          <w:bCs/>
          <w:i/>
          <w:iCs/>
          <w:color w:val="1F4E79"/>
          <w:sz w:val="26"/>
          <w:szCs w:val="26"/>
        </w:rPr>
        <w:t xml:space="preserve">"The companies that will benefit most from BRSR are not those that invest in making their filings look best. They are those that invest in making their sustainability performance become best — and then have the courage to report it transparently."</w:t>
      </w:r>
    </w:p>
    <w:p>
      <w:pPr>
        <w:spacing w:after="180" w:before="0" w:line="480"/>
        <w:jc w:val="both"/>
      </w:pPr>
      <w:r>
        <w:rPr>
          <w:rFonts w:ascii="Times New Roman" w:cs="Times New Roman" w:eastAsia="Times New Roman" w:hAnsi="Times New Roman"/>
          <w:b w:val="false"/>
          <w:bCs w:val="false"/>
          <w:i w:val="false"/>
          <w:iCs w:val="false"/>
          <w:sz w:val="24"/>
          <w:szCs w:val="24"/>
        </w:rPr>
        <w:t xml:space="preserve">The broader significance of this moment cannot be overstated. India is in the middle of a sustainability transition whose speed and quality will be shaped partly by whether its corporate sector develops genuine sustainability accountability capabilities or settles for the sophisticated appearance of them. BRSR, at its best, is not a reporting framework — it is a governance instrument for building the internal and external accountability relationships that make genuine sustainability transformation possible. That is the standard against which its evolution should ultimately be assessed.</w:t>
      </w:r>
    </w:p>
    <w:p>
      <w:pPr>
        <w:spacing w:line="240"/>
      </w:pPr>
      <w:r>
        <w:t xml:space="preserve"/>
      </w:r>
    </w:p>
    <w:p>
      <w:pPr>
        <w:pStyle w:val="Heading1"/>
        <w:spacing w:after="220" w:before="520"/>
      </w:pPr>
      <w:r>
        <w:rPr>
          <w:rFonts w:ascii="Times New Roman" w:cs="Times New Roman" w:eastAsia="Times New Roman" w:hAnsi="Times New Roman"/>
          <w:b/>
          <w:bCs/>
          <w:caps/>
          <w:sz w:val="28"/>
          <w:szCs w:val="28"/>
        </w:rPr>
        <w:t xml:space="preserve">References</w:t>
      </w:r>
    </w:p>
    <w:p>
      <w:pPr>
        <w:spacing w:after="180" w:before="0" w:line="480"/>
        <w:jc w:val="both"/>
      </w:pPr>
      <w:r>
        <w:rPr>
          <w:rFonts w:ascii="Times New Roman" w:cs="Times New Roman" w:eastAsia="Times New Roman" w:hAnsi="Times New Roman"/>
          <w:b w:val="false"/>
          <w:bCs w:val="false"/>
          <w:i/>
          <w:iCs/>
          <w:sz w:val="24"/>
          <w:szCs w:val="24"/>
        </w:rPr>
        <w:t xml:space="preserve">Note: All [CITE NEEDED] and [CITE VERIFY] references below require verification by the author before journal submission. Official SEBI circulars and government documents cited are publicly available at sebi.gov.in and are not flagged as they are verifiable primary sources.</w:t>
      </w:r>
    </w:p>
    <w:p>
      <w:pPr>
        <w:spacing w:line="240"/>
      </w:pPr>
      <w:r>
        <w:t xml:space="preserve"/>
      </w:r>
    </w:p>
    <w:p>
      <w:pPr>
        <w:spacing w:after="120" w:before="0" w:line="360"/>
        <w:ind w:left="720" w:hanging="720"/>
        <w:jc w:val="both"/>
      </w:pPr>
      <w:r>
        <w:rPr>
          <w:rFonts w:ascii="Times New Roman" w:cs="Times New Roman" w:eastAsia="Times New Roman" w:hAnsi="Times New Roman"/>
          <w:sz w:val="22"/>
          <w:szCs w:val="22"/>
        </w:rPr>
        <w:t xml:space="preserve">Securities and Exchange Board of India (SEBI). (2021). Circular No. SEBI/HO/CFD/CMD-2/P/CIR/2021/562 — Business Responsibility and Sustainability Reporting by listed entities. SEBI, Mumbai.</w:t>
      </w:r>
    </w:p>
    <w:p>
      <w:pPr>
        <w:spacing w:after="120" w:before="0" w:line="360"/>
        <w:ind w:left="720" w:hanging="720"/>
        <w:jc w:val="both"/>
      </w:pPr>
      <w:r>
        <w:rPr>
          <w:rFonts w:ascii="Times New Roman" w:cs="Times New Roman" w:eastAsia="Times New Roman" w:hAnsi="Times New Roman"/>
          <w:sz w:val="22"/>
          <w:szCs w:val="22"/>
        </w:rPr>
        <w:t xml:space="preserve">Securities and Exchange Board of India (SEBI). (2023). Circular on BRSR Core — ESG disclosures for value chain and assurance framework. SEBI, Mumbai.</w:t>
      </w:r>
    </w:p>
    <w:p>
      <w:pPr>
        <w:spacing w:after="120" w:before="0" w:line="360"/>
        <w:ind w:left="720" w:hanging="720"/>
        <w:jc w:val="both"/>
      </w:pPr>
      <w:r>
        <w:rPr>
          <w:rFonts w:ascii="Times New Roman" w:cs="Times New Roman" w:eastAsia="Times New Roman" w:hAnsi="Times New Roman"/>
          <w:sz w:val="22"/>
          <w:szCs w:val="22"/>
        </w:rPr>
        <w:t xml:space="preserve">Ministry of Corporate Affairs, Government of India. (2019). National Guidelines on Responsible Business Conduct (NGRBC). MCA, New Delhi.</w:t>
      </w:r>
    </w:p>
    <w:p>
      <w:pPr>
        <w:spacing w:after="120" w:before="0" w:line="360"/>
        <w:ind w:left="720" w:hanging="720"/>
        <w:jc w:val="both"/>
      </w:pPr>
      <w:r>
        <w:rPr>
          <w:rFonts w:ascii="Times New Roman" w:cs="Times New Roman" w:eastAsia="Times New Roman" w:hAnsi="Times New Roman"/>
          <w:sz w:val="22"/>
          <w:szCs w:val="22"/>
        </w:rPr>
        <w:t xml:space="preserve">[CITE VERIFY] GRI. (2021). GRI Universal Standards 2021: GRI 1, GRI 2, GRI 3. Global Reporting Initiative, Amsterdam.</w:t>
      </w:r>
    </w:p>
    <w:p>
      <w:pPr>
        <w:spacing w:after="120" w:before="0" w:line="360"/>
        <w:ind w:left="720" w:hanging="720"/>
        <w:jc w:val="both"/>
      </w:pPr>
      <w:r>
        <w:rPr>
          <w:rFonts w:ascii="Times New Roman" w:cs="Times New Roman" w:eastAsia="Times New Roman" w:hAnsi="Times New Roman"/>
          <w:sz w:val="22"/>
          <w:szCs w:val="22"/>
        </w:rPr>
        <w:t xml:space="preserve">[CITE VERIFY] IFRS Foundation. (2023). IFRS S1 General Requirements for Disclosure of Sustainability-related Financial Information. International Sustainability Standards Board.</w:t>
      </w:r>
    </w:p>
    <w:p>
      <w:pPr>
        <w:spacing w:after="120" w:before="0" w:line="360"/>
        <w:ind w:left="720" w:hanging="720"/>
        <w:jc w:val="both"/>
      </w:pPr>
      <w:r>
        <w:rPr>
          <w:rFonts w:ascii="Times New Roman" w:cs="Times New Roman" w:eastAsia="Times New Roman" w:hAnsi="Times New Roman"/>
          <w:sz w:val="22"/>
          <w:szCs w:val="22"/>
        </w:rPr>
        <w:t xml:space="preserve">[CITE VERIFY] IFRS Foundation. (2023). IFRS S2 Climate-related Disclosures. International Sustainability Standards Board.</w:t>
      </w:r>
    </w:p>
    <w:p>
      <w:pPr>
        <w:spacing w:after="120" w:before="0" w:line="360"/>
        <w:ind w:left="720" w:hanging="720"/>
        <w:jc w:val="both"/>
      </w:pPr>
      <w:r>
        <w:rPr>
          <w:rFonts w:ascii="Times New Roman" w:cs="Times New Roman" w:eastAsia="Times New Roman" w:hAnsi="Times New Roman"/>
          <w:sz w:val="22"/>
          <w:szCs w:val="22"/>
        </w:rPr>
        <w:t xml:space="preserve">[CITE VERIFY] Task Force on Climate-related Financial Disclosures (TCFD). (2017). Recommendations of the Task Force on Climate-related Financial Disclosures. FSB, Basel.</w:t>
      </w:r>
    </w:p>
    <w:p>
      <w:pPr>
        <w:spacing w:after="120" w:before="0" w:line="360"/>
        <w:ind w:left="720" w:hanging="720"/>
        <w:jc w:val="both"/>
      </w:pPr>
      <w:r>
        <w:rPr>
          <w:rFonts w:ascii="Times New Roman" w:cs="Times New Roman" w:eastAsia="Times New Roman" w:hAnsi="Times New Roman"/>
          <w:sz w:val="22"/>
          <w:szCs w:val="22"/>
        </w:rPr>
        <w:t xml:space="preserve">[CITE NEEDED] Aggarwal, P., &amp; colleagues. (Recent). ESG disclosure quality and cost of capital in Indian markets. Indian Journal of Finance or similar. [Search: BRSR and cost of capital India 2022-2024]</w:t>
      </w:r>
    </w:p>
    <w:p>
      <w:pPr>
        <w:spacing w:after="120" w:before="0" w:line="360"/>
        <w:ind w:left="720" w:hanging="720"/>
        <w:jc w:val="both"/>
      </w:pPr>
      <w:r>
        <w:rPr>
          <w:rFonts w:ascii="Times New Roman" w:cs="Times New Roman" w:eastAsia="Times New Roman" w:hAnsi="Times New Roman"/>
          <w:sz w:val="22"/>
          <w:szCs w:val="22"/>
        </w:rPr>
        <w:t xml:space="preserve">[CITE NEEDED] Analysis of BRSR filing quality across Nifty 500 companies, FY 2022-23 and FY 2023-24. [Search: BRSR quality assessment India listed companies academic or practitioner studies, 2023-2024]</w:t>
      </w:r>
    </w:p>
    <w:p>
      <w:pPr>
        <w:spacing w:after="120" w:before="0" w:line="360"/>
        <w:ind w:left="720" w:hanging="720"/>
        <w:jc w:val="both"/>
      </w:pPr>
      <w:r>
        <w:rPr>
          <w:rFonts w:ascii="Times New Roman" w:cs="Times New Roman" w:eastAsia="Times New Roman" w:hAnsi="Times New Roman"/>
          <w:sz w:val="22"/>
          <w:szCs w:val="22"/>
        </w:rPr>
        <w:t xml:space="preserve">[CITE NEEDED] Eccles, R. G., &amp; Serafeim, G. (Recent era). Corporate sustainability strategy and sustainability disclosure quality. Harvard Business School Working Paper or similar. [Search: Eccles Serafeim sustainability disclosure strategy, relevant paper]</w:t>
      </w:r>
    </w:p>
    <w:p>
      <w:pPr>
        <w:spacing w:after="120" w:before="0" w:line="360"/>
        <w:ind w:left="720" w:hanging="720"/>
        <w:jc w:val="both"/>
      </w:pPr>
      <w:r>
        <w:rPr>
          <w:rFonts w:ascii="Times New Roman" w:cs="Times New Roman" w:eastAsia="Times New Roman" w:hAnsi="Times New Roman"/>
          <w:sz w:val="22"/>
          <w:szCs w:val="22"/>
        </w:rPr>
        <w:t xml:space="preserve">[CITE NEEDED] Executive compensation and ESG performance linkage: Empirical evidence from emerging markets. [Search: CEO pay ESG targets India or Asia, 2020-2024]</w:t>
      </w:r>
    </w:p>
    <w:p>
      <w:pPr>
        <w:spacing w:after="120" w:before="0" w:line="360"/>
        <w:ind w:left="720" w:hanging="720"/>
        <w:jc w:val="both"/>
      </w:pPr>
      <w:r>
        <w:rPr>
          <w:rFonts w:ascii="Times New Roman" w:cs="Times New Roman" w:eastAsia="Times New Roman" w:hAnsi="Times New Roman"/>
          <w:sz w:val="22"/>
          <w:szCs w:val="22"/>
        </w:rPr>
        <w:t xml:space="preserve">[CITE NEEDED] Greenwashing in emerging market sustainability disclosure: Theory and evidence. [Search: greenwashing ESG India emerging markets, 2021-2024]</w:t>
      </w:r>
    </w:p>
    <w:p>
      <w:pPr>
        <w:spacing w:after="120" w:before="0" w:line="360"/>
        <w:ind w:left="720" w:hanging="720"/>
        <w:jc w:val="both"/>
      </w:pPr>
      <w:r>
        <w:rPr>
          <w:rFonts w:ascii="Times New Roman" w:cs="Times New Roman" w:eastAsia="Times New Roman" w:hAnsi="Times New Roman"/>
          <w:sz w:val="22"/>
          <w:szCs w:val="22"/>
        </w:rPr>
        <w:t xml:space="preserve">[CITE NEEDED] IOSCO. (2021). Recommendations for Sustainability-Related Practices, Policies, Procedures and Disclosure in Asset Management. IOSCO.</w:t>
      </w:r>
    </w:p>
    <w:p>
      <w:pPr>
        <w:spacing w:after="120" w:before="0" w:line="360"/>
        <w:ind w:left="720" w:hanging="720"/>
        <w:jc w:val="both"/>
      </w:pPr>
      <w:r>
        <w:rPr>
          <w:rFonts w:ascii="Times New Roman" w:cs="Times New Roman" w:eastAsia="Times New Roman" w:hAnsi="Times New Roman"/>
          <w:sz w:val="22"/>
          <w:szCs w:val="22"/>
        </w:rPr>
        <w:t xml:space="preserve">[CITE NEEDED] Materiality assessment and dual materiality in corporate sustainability reporting. [Search: dual materiality CSRD India corporate governance, 2022-2024]</w:t>
      </w:r>
    </w:p>
    <w:p>
      <w:pPr>
        <w:spacing w:after="120" w:before="0" w:line="360"/>
        <w:ind w:left="720" w:hanging="720"/>
        <w:jc w:val="both"/>
      </w:pPr>
      <w:r>
        <w:rPr>
          <w:rFonts w:ascii="Times New Roman" w:cs="Times New Roman" w:eastAsia="Times New Roman" w:hAnsi="Times New Roman"/>
          <w:sz w:val="22"/>
          <w:szCs w:val="22"/>
        </w:rPr>
        <w:t xml:space="preserve">[CITE NEEDED] Supply chain due diligence legislation: EU CSDDD implications for Indian exporters. [Search: EU CSDDD India supply chain compliance, 2023-2024]</w:t>
      </w:r>
    </w:p>
    <w:p>
      <w:pPr>
        <w:spacing w:after="120" w:before="0" w:line="360"/>
        <w:ind w:left="720" w:hanging="720"/>
        <w:jc w:val="both"/>
      </w:pPr>
      <w:r>
        <w:rPr>
          <w:rFonts w:ascii="Times New Roman" w:cs="Times New Roman" w:eastAsia="Times New Roman" w:hAnsi="Times New Roman"/>
          <w:sz w:val="22"/>
          <w:szCs w:val="22"/>
        </w:rPr>
        <w:t xml:space="preserve">[CITE VERIFY] Dhaliwal, D. S., Li, O. Z., Tsang, A., &amp; Yang, Y. G. (2011). Voluntary nonfinancial disclosure and the cost of equity capital: The initiation of corporate social responsibility reporting. Accounting Review, 86(1), 59–100.</w:t>
      </w:r>
    </w:p>
    <w:p>
      <w:pPr>
        <w:spacing w:after="120" w:before="0" w:line="360"/>
        <w:ind w:left="720" w:hanging="720"/>
        <w:jc w:val="both"/>
      </w:pPr>
      <w:r>
        <w:rPr>
          <w:rFonts w:ascii="Times New Roman" w:cs="Times New Roman" w:eastAsia="Times New Roman" w:hAnsi="Times New Roman"/>
          <w:sz w:val="22"/>
          <w:szCs w:val="22"/>
        </w:rPr>
        <w:t xml:space="preserve">[CITE VERIFY] Ioannou, I., &amp; Serafeim, G. (2012). What drives corporate social responsibility? The role of nation-level institutions. Journal of International Business Studies, 43(9), 834–864.</w:t>
      </w:r>
    </w:p>
    <w:p>
      <w:pPr>
        <w:spacing w:after="120" w:before="0" w:line="360"/>
        <w:ind w:left="720" w:hanging="720"/>
        <w:jc w:val="both"/>
      </w:pPr>
      <w:r>
        <w:rPr>
          <w:rFonts w:ascii="Times New Roman" w:cs="Times New Roman" w:eastAsia="Times New Roman" w:hAnsi="Times New Roman"/>
          <w:sz w:val="22"/>
          <w:szCs w:val="22"/>
        </w:rPr>
        <w:t xml:space="preserve">[CITE VERIFY] Maheshwari, S., &amp; Ahluwalia, S. (Recent). Business Responsibility Reporting in India: An assessment of BRR compliance and transition to BRSR. Indian accounting or management journal. [Verify existence and citation details]</w:t>
      </w:r>
    </w:p>
    <w:p>
      <w:pPr>
        <w:spacing w:line="240"/>
      </w:pPr>
      <w:r>
        <w:t xml:space="preserve"/>
      </w:r>
    </w:p>
    <w:p>
      <w:pPr>
        <w:pageBreakBefore/>
      </w:pPr>
      <w:r>
        <w:t xml:space="preserve"/>
      </w:r>
    </w:p>
    <w:p>
      <w:pPr>
        <w:pStyle w:val="Heading1"/>
        <w:spacing w:after="220" w:before="520"/>
      </w:pPr>
      <w:r>
        <w:rPr>
          <w:rFonts w:ascii="Times New Roman" w:cs="Times New Roman" w:eastAsia="Times New Roman" w:hAnsi="Times New Roman"/>
          <w:b/>
          <w:bCs/>
          <w:caps/>
          <w:sz w:val="28"/>
          <w:szCs w:val="28"/>
        </w:rPr>
        <w:t xml:space="preserve">About the Author</w:t>
      </w:r>
    </w:p>
    <w:p>
      <w:pPr>
        <w:spacing w:after="180" w:before="0" w:line="480"/>
        <w:jc w:val="both"/>
      </w:pPr>
      <w:r>
        <w:rPr>
          <w:rFonts w:ascii="Times New Roman" w:cs="Times New Roman" w:eastAsia="Times New Roman" w:hAnsi="Times New Roman"/>
          <w:b w:val="false"/>
          <w:bCs w:val="false"/>
          <w:i w:val="false"/>
          <w:iCs w:val="false"/>
          <w:sz w:val="24"/>
          <w:szCs w:val="24"/>
        </w:rPr>
        <w:t xml:space="preserve">Debasis Pahi is Assistant Professor (OES-I) and Head of the Department of Commerce at MDC Malkangiri, Vikram Dev University, Jeypore, Odisha, India. His research focuses on ESG and sustainability disclosure, corporate governance, green finance, and sustainability accounting in Indian and emerging market contexts. He writes at the intersection of institutional theory, sustainability reporting, and corporate governance reform, with a particular focus on the implications of India's evolving sustainability disclosure architecture for corporate practice and capital markets.</w:t>
      </w:r>
    </w:p>
    <w:p>
      <w:pPr>
        <w:spacing w:line="240"/>
      </w:pPr>
      <w:r>
        <w:t xml:space="preserve"/>
      </w:r>
    </w:p>
    <w:p>
      <w:pPr>
        <w:spacing w:after="100" w:before="0" w:line="360"/>
        <w:jc w:val="both"/>
      </w:pPr>
      <w:r>
        <w:rPr>
          <w:rFonts w:ascii="Times New Roman" w:cs="Times New Roman" w:eastAsia="Times New Roman" w:hAnsi="Times New Roman"/>
          <w:b/>
          <w:bCs/>
          <w:sz w:val="23"/>
          <w:szCs w:val="23"/>
        </w:rPr>
        <w:t xml:space="preserve">Correspondence: </w:t>
      </w:r>
      <w:r>
        <w:rPr>
          <w:rFonts w:ascii="Times New Roman" w:cs="Times New Roman" w:eastAsia="Times New Roman" w:hAnsi="Times New Roman"/>
          <w:sz w:val="23"/>
          <w:szCs w:val="23"/>
        </w:rPr>
        <w:t xml:space="preserve">Debasis Pahi, Department of Commerce, MDC Malkangiri, Vikram Dev University, Jeypore, Odisha 764045, India. Email: drdebasis.research@gmail.com</w:t>
      </w:r>
    </w:p>
    <w:p>
      <w:pPr>
        <w:spacing w:line="240"/>
      </w:pPr>
      <w:r>
        <w:t xml:space="preserve"/>
      </w:r>
    </w:p>
    <w:p>
      <w:pPr>
        <w:pageBreakBefore/>
      </w:pPr>
      <w:r>
        <w:t xml:space="preserve"/>
      </w:r>
    </w:p>
    <w:p>
      <w:pPr>
        <w:pStyle w:val="Heading1"/>
        <w:spacing w:after="220" w:before="520"/>
      </w:pPr>
      <w:r>
        <w:rPr>
          <w:rFonts w:ascii="Times New Roman" w:cs="Times New Roman" w:eastAsia="Times New Roman" w:hAnsi="Times New Roman"/>
          <w:b/>
          <w:bCs/>
          <w:caps/>
          <w:sz w:val="28"/>
          <w:szCs w:val="28"/>
        </w:rPr>
        <w:t xml:space="preserve">Appendix: Editorial Review Simulation</w:t>
      </w:r>
    </w:p>
    <w:p>
      <w:pPr>
        <w:spacing w:after="180" w:before="0" w:line="480"/>
        <w:jc w:val="both"/>
      </w:pPr>
      <w:r>
        <w:rPr>
          <w:rFonts w:ascii="Times New Roman" w:cs="Times New Roman" w:eastAsia="Times New Roman" w:hAnsi="Times New Roman"/>
          <w:b/>
          <w:bCs/>
          <w:i w:val="false"/>
          <w:iCs w:val="false"/>
          <w:sz w:val="24"/>
          <w:szCs w:val="24"/>
        </w:rPr>
        <w:t xml:space="preserve">IIMB MANAGEMENT REVIEW — EDITORIAL REVIEW SIMULATION</w:t>
      </w:r>
    </w:p>
    <w:p>
      <w:pPr>
        <w:spacing w:after="180" w:before="0" w:line="480"/>
        <w:jc w:val="both"/>
      </w:pPr>
      <w:r>
        <w:rPr>
          <w:rFonts w:ascii="Times New Roman" w:cs="Times New Roman" w:eastAsia="Times New Roman" w:hAnsi="Times New Roman"/>
          <w:b w:val="false"/>
          <w:bCs w:val="false"/>
          <w:i/>
          <w:iCs/>
          <w:sz w:val="24"/>
          <w:szCs w:val="24"/>
        </w:rPr>
        <w:t xml:space="preserve">Paper: "Beyond Tick-Box Compliance: BRSR Reporting Practices of Indian Companies and the Road to Substantive Sustainability Disclosure"</w:t>
      </w:r>
    </w:p>
    <w:p>
      <w:pPr>
        <w:spacing w:after="180" w:before="0" w:line="480"/>
        <w:jc w:val="both"/>
      </w:pPr>
      <w:r>
        <w:rPr>
          <w:rFonts w:ascii="Times New Roman" w:cs="Times New Roman" w:eastAsia="Times New Roman" w:hAnsi="Times New Roman"/>
          <w:b/>
          <w:bCs/>
          <w:i w:val="false"/>
          <w:iCs w:val="false"/>
          <w:sz w:val="24"/>
          <w:szCs w:val="24"/>
        </w:rPr>
        <w:t xml:space="preserve">Recommendation: Accept with Minor Revisions — A timely, analytically rigorous, and practically relevant article that addresses a significant gap in Indian management scholarship on sustainability disclosure. Well-suited to IIMB Management Review's practitioner-academic audience.</w:t>
      </w:r>
    </w:p>
    <w:p>
      <w:pPr>
        <w:spacing w:line="240"/>
      </w:pPr>
      <w:r>
        <w:t xml:space="preserve"/>
      </w:r>
    </w:p>
    <w:p>
      <w:pPr>
        <w:pStyle w:val="Heading2"/>
        <w:spacing w:after="160" w:before="360"/>
      </w:pPr>
      <w:r>
        <w:rPr>
          <w:rFonts w:ascii="Times New Roman" w:cs="Times New Roman" w:eastAsia="Times New Roman" w:hAnsi="Times New Roman"/>
          <w:b/>
          <w:bCs/>
          <w:i/>
          <w:iCs/>
          <w:sz w:val="26"/>
          <w:szCs w:val="26"/>
        </w:rPr>
        <w:t xml:space="preserve">Summary</w:t>
      </w:r>
    </w:p>
    <w:p>
      <w:pPr>
        <w:spacing w:after="180" w:before="0" w:line="480"/>
        <w:jc w:val="both"/>
      </w:pPr>
      <w:r>
        <w:rPr>
          <w:rFonts w:ascii="Times New Roman" w:cs="Times New Roman" w:eastAsia="Times New Roman" w:hAnsi="Times New Roman"/>
          <w:b w:val="false"/>
          <w:bCs w:val="false"/>
          <w:i w:val="false"/>
          <w:iCs w:val="false"/>
          <w:sz w:val="24"/>
          <w:szCs w:val="24"/>
        </w:rPr>
        <w:t xml:space="preserve">This article makes a genuine contribution by developing an analytical framework — the BRSR Quality Spectrum — that provides both diagnostic clarity and strategic guidance for Indian corporate leaders navigating BRSR compliance. The five systemic patterns identified are analytically well-grounded and will resonate with practitioners who have experienced these patterns first-hand. The article strikes the right balance between analytical rigour and practical accessibility for IIMBR's dual academic-practitioner readership.</w:t>
      </w:r>
    </w:p>
    <w:p>
      <w:pPr>
        <w:pStyle w:val="Heading2"/>
        <w:spacing w:after="160" w:before="360"/>
      </w:pPr>
      <w:r>
        <w:rPr>
          <w:rFonts w:ascii="Times New Roman" w:cs="Times New Roman" w:eastAsia="Times New Roman" w:hAnsi="Times New Roman"/>
          <w:b/>
          <w:bCs/>
          <w:i/>
          <w:iCs/>
          <w:sz w:val="26"/>
          <w:szCs w:val="26"/>
        </w:rPr>
        <w:t xml:space="preserve">Major Concerns</w:t>
      </w:r>
    </w:p>
    <w:p>
      <w:pPr>
        <w:spacing w:after="180" w:before="0" w:line="480"/>
        <w:jc w:val="both"/>
      </w:pPr>
      <w:r>
        <w:rPr>
          <w:rFonts w:ascii="Times New Roman" w:cs="Times New Roman" w:eastAsia="Times New Roman" w:hAnsi="Times New Roman"/>
          <w:b w:val="false"/>
          <w:bCs w:val="false"/>
          <w:i w:val="false"/>
          <w:iCs w:val="false"/>
          <w:sz w:val="24"/>
          <w:szCs w:val="24"/>
        </w:rPr>
        <w:t xml:space="preserve">1. Empirical grounding: The article refers to patterns observed in Nifty 500 BRSR filings but does not systematically document the evidence base for the five patterns claimed. IIMBR readers will be more persuaded by specific, named examples (or anonymous sector-level examples where naming would be inappropriate) of each pattern. Suggested fix: Add a box or exhibit for each pattern with one or two illustrative examples drawn from publicly available BRSR filings, described analytically rather than pejoratively.</w:t>
      </w:r>
    </w:p>
    <w:p>
      <w:pPr>
        <w:spacing w:after="180" w:before="0" w:line="480"/>
        <w:jc w:val="both"/>
      </w:pPr>
      <w:r>
        <w:rPr>
          <w:rFonts w:ascii="Times New Roman" w:cs="Times New Roman" w:eastAsia="Times New Roman" w:hAnsi="Times New Roman"/>
          <w:b w:val="false"/>
          <w:bCs w:val="false"/>
          <w:i w:val="false"/>
          <w:iCs w:val="false"/>
          <w:sz w:val="24"/>
          <w:szCs w:val="24"/>
        </w:rPr>
        <w:t xml:space="preserve">2. The BRSR Quality Spectrum needs operationalization: Table 2 provides a useful diagnostic summary, but the article would be strengthened by a brief discussion of how a company would actually self-assess against the Spectrum dimensions — what data would it need, who would conduct the assessment, and how would the outcome inform disclosure strategy. Suggested fix: Add a half-page "How to Use the BRSR Quality Spectrum" sidebar.</w:t>
      </w:r>
    </w:p>
    <w:p>
      <w:pPr>
        <w:spacing w:after="180" w:before="0" w:line="480"/>
        <w:jc w:val="both"/>
      </w:pPr>
      <w:r>
        <w:rPr>
          <w:rFonts w:ascii="Times New Roman" w:cs="Times New Roman" w:eastAsia="Times New Roman" w:hAnsi="Times New Roman"/>
          <w:b w:val="false"/>
          <w:bCs w:val="false"/>
          <w:i w:val="false"/>
          <w:iCs w:val="false"/>
          <w:sz w:val="24"/>
          <w:szCs w:val="24"/>
        </w:rPr>
        <w:t xml:space="preserve">3. The recommendations section, while practical, is somewhat generic in places. Recommendation 3 (board governance) in particular would benefit from more India-specific institutional analysis — acknowledging the promoter-dominated governance context and the specific challenges this creates for independent board engagement with sustainability. Suggested fix: Add a paragraph addressing the promoter governance context explicitly.</w:t>
      </w:r>
    </w:p>
    <w:p>
      <w:pPr>
        <w:pStyle w:val="Heading2"/>
        <w:spacing w:after="160" w:before="360"/>
      </w:pPr>
      <w:r>
        <w:rPr>
          <w:rFonts w:ascii="Times New Roman" w:cs="Times New Roman" w:eastAsia="Times New Roman" w:hAnsi="Times New Roman"/>
          <w:b/>
          <w:bCs/>
          <w:i/>
          <w:iCs/>
          <w:sz w:val="26"/>
          <w:szCs w:val="26"/>
        </w:rPr>
        <w:t xml:space="preserve">Minor Concerns</w:t>
      </w:r>
    </w:p>
    <w:p>
      <w:pPr>
        <w:spacing w:after="180" w:before="0" w:line="480"/>
        <w:jc w:val="both"/>
      </w:pPr>
      <w:r>
        <w:rPr>
          <w:rFonts w:ascii="Times New Roman" w:cs="Times New Roman" w:eastAsia="Times New Roman" w:hAnsi="Times New Roman"/>
          <w:b w:val="false"/>
          <w:bCs w:val="false"/>
          <w:i w:val="false"/>
          <w:iCs w:val="false"/>
          <w:sz w:val="24"/>
          <w:szCs w:val="24"/>
        </w:rPr>
        <w:t xml:space="preserve">1. The pull quotes are effective and add to readability; ensure the final version uses no more than three to preserve their impact.</w:t>
      </w:r>
    </w:p>
    <w:p>
      <w:pPr>
        <w:spacing w:after="180" w:before="0" w:line="480"/>
        <w:jc w:val="both"/>
      </w:pPr>
      <w:r>
        <w:rPr>
          <w:rFonts w:ascii="Times New Roman" w:cs="Times New Roman" w:eastAsia="Times New Roman" w:hAnsi="Times New Roman"/>
          <w:b w:val="false"/>
          <w:bCs w:val="false"/>
          <w:i w:val="false"/>
          <w:iCs w:val="false"/>
          <w:sz w:val="24"/>
          <w:szCs w:val="24"/>
        </w:rPr>
        <w:t xml:space="preserve">2. Several [CITE NEEDED] references in the reference list should be resolved before final submission — particularly the empirical literature on BRSR quality in India, which is developing rapidly.</w:t>
      </w:r>
    </w:p>
    <w:p>
      <w:pPr>
        <w:spacing w:after="180" w:before="0" w:line="480"/>
        <w:jc w:val="both"/>
      </w:pPr>
      <w:r>
        <w:rPr>
          <w:rFonts w:ascii="Times New Roman" w:cs="Times New Roman" w:eastAsia="Times New Roman" w:hAnsi="Times New Roman"/>
          <w:b w:val="false"/>
          <w:bCs w:val="false"/>
          <w:i w:val="false"/>
          <w:iCs w:val="false"/>
          <w:sz w:val="24"/>
          <w:szCs w:val="24"/>
        </w:rPr>
        <w:t xml:space="preserve">3. The conclusion's final pull quote is the article's strongest sentence and its current placement is appropriate, but the penultimate paragraph (beginning "The broader significance...") could be tightened without loss of argument.</w:t>
      </w:r>
    </w:p>
    <w:p>
      <w:pPr>
        <w:pStyle w:val="Heading2"/>
        <w:spacing w:after="160" w:before="360"/>
      </w:pPr>
      <w:r>
        <w:rPr>
          <w:rFonts w:ascii="Times New Roman" w:cs="Times New Roman" w:eastAsia="Times New Roman" w:hAnsi="Times New Roman"/>
          <w:b/>
          <w:bCs/>
          <w:i/>
          <w:iCs/>
          <w:sz w:val="26"/>
          <w:szCs w:val="26"/>
        </w:rPr>
        <w:t xml:space="preserve">Questions for Author</w:t>
      </w:r>
    </w:p>
    <w:p>
      <w:pPr>
        <w:spacing w:after="180" w:before="0" w:line="480"/>
        <w:jc w:val="both"/>
      </w:pPr>
      <w:r>
        <w:rPr>
          <w:rFonts w:ascii="Times New Roman" w:cs="Times New Roman" w:eastAsia="Times New Roman" w:hAnsi="Times New Roman"/>
          <w:b w:val="false"/>
          <w:bCs w:val="false"/>
          <w:i w:val="false"/>
          <w:iCs w:val="false"/>
          <w:sz w:val="24"/>
          <w:szCs w:val="24"/>
        </w:rPr>
        <w:t xml:space="preserve">1. The article proposes that BRSR Core assurance requirements will reduce greenwashing risk. What is the author's assessment of the current quality of sustainability assurance being provided by Big Four and specialist assurance providers in India? Is the assurance ecosystem currently capable of delivering the verification quality that makes the BRSR Core framework credible?</w:t>
      </w:r>
    </w:p>
    <w:p>
      <w:pPr>
        <w:spacing w:after="180" w:before="0" w:line="480"/>
        <w:jc w:val="both"/>
      </w:pPr>
      <w:r>
        <w:rPr>
          <w:rFonts w:ascii="Times New Roman" w:cs="Times New Roman" w:eastAsia="Times New Roman" w:hAnsi="Times New Roman"/>
          <w:b w:val="false"/>
          <w:bCs w:val="false"/>
          <w:i w:val="false"/>
          <w:iCs w:val="false"/>
          <w:sz w:val="24"/>
          <w:szCs w:val="24"/>
        </w:rPr>
        <w:t xml:space="preserve">2. The article argues that supply chain transparency is a market-access imperative for Indian exporters facing EU regulatory requirements. Is there evidence that Indian companies with significant EU export exposure are currently investing in supply chain sustainability capability at a materially higher rate than domestically oriented companies — i.e., is market pressure actually working?</w:t>
      </w:r>
    </w:p>
    <w:p>
      <w:pPr>
        <w:pStyle w:val="Heading2"/>
        <w:spacing w:after="160" w:before="360"/>
      </w:pPr>
      <w:r>
        <w:rPr>
          <w:rFonts w:ascii="Times New Roman" w:cs="Times New Roman" w:eastAsia="Times New Roman" w:hAnsi="Times New Roman"/>
          <w:b/>
          <w:bCs/>
          <w:i/>
          <w:iCs/>
          <w:sz w:val="26"/>
          <w:szCs w:val="26"/>
        </w:rPr>
        <w:t xml:space="preserve">Overall Assessment</w:t>
      </w:r>
    </w:p>
    <w:p>
      <w:pPr>
        <w:spacing w:after="180" w:before="0" w:line="480"/>
        <w:jc w:val="both"/>
      </w:pPr>
      <w:r>
        <w:rPr>
          <w:rFonts w:ascii="Times New Roman" w:cs="Times New Roman" w:eastAsia="Times New Roman" w:hAnsi="Times New Roman"/>
          <w:b w:val="false"/>
          <w:bCs w:val="false"/>
          <w:i w:val="false"/>
          <w:iCs w:val="false"/>
          <w:sz w:val="24"/>
          <w:szCs w:val="24"/>
        </w:rPr>
        <w:t xml:space="preserve">This article is ready for publication with minor revisions. It addresses a question of growing strategic importance to Indian corporate leaders and policymakers, develops an original analytical framework, and is written with clarity and analytical authority. With the addition of illustrative examples and the operationalization of the BRSR Quality Spectrum as a self-assessment tool, it will be a frequently cited reference in the Indian sustainability governance literature and a practical resource for corporate and investor practitioners. The article is strongly recommended for acceptance.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20" w:before="520"/>
      <w:outlineLvl w:val="0"/>
    </w:pPr>
    <w:rPr>
      <w:rFonts w:ascii="Times New Roman" w:cs="Times New Roman" w:eastAsia="Times New Roman" w:hAnsi="Times New Roman"/>
      <w:b/>
      <w:bCs/>
      <w:caps/>
      <w:sz w:val="28"/>
      <w:szCs w:val="28"/>
    </w:rPr>
  </w:style>
  <w:style w:type="paragraph" w:styleId="Heading2">
    <w:name w:val="Heading 2"/>
    <w:basedOn w:val="Normal"/>
    <w:next w:val="Normal"/>
    <w:qFormat/>
    <w:pPr>
      <w:spacing w:after="160" w:before="360"/>
      <w:outlineLvl w:val="1"/>
    </w:pPr>
    <w:rPr>
      <w:rFonts w:ascii="Times New Roman" w:cs="Times New Roman" w:eastAsia="Times New Roman" w:hAnsi="Times New Roman"/>
      <w:b/>
      <w:bCs/>
      <w:i/>
      <w:iCs/>
      <w:sz w:val="26"/>
      <w:szCs w:val="26"/>
    </w:rPr>
  </w:style>
  <w:style w:type="paragraph" w:styleId="Heading3">
    <w:name w:val="Heading 3"/>
    <w:basedOn w:val="Normal"/>
    <w:next w:val="Normal"/>
    <w:qFormat/>
    <w:pPr>
      <w:spacing w:after="120" w:before="260"/>
      <w:outlineLvl w:val="2"/>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2026-05-25T11:27:29.248Z</dcterms:created>
  <dcterms:modified xsi:type="dcterms:W3CDTF">2026-05-25T11:27:29.262Z</dcterms:modified>
</cp:coreProperties>
</file>

<file path=docProps/custom.xml><?xml version="1.0" encoding="utf-8"?>
<Properties xmlns="http://schemas.openxmlformats.org/officeDocument/2006/custom-properties" xmlns:vt="http://schemas.openxmlformats.org/officeDocument/2006/docPropsVTypes"/>
</file>