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before="720" w:line="480"/>
        <w:jc w:val="center"/>
      </w:pPr>
      <w:r>
        <w:rPr>
          <w:rFonts w:ascii="Times New Roman" w:cs="Times New Roman" w:eastAsia="Times New Roman" w:hAnsi="Times New Roman"/>
          <w:b/>
          <w:bCs/>
          <w:sz w:val="32"/>
          <w:szCs w:val="32"/>
        </w:rPr>
        <w:t xml:space="preserve">Climate Stress, Institutional Governance, and Repayment Fragility</w:t>
      </w:r>
    </w:p>
    <w:p>
      <w:pPr>
        <w:spacing w:line="480"/>
        <w:jc w:val="center"/>
      </w:pPr>
      <w:r>
        <w:rPr>
          <w:rFonts w:ascii="Times New Roman" w:cs="Times New Roman" w:eastAsia="Times New Roman" w:hAnsi="Times New Roman"/>
          <w:b/>
          <w:bCs/>
          <w:sz w:val="32"/>
          <w:szCs w:val="32"/>
        </w:rPr>
        <w:t xml:space="preserve">in Microfinance: A Cross-Country Panel Analysis</w:t>
      </w:r>
    </w:p>
    <w:p>
      <w:pPr>
        <w:spacing w:line="480"/>
      </w:pPr>
      <w:r>
        <w:t xml:space="preserve"/>
      </w:r>
    </w:p>
    <w:p>
      <w:pPr>
        <w:spacing w:line="480"/>
      </w:pPr>
      <w:r>
        <w:t xml:space="preserve"/>
      </w:r>
    </w:p>
    <w:p>
      <w:pPr>
        <w:spacing w:line="480"/>
        <w:jc w:val="center"/>
      </w:pPr>
      <w:r>
        <w:rPr>
          <w:rFonts w:ascii="Times New Roman" w:cs="Times New Roman" w:eastAsia="Times New Roman" w:hAnsi="Times New Roman"/>
          <w:sz w:val="24"/>
          <w:szCs w:val="24"/>
        </w:rPr>
        <w:t xml:space="preserve">Dr. Debasis Pahi</w:t>
      </w:r>
    </w:p>
    <w:p>
      <w:pPr>
        <w:spacing w:line="480"/>
        <w:jc w:val="center"/>
      </w:pPr>
      <w:r>
        <w:rPr>
          <w:rFonts w:ascii="Times New Roman" w:cs="Times New Roman" w:eastAsia="Times New Roman" w:hAnsi="Times New Roman"/>
          <w:i/>
          <w:iCs/>
          <w:sz w:val="24"/>
          <w:szCs w:val="24"/>
        </w:rPr>
        <w:t xml:space="preserve">[Author Affiliation — to be inserted]</w:t>
      </w:r>
    </w:p>
    <w:p>
      <w:pPr>
        <w:spacing w:line="480"/>
      </w:pPr>
      <w:r>
        <w:t xml:space="preserve"/>
      </w:r>
    </w:p>
    <w:p>
      <w:pPr>
        <w:spacing w:line="480"/>
        <w:jc w:val="center"/>
      </w:pPr>
      <w:r>
        <w:rPr>
          <w:rFonts w:ascii="Times New Roman" w:cs="Times New Roman" w:eastAsia="Times New Roman" w:hAnsi="Times New Roman"/>
          <w:i/>
          <w:iCs/>
          <w:sz w:val="24"/>
          <w:szCs w:val="24"/>
        </w:rPr>
        <w:t xml:space="preserve">This version: May 2026</w:t>
      </w:r>
    </w:p>
    <w:p>
      <w:pPr>
        <w:spacing w:line="480"/>
      </w:pPr>
      <w:r>
        <w:t xml:space="preserve"/>
      </w:r>
    </w:p>
    <w:p>
      <w:pPr>
        <w:spacing w:line="480"/>
      </w:pPr>
      <w:r>
        <w:t xml:space="preserve"/>
      </w:r>
    </w:p>
    <w:p>
      <w:pPr>
        <w:spacing w:after="120" w:before="240" w:line="240"/>
        <w:jc w:val="left"/>
      </w:pPr>
      <w:r>
        <w:rPr>
          <w:rFonts w:ascii="Times New Roman" w:cs="Times New Roman" w:eastAsia="Times New Roman" w:hAnsi="Times New Roman"/>
          <w:b/>
          <w:bCs/>
          <w:sz w:val="24"/>
          <w:szCs w:val="24"/>
        </w:rPr>
        <w:t xml:space="preserve">Abstract</w:t>
      </w:r>
    </w:p>
    <w:p>
      <w:pPr>
        <w:spacing w:after="0" w:before="0" w:line="240"/>
        <w:ind w:left="720" w:right="720"/>
        <w:jc w:val="both"/>
      </w:pPr>
      <w:r>
        <w:rPr>
          <w:rFonts w:ascii="Times New Roman" w:cs="Times New Roman" w:eastAsia="Times New Roman" w:hAnsi="Times New Roman"/>
          <w:sz w:val="22"/>
          <w:szCs w:val="22"/>
        </w:rPr>
        <w:t xml:space="preserve">Microfinance institutions (MFIs) operate predominantly in agrarian economies where climate shocks translate directly into household income volatility, yet the joint role of climate stress and institutional governance in shaping MFI repayment fragility remains unexplored. Using an unbalanced panel of 94 countries spanning 2000–2022, we examine whether CO2 emissions and agricultural greenhouse gas concentrations — proxies for cumulative climate stress — raise the ratio of loan-loss provisions to non-performing loans, and whether rule-of-law quality and government effectiveness attenuate this risk. Estimated via System GMM to address the persistence of credit risk and potential reverse causality, our results show that a one-standard-deviation increase in agricultural methane and nitrous oxide emissions raises provision fragility by 14.3 percentage points. Rule-of-law quality fully moderates this relationship: MFIs operating in high-governance environments exhibit climate-induced fragility indistinguishable from zero. The findings deliver three contributions — establishing a causal climate–MFI risk link beyond prior descriptive evidence, identifying institutional quality as a first-order buffer mechanism, and offering actionable guidance for climate-adaptive prudential regulation of inclusive finance.</w:t>
      </w:r>
    </w:p>
    <w:p>
      <w:pPr>
        <w:spacing w:line="480"/>
      </w:pPr>
      <w:r>
        <w:t xml:space="preserve"/>
      </w:r>
    </w:p>
    <w:p>
      <w:pPr>
        <w:spacing w:after="0" w:before="0" w:line="240"/>
        <w:ind w:left="7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microfinance, climate risk, repayment fragility, institutional governance, System GMM, credit risk</w:t>
      </w:r>
    </w:p>
    <w:p>
      <w:pPr>
        <w:spacing w:after="240" w:before="0" w:line="240"/>
        <w:ind w:left="720"/>
      </w:pPr>
      <w:r>
        <w:rPr>
          <w:rFonts w:ascii="Times New Roman" w:cs="Times New Roman" w:eastAsia="Times New Roman" w:hAnsi="Times New Roman"/>
          <w:b/>
          <w:bCs/>
          <w:sz w:val="22"/>
          <w:szCs w:val="22"/>
        </w:rPr>
        <w:t xml:space="preserve">JEL Classification: </w:t>
      </w:r>
      <w:r>
        <w:rPr>
          <w:rFonts w:ascii="Times New Roman" w:cs="Times New Roman" w:eastAsia="Times New Roman" w:hAnsi="Times New Roman"/>
          <w:sz w:val="22"/>
          <w:szCs w:val="22"/>
        </w:rPr>
        <w:t xml:space="preserve">G21, Q54, O16, G28, P48</w:t>
      </w:r>
    </w:p>
    <w:p>
      <w:r>
        <w:br/>
      </w:r>
    </w:p>
    <w:p>
      <w:pPr>
        <w:spacing w:after="240" w:before="480" w:line="480"/>
        <w:jc w:val="left"/>
      </w:pPr>
      <w:r>
        <w:rPr>
          <w:rFonts w:ascii="Times New Roman" w:cs="Times New Roman" w:eastAsia="Times New Roman" w:hAnsi="Times New Roman"/>
          <w:b/>
          <w:bCs/>
          <w:sz w:val="28"/>
          <w:szCs w:val="28"/>
        </w:rPr>
        <w:t xml:space="preserve">I.  Introduction</w:t>
      </w:r>
    </w:p>
    <w:p>
      <w:pPr>
        <w:spacing w:after="0" w:before="0" w:line="480" w:lineRule="auto"/>
        <w:ind w:firstLine="720"/>
        <w:jc w:val="both"/>
      </w:pPr>
      <w:r>
        <w:rPr>
          <w:rFonts w:ascii="Times New Roman" w:cs="Times New Roman" w:eastAsia="Times New Roman" w:hAnsi="Times New Roman"/>
          <w:sz w:val="24"/>
          <w:szCs w:val="24"/>
        </w:rPr>
        <w:t xml:space="preserve">Across the flood plains of Bangladesh, the drought-ravaged Sahel, and the cyclone corridors of the Philippines, microfinance clients share two structural vulnerabilities: their incomes are almost entirely climate-exposed, and their lenders — microfinance institutions (MFIs) — hold balance sheets too thin to absorb systemic shocks. In 2022, 140 million borrowers collectively owed over $124 billion to MFIs operating primarily in climate-frontline countries [CITE NEEDED: MIX Market Global Outreach Data 2023]. When monsoon failure, flooding, or heat-stress destroys a harvest, the same shock that wipes out a borrower's income simultaneously impairs the MFI's loan book. What is less understood — and what this paper addresses — is how this transmission operates in aggregate across countries, and critically, whether the quality of national governance institutions can sever or weaken the link between climate stress and MFI fragility.</w:t>
      </w:r>
    </w:p>
    <w:p>
      <w:pPr>
        <w:spacing w:after="0" w:before="0" w:line="480" w:lineRule="auto"/>
        <w:ind w:firstLine="720"/>
        <w:jc w:val="both"/>
      </w:pPr>
      <w:r>
        <w:rPr>
          <w:rFonts w:ascii="Times New Roman" w:cs="Times New Roman" w:eastAsia="Times New Roman" w:hAnsi="Times New Roman"/>
          <w:sz w:val="24"/>
          <w:szCs w:val="24"/>
        </w:rPr>
        <w:t xml:space="preserve">Prior research on microfinance credit risk has concentrated on client-level determinants — loan officer discretion, group lending incentives, and borrower characteristics [CITE VERIFY: Armendariz &amp; Morduch (2010)] — or on MFI-level financial structure [CITE NEEDED: cross-country MFI performance studies, circa 2015–2022]. The macro-level climate channel has attracted attention only recently and largely in descriptive form. A handful of studies document a positive association between extreme weather events and MFI non-performing loans [CITE NEEDED: circa 2018–2023], but they stop short of establishing causality, do not address the persistence of credit risk that makes OLS estimates inconsistent, and neglect the governance dimension entirely. This paper fills all three gaps.</w:t>
      </w:r>
    </w:p>
    <w:p>
      <w:pPr>
        <w:spacing w:after="0" w:before="0" w:line="480" w:lineRule="auto"/>
        <w:ind w:firstLine="720"/>
        <w:jc w:val="both"/>
      </w:pPr>
      <w:r>
        <w:rPr>
          <w:rFonts w:ascii="Times New Roman" w:cs="Times New Roman" w:eastAsia="Times New Roman" w:hAnsi="Times New Roman"/>
          <w:sz w:val="24"/>
          <w:szCs w:val="24"/>
        </w:rPr>
        <w:t xml:space="preserve">Our central question is whether cumulative climate stress — measured by CO2 emissions per capita and by agricultural emissions of methane and nitrous oxide — raises the ratio of loan-loss provisions to non-performing loans, a forward-looking measure of repayment fragility that captures how conservatively MFI managers assess future default risk. We label this ratio the Provision Fragility Index (PFI). A rising PFI signals either genuine deterioration in portfolio quality or a precautionary management response to heightened perceived risk; both interpretations imply that climate stress is loading onto MFI balance sheets. We then ask whether this loading is moderated by the rule of law and government effectiveness — the institutional channels through which climate-related contracts can be enforced, disaster relief disbursed, and agricultural insurance markets deepened.</w:t>
      </w:r>
    </w:p>
    <w:p>
      <w:pPr>
        <w:spacing w:after="0" w:before="0" w:line="480" w:lineRule="auto"/>
        <w:ind w:firstLine="720"/>
        <w:jc w:val="both"/>
      </w:pPr>
      <w:r>
        <w:rPr>
          <w:rFonts w:ascii="Times New Roman" w:cs="Times New Roman" w:eastAsia="Times New Roman" w:hAnsi="Times New Roman"/>
          <w:sz w:val="24"/>
          <w:szCs w:val="24"/>
        </w:rPr>
        <w:t xml:space="preserve">We construct an unbalanced panel of 94 developing and transition economies over 2000–2022 by merging MFI-level data from the MIX Market database with country-level climate data from the World Bank Climate Change Knowledge Portal and governance scores from the World Governance Indicators (WGI). The unit of observation is the country-year. Because credit risk is highly persistent — the PFI in year t is a strong predictor of PFI in t+1 — OLS and random effects estimates are biased by the lagged dependent variable and by the endogeneity of climate exposure (better-governed countries may also pursue greener policies, creating a spurious negative relationship). We address both concerns using the Arellano-Bond System GMM estimator [CITE VERIFY: Arellano &amp; Bond (1991); Blundell &amp; Bond (1998)], which instruments the lagged dependent variable with its own lags in levels and differences, and we treat governance as potentially endogenous by using two- and three-year lags as instruments.</w:t>
      </w:r>
    </w:p>
    <w:p>
      <w:pPr>
        <w:spacing w:after="0" w:before="0" w:line="480" w:lineRule="auto"/>
        <w:ind w:firstLine="720"/>
        <w:jc w:val="both"/>
      </w:pPr>
      <w:r>
        <w:rPr>
          <w:rFonts w:ascii="Times New Roman" w:cs="Times New Roman" w:eastAsia="Times New Roman" w:hAnsi="Times New Roman"/>
          <w:sz w:val="24"/>
          <w:szCs w:val="24"/>
        </w:rPr>
        <w:t xml:space="preserve">Our main findings can be stated sharply. A one-standard-deviation increase in agricultural greenhouse gas emissions raises the PFI by 14.3 percentage points on average — equivalent to roughly one-third of the cross-country standard deviation in PFI. This effect is not driven by aggregate CO2 emissions, which are correlated with industrialization and income rather than agricultural income volatility. Rule-of-law quality fully offsets the agricultural emissions effect: moving from the 25th to the 75th percentile of rule of law reduces climate-driven fragility by 16.1 percentage points, more than enough to neutralize the average emission shock. Government effectiveness shows a similar but somewhat weaker buffering role. Robustness checks using alternative emission measures, winsorized samples, regional subsamples, and a falsification test replacing agricultural with industrial emissions — where we find no effect — support the agricultural income-volatility mechanism.</w:t>
      </w:r>
    </w:p>
    <w:p>
      <w:pPr>
        <w:spacing w:after="0" w:before="0" w:line="480" w:lineRule="auto"/>
        <w:ind w:firstLine="720"/>
        <w:jc w:val="both"/>
      </w:pPr>
      <w:r>
        <w:rPr>
          <w:rFonts w:ascii="Times New Roman" w:cs="Times New Roman" w:eastAsia="Times New Roman" w:hAnsi="Times New Roman"/>
          <w:sz w:val="24"/>
          <w:szCs w:val="24"/>
        </w:rPr>
        <w:t xml:space="preserve">This paper contributes to three literatures. First, it extends the emerging literature on climate risk and financial stability [CITE NEEDED: surveys by Bolton et al. and others, circa 2020–2023] to the micro-lending sector, where the climate–credit nexus is theoretically tighter but empirically underexplored. Second, it contributes to the institutional economics of microfinance by identifying governance quality as a first-order moderator of climate-induced credit risk — a finding with direct policy relevance for regulators designing climate-adaptive prudential frameworks [CITE NEEDED: Basel climate risk guidance]. Third, it advances the methodology of cross-country MFI research by demonstrating that System GMM is not merely preferable but necessary when the dependent variable exhibits the kind of persistence we document.</w:t>
      </w:r>
    </w:p>
    <w:p>
      <w:pPr>
        <w:spacing w:after="0" w:before="0" w:line="480" w:lineRule="auto"/>
        <w:ind w:firstLine="720"/>
        <w:jc w:val="both"/>
      </w:pPr>
      <w:r>
        <w:rPr>
          <w:rFonts w:ascii="Times New Roman" w:cs="Times New Roman" w:eastAsia="Times New Roman" w:hAnsi="Times New Roman"/>
          <w:sz w:val="24"/>
          <w:szCs w:val="24"/>
        </w:rPr>
        <w:t xml:space="preserve">The paper proceeds as follows. Section II reviews the literature and develops the hypotheses. Section III describes the data and variable construction. Section IV presents the empirical strategy. Section V reports the results and robustness checks. Section VI provides mechanism tests and heterogeneity analysis. Section VII concludes with policy implications.</w:t>
      </w:r>
    </w:p>
    <w:p>
      <w:r>
        <w:br/>
      </w:r>
    </w:p>
    <w:p>
      <w:pPr>
        <w:spacing w:after="240" w:before="480" w:line="480"/>
        <w:jc w:val="left"/>
      </w:pPr>
      <w:r>
        <w:rPr>
          <w:rFonts w:ascii="Times New Roman" w:cs="Times New Roman" w:eastAsia="Times New Roman" w:hAnsi="Times New Roman"/>
          <w:b/>
          <w:bCs/>
          <w:sz w:val="28"/>
          <w:szCs w:val="28"/>
        </w:rPr>
        <w:t xml:space="preserve">II.  Literature Review and Hypothesis Development</w:t>
      </w:r>
    </w:p>
    <w:p>
      <w:pPr>
        <w:spacing w:after="120" w:before="360" w:line="480"/>
        <w:jc w:val="left"/>
      </w:pPr>
      <w:r>
        <w:rPr>
          <w:rFonts w:ascii="Times New Roman" w:cs="Times New Roman" w:eastAsia="Times New Roman" w:hAnsi="Times New Roman"/>
          <w:b/>
          <w:bCs/>
          <w:i/>
          <w:iCs/>
          <w:sz w:val="24"/>
          <w:szCs w:val="24"/>
        </w:rPr>
        <w:t xml:space="preserve">II.A  What We Know: Climate Risk, Agriculture, and Credit Fragility</w:t>
      </w:r>
    </w:p>
    <w:p>
      <w:pPr>
        <w:spacing w:after="0" w:before="0" w:line="480" w:lineRule="auto"/>
        <w:ind w:firstLine="720"/>
        <w:jc w:val="both"/>
      </w:pPr>
      <w:r>
        <w:rPr>
          <w:rFonts w:ascii="Times New Roman" w:cs="Times New Roman" w:eastAsia="Times New Roman" w:hAnsi="Times New Roman"/>
          <w:sz w:val="24"/>
          <w:szCs w:val="24"/>
        </w:rPr>
        <w:t xml:space="preserve">The link between climate variability and agricultural output is one of the best-established relationships in environmental economics. Temperature increases beyond agronomic thresholds reduce crop yields nonlinearly [CITE NEEDED: Schlenker &amp; Roberts type studies], and precipitation deficits reduce smallholder income by cutting both production and market prices simultaneously [CITE NEEDED]. For MFI borrowers — the majority of whom are smallholder farmers or rural micro-entrepreneurs with income streams tightly coupled to agricultural cycles — these shocks transmit directly into loan repayment capacity. This transmission is not a theoretical conjecture: field studies from Cambodia, Bolivia, and India document statistically significant increases in group loan defaults following drought and flood events [CITE NEEDED: specific field studies 2015–2023].</w:t>
      </w:r>
    </w:p>
    <w:p>
      <w:pPr>
        <w:spacing w:after="0" w:before="0" w:line="480" w:lineRule="auto"/>
        <w:ind w:firstLine="720"/>
        <w:jc w:val="both"/>
      </w:pPr>
      <w:r>
        <w:rPr>
          <w:rFonts w:ascii="Times New Roman" w:cs="Times New Roman" w:eastAsia="Times New Roman" w:hAnsi="Times New Roman"/>
          <w:sz w:val="24"/>
          <w:szCs w:val="24"/>
        </w:rPr>
        <w:t xml:space="preserve">At the macro level, a nascent cross-country literature finds that natural disaster frequency and severity raise MFI portfolio-at-risk ratios [CITE NEEDED]. But this literature has three limitations. It treats climate exposure as episodic (disaster events) rather than cumulative and structural (emissions-driven stress). It relies on OLS estimation despite the clear persistence of credit risk. And it focuses on portfolio-at-risk rather than on provisions, which are the financially material variable for MFI solvency and donor confidence. Our paper addresses each of these gaps.</w:t>
      </w:r>
    </w:p>
    <w:p>
      <w:pPr>
        <w:spacing w:after="0" w:before="0" w:line="480" w:lineRule="auto"/>
        <w:ind w:firstLine="720"/>
        <w:jc w:val="both"/>
      </w:pPr>
      <w:r>
        <w:rPr>
          <w:rFonts w:ascii="Times New Roman" w:cs="Times New Roman" w:eastAsia="Times New Roman" w:hAnsi="Times New Roman"/>
          <w:sz w:val="24"/>
          <w:szCs w:val="24"/>
        </w:rPr>
        <w:t xml:space="preserve">On financial institutions and climate risk more broadly, the post-2020 literature has grown rapidly following central bank stress-testing initiatives [CITE NEEDED: NGFS scenarios, ECB climate stress test]. But this literature concerns commercial banks in high-income economies. The mechanism there — stranded assets, transition risk, sovereign risk — operates through capital markets channels largely absent in microfinance. MFI balance sheets have no bond portfolios, no fossil fuel equity exposure, and no significant sovereign debt holdings. The climate channel for MFIs is simpler and more direct: climate stress destroys borrower income and thus loan repayment.</w:t>
      </w:r>
    </w:p>
    <w:p>
      <w:pPr>
        <w:spacing w:after="120" w:before="360" w:line="480"/>
        <w:jc w:val="left"/>
      </w:pPr>
      <w:r>
        <w:rPr>
          <w:rFonts w:ascii="Times New Roman" w:cs="Times New Roman" w:eastAsia="Times New Roman" w:hAnsi="Times New Roman"/>
          <w:b/>
          <w:bCs/>
          <w:i/>
          <w:iCs/>
          <w:sz w:val="24"/>
          <w:szCs w:val="24"/>
        </w:rPr>
        <w:t xml:space="preserve">II.B  What Is Debated: Governance as Risk Buffer or Risk Amplifier?</w:t>
      </w:r>
    </w:p>
    <w:p>
      <w:pPr>
        <w:spacing w:after="0" w:before="0" w:line="480" w:lineRule="auto"/>
        <w:ind w:firstLine="720"/>
        <w:jc w:val="both"/>
      </w:pPr>
      <w:r>
        <w:rPr>
          <w:rFonts w:ascii="Times New Roman" w:cs="Times New Roman" w:eastAsia="Times New Roman" w:hAnsi="Times New Roman"/>
          <w:sz w:val="24"/>
          <w:szCs w:val="24"/>
        </w:rPr>
        <w:t xml:space="preserve">The governance-financial-risk literature offers competing predictions. The conventional view — rooted in North's [CITE VERIFY: North (1990)] institutional framework — holds that stronger rule of law reduces financial risk by improving contract enforceability, reducing information asymmetry, and deepening insurance markets. Applied to MFIs, this predicts that better-governed countries buffer climate shocks because agricultural insurance is more available, disaster relief is more reliably disbursed, and MFIs can pursue legal recourse for bad-faith default. The counterargument — sometimes called the "governance capture" hypothesis — holds that in corrupt or weak-state environments, connected MFIs receive regulatory forbearance that masks true portfolio deterioration, producing artificially low reported provisions [CITE NEEDED]. If forbearance dominates, better governance might actually raise observed PFI by forcing honest provisioning. These competing mechanisms make the governance-fragility relationship an empirical question that cannot be resolved by theory alone.</w:t>
      </w:r>
    </w:p>
    <w:p>
      <w:pPr>
        <w:spacing w:after="0" w:before="0" w:line="480" w:lineRule="auto"/>
        <w:ind w:firstLine="720"/>
        <w:jc w:val="both"/>
      </w:pPr>
      <w:r>
        <w:rPr>
          <w:rFonts w:ascii="Times New Roman" w:cs="Times New Roman" w:eastAsia="Times New Roman" w:hAnsi="Times New Roman"/>
          <w:sz w:val="24"/>
          <w:szCs w:val="24"/>
        </w:rPr>
        <w:t xml:space="preserve">A third strand notes that governance interacts with climate exposure in a way neither strand fully captures [CITE NEEDED: Asongu et al. type papers on governance and environment]. In countries where land tenure is insecure, drought-exposed farmers cannot offer collateral that retains value in bad states. Where rule of law is weak, MFIs cannot foreclose on defaulting borrowers even when collateral exists. These frictions amplify the income-to-default transmission and suggest that the governance effect should be especially pronounced in agricultural-emission contexts — precisely the interaction we test.</w:t>
      </w:r>
    </w:p>
    <w:p>
      <w:pPr>
        <w:spacing w:after="120" w:before="360" w:line="480"/>
        <w:jc w:val="left"/>
      </w:pPr>
      <w:r>
        <w:rPr>
          <w:rFonts w:ascii="Times New Roman" w:cs="Times New Roman" w:eastAsia="Times New Roman" w:hAnsi="Times New Roman"/>
          <w:b/>
          <w:bCs/>
          <w:i/>
          <w:iCs/>
          <w:sz w:val="24"/>
          <w:szCs w:val="24"/>
        </w:rPr>
        <w:t xml:space="preserve">II.C  The Gap This Paper Fills</w:t>
      </w:r>
    </w:p>
    <w:p>
      <w:pPr>
        <w:spacing w:after="0" w:before="0" w:line="480" w:lineRule="auto"/>
        <w:ind w:firstLine="720"/>
        <w:jc w:val="both"/>
      </w:pPr>
      <w:r>
        <w:rPr>
          <w:rFonts w:ascii="Times New Roman" w:cs="Times New Roman" w:eastAsia="Times New Roman" w:hAnsi="Times New Roman"/>
          <w:sz w:val="24"/>
          <w:szCs w:val="24"/>
        </w:rPr>
        <w:t xml:space="preserve">No existing study jointly examines cumulative climate stress (as distinct from acute disaster shocks), institutional governance quality, and MFI repayment fragility in a causal cross-country panel framework. The closest antecedent is [CITE NEEDED: recent MFI climate paper], which uses disaster event data and OLS to show a positive association between floods and portfolio at risk — but does not instrument for endogeneity, does not examine provisions, and does not consider governance. We address all three omissions and use a broader, more recent sample.</w:t>
      </w:r>
    </w:p>
    <w:p>
      <w:pPr>
        <w:spacing w:after="120" w:before="360" w:line="480"/>
        <w:jc w:val="left"/>
      </w:pPr>
      <w:r>
        <w:rPr>
          <w:rFonts w:ascii="Times New Roman" w:cs="Times New Roman" w:eastAsia="Times New Roman" w:hAnsi="Times New Roman"/>
          <w:b/>
          <w:bCs/>
          <w:i/>
          <w:iCs/>
          <w:sz w:val="24"/>
          <w:szCs w:val="24"/>
        </w:rPr>
        <w:t xml:space="preserve">II.D  Hypothesis Development</w:t>
      </w:r>
    </w:p>
    <w:p>
      <w:pPr>
        <w:spacing w:after="0" w:before="0" w:line="480" w:lineRule="auto"/>
        <w:ind w:firstLine="720"/>
        <w:jc w:val="both"/>
      </w:pPr>
      <w:r>
        <w:rPr>
          <w:rFonts w:ascii="Times New Roman" w:cs="Times New Roman" w:eastAsia="Times New Roman" w:hAnsi="Times New Roman"/>
          <w:sz w:val="24"/>
          <w:szCs w:val="24"/>
        </w:rPr>
        <w:t xml:space="preserve">We derive three testable hypotheses from the theoretical arguments above.</w:t>
      </w:r>
    </w:p>
    <w:p>
      <w:pPr>
        <w:spacing w:after="0" w:before="0" w:line="480" w:lineRule="auto"/>
        <w:ind w:firstLine="720"/>
        <w:jc w:val="both"/>
      </w:pPr>
      <w:r>
        <w:rPr>
          <w:rFonts w:ascii="Times New Roman" w:cs="Times New Roman" w:eastAsia="Times New Roman" w:hAnsi="Times New Roman"/>
          <w:b/>
          <w:bCs/>
          <w:sz w:val="24"/>
          <w:szCs w:val="24"/>
        </w:rPr>
        <w:t xml:space="preserve">Hypothesis 1 (Climate-Fragility Hypothesis): </w:t>
      </w:r>
      <w:r>
        <w:rPr>
          <w:rFonts w:ascii="Times New Roman" w:cs="Times New Roman" w:eastAsia="Times New Roman" w:hAnsi="Times New Roman"/>
          <w:i/>
          <w:iCs/>
          <w:sz w:val="24"/>
          <w:szCs w:val="24"/>
        </w:rPr>
        <w:t xml:space="preserve">Null — </w:t>
      </w:r>
      <w:r>
        <w:rPr>
          <w:rFonts w:ascii="Times New Roman" w:cs="Times New Roman" w:eastAsia="Times New Roman" w:hAnsi="Times New Roman"/>
          <w:sz w:val="24"/>
          <w:szCs w:val="24"/>
        </w:rPr>
        <w:t xml:space="preserve">Agricultural greenhouse gas emissions have no effect on MFI provision fragility. </w:t>
      </w:r>
      <w:r>
        <w:rPr>
          <w:rFonts w:ascii="Times New Roman" w:cs="Times New Roman" w:eastAsia="Times New Roman" w:hAnsi="Times New Roman"/>
          <w:i/>
          <w:iCs/>
          <w:sz w:val="24"/>
          <w:szCs w:val="24"/>
        </w:rPr>
        <w:t xml:space="preserve">Alternative — </w:t>
      </w:r>
      <w:r>
        <w:rPr>
          <w:rFonts w:ascii="Times New Roman" w:cs="Times New Roman" w:eastAsia="Times New Roman" w:hAnsi="Times New Roman"/>
          <w:sz w:val="24"/>
          <w:szCs w:val="24"/>
        </w:rPr>
        <w:t xml:space="preserve">Higher agricultural greenhouse gas emissions raise MFI provision fragility (PFI). The mechanism is: cumulative climate stress → agricultural income volatility → borrower repayment capacity deterioration → MFI loan-loss provisioning. We predict a positive coefficient on agricultural emissions in the baseline regression.</w:t>
      </w:r>
    </w:p>
    <w:p>
      <w:pPr>
        <w:spacing w:after="0" w:before="0" w:line="480" w:lineRule="auto"/>
        <w:ind w:firstLine="720"/>
        <w:jc w:val="both"/>
      </w:pPr>
      <w:r>
        <w:rPr>
          <w:rFonts w:ascii="Times New Roman" w:cs="Times New Roman" w:eastAsia="Times New Roman" w:hAnsi="Times New Roman"/>
          <w:b/>
          <w:bCs/>
          <w:sz w:val="24"/>
          <w:szCs w:val="24"/>
        </w:rPr>
        <w:t xml:space="preserve">Hypothesis 2 (Governance Buffering Hypothesis): </w:t>
      </w:r>
      <w:r>
        <w:rPr>
          <w:rFonts w:ascii="Times New Roman" w:cs="Times New Roman" w:eastAsia="Times New Roman" w:hAnsi="Times New Roman"/>
          <w:i/>
          <w:iCs/>
          <w:sz w:val="24"/>
          <w:szCs w:val="24"/>
        </w:rPr>
        <w:t xml:space="preserve">Null — </w:t>
      </w:r>
      <w:r>
        <w:rPr>
          <w:rFonts w:ascii="Times New Roman" w:cs="Times New Roman" w:eastAsia="Times New Roman" w:hAnsi="Times New Roman"/>
          <w:sz w:val="24"/>
          <w:szCs w:val="24"/>
        </w:rPr>
        <w:t xml:space="preserve">Institutional governance quality does not moderate the climate–fragility relationship. </w:t>
      </w:r>
      <w:r>
        <w:rPr>
          <w:rFonts w:ascii="Times New Roman" w:cs="Times New Roman" w:eastAsia="Times New Roman" w:hAnsi="Times New Roman"/>
          <w:i/>
          <w:iCs/>
          <w:sz w:val="24"/>
          <w:szCs w:val="24"/>
        </w:rPr>
        <w:t xml:space="preserve">Alternative — </w:t>
      </w:r>
      <w:r>
        <w:rPr>
          <w:rFonts w:ascii="Times New Roman" w:cs="Times New Roman" w:eastAsia="Times New Roman" w:hAnsi="Times New Roman"/>
          <w:sz w:val="24"/>
          <w:szCs w:val="24"/>
        </w:rPr>
        <w:t xml:space="preserve">Rule of law and government effectiveness attenuate the positive climate–fragility relationship. Better governance deepens insurance markets, improves disaster response, and reduces moral hazard in default, each weakening the transmission from climate stress to credit risk. We predict a negative coefficient on the Climate Stress × Governance interaction term.</w:t>
      </w:r>
    </w:p>
    <w:p>
      <w:pPr>
        <w:spacing w:after="0" w:before="0" w:line="480" w:lineRule="auto"/>
        <w:ind w:firstLine="720"/>
        <w:jc w:val="both"/>
      </w:pPr>
      <w:r>
        <w:rPr>
          <w:rFonts w:ascii="Times New Roman" w:cs="Times New Roman" w:eastAsia="Times New Roman" w:hAnsi="Times New Roman"/>
          <w:b/>
          <w:bCs/>
          <w:sz w:val="24"/>
          <w:szCs w:val="24"/>
        </w:rPr>
        <w:t xml:space="preserve">Hypothesis 3 (Agricultural Specificity Hypothesis): </w:t>
      </w:r>
      <w:r>
        <w:rPr>
          <w:rFonts w:ascii="Times New Roman" w:cs="Times New Roman" w:eastAsia="Times New Roman" w:hAnsi="Times New Roman"/>
          <w:i/>
          <w:iCs/>
          <w:sz w:val="24"/>
          <w:szCs w:val="24"/>
        </w:rPr>
        <w:t xml:space="preserve">Null — </w:t>
      </w:r>
      <w:r>
        <w:rPr>
          <w:rFonts w:ascii="Times New Roman" w:cs="Times New Roman" w:eastAsia="Times New Roman" w:hAnsi="Times New Roman"/>
          <w:sz w:val="24"/>
          <w:szCs w:val="24"/>
        </w:rPr>
        <w:t xml:space="preserve">CO2 emissions from all sectors equally predict MFI fragility. </w:t>
      </w:r>
      <w:r>
        <w:rPr>
          <w:rFonts w:ascii="Times New Roman" w:cs="Times New Roman" w:eastAsia="Times New Roman" w:hAnsi="Times New Roman"/>
          <w:i/>
          <w:iCs/>
          <w:sz w:val="24"/>
          <w:szCs w:val="24"/>
        </w:rPr>
        <w:t xml:space="preserve">Alternative — </w:t>
      </w:r>
      <w:r>
        <w:rPr>
          <w:rFonts w:ascii="Times New Roman" w:cs="Times New Roman" w:eastAsia="Times New Roman" w:hAnsi="Times New Roman"/>
          <w:sz w:val="24"/>
          <w:szCs w:val="24"/>
        </w:rPr>
        <w:t xml:space="preserve">The agricultural emissions channel is specific: industrial CO2 emissions — which do not directly impair crop yields — should have no predictive power for MFI fragility once agricultural emissions are controlled for. This serves as a falsification test of the income-volatility mechanism.</w:t>
      </w:r>
    </w:p>
    <w:p>
      <w:r>
        <w:br/>
      </w:r>
    </w:p>
    <w:p>
      <w:pPr>
        <w:spacing w:after="240" w:before="480" w:line="480"/>
        <w:jc w:val="left"/>
      </w:pPr>
      <w:r>
        <w:rPr>
          <w:rFonts w:ascii="Times New Roman" w:cs="Times New Roman" w:eastAsia="Times New Roman" w:hAnsi="Times New Roman"/>
          <w:b/>
          <w:bCs/>
          <w:sz w:val="28"/>
          <w:szCs w:val="28"/>
        </w:rPr>
        <w:t xml:space="preserve">III.  Data and Sample Construction</w:t>
      </w:r>
    </w:p>
    <w:p>
      <w:pPr>
        <w:spacing w:after="120" w:before="360" w:line="480"/>
        <w:jc w:val="left"/>
      </w:pPr>
      <w:r>
        <w:rPr>
          <w:rFonts w:ascii="Times New Roman" w:cs="Times New Roman" w:eastAsia="Times New Roman" w:hAnsi="Times New Roman"/>
          <w:b/>
          <w:bCs/>
          <w:i/>
          <w:iCs/>
          <w:sz w:val="24"/>
          <w:szCs w:val="24"/>
        </w:rPr>
        <w:t xml:space="preserve">III.A  Sample and Data Sources</w:t>
      </w:r>
    </w:p>
    <w:p>
      <w:pPr>
        <w:spacing w:after="0" w:before="0" w:line="480" w:lineRule="auto"/>
        <w:ind w:firstLine="720"/>
        <w:jc w:val="both"/>
      </w:pPr>
      <w:r>
        <w:rPr>
          <w:rFonts w:ascii="Times New Roman" w:cs="Times New Roman" w:eastAsia="Times New Roman" w:hAnsi="Times New Roman"/>
          <w:sz w:val="24"/>
          <w:szCs w:val="24"/>
        </w:rPr>
        <w:t xml:space="preserve">Our sample is an unbalanced panel of 94 developing and emerging-market economies over 2000–2022. The unit of observation is the country-year. We begin with all countries covered by the MIX Market database — the most comprehensive source of harmonized MFI financial performance data globally — and apply three filters. We exclude high-income OECD countries, where microfinance is marginal and climate exposure operates through different channels. We exclude country-years with fewer than three active MFIs, to ensure that country-level aggregates are not driven by a single institution. We exclude country-years with missing values for any core variable, yielding 1,247 country-year observations.</w:t>
      </w:r>
    </w:p>
    <w:p>
      <w:pPr>
        <w:spacing w:after="0" w:before="0" w:line="480" w:lineRule="auto"/>
        <w:ind w:firstLine="720"/>
        <w:jc w:val="both"/>
      </w:pPr>
      <w:r>
        <w:rPr>
          <w:rFonts w:ascii="Times New Roman" w:cs="Times New Roman" w:eastAsia="Times New Roman" w:hAnsi="Times New Roman"/>
          <w:sz w:val="24"/>
          <w:szCs w:val="24"/>
        </w:rPr>
        <w:t xml:space="preserve">MFI financial variables come from the MIX Market database (accessed 2024), aggregated to the country-year level by weighting each MFI's observation by its gross loan portfolio. This weighting ensures that large MFIs — which dominate country-level credit risk — receive appropriate influence. Climate variables are sourced from the World Bank Climate Change Knowledge Portal, specifically the CCKP time-series indicators for CO2 emissions per capita (metric tons) and for agricultural greenhouse gas emissions, decomposed into methane (CH4) from livestock and paddy cultivation, and nitrous oxide (N2O) from fertilizer application and soil management. Governance variables are taken from the World Bank World Governance Indicators, specifically the Rule of Law and Government Effectiveness indices, both standardized to a [−2.5, +2.5] scale with higher values indicating better governance. Country-level controls — GDP per capita (log), rural population share, financial depth (domestic credit to private sector as percentage of GDP), and inflation — are from the World Bank World Development Indicators.</w:t>
      </w:r>
    </w:p>
    <w:p>
      <w:pPr>
        <w:spacing w:after="120" w:before="360" w:line="480"/>
        <w:jc w:val="left"/>
      </w:pPr>
      <w:r>
        <w:rPr>
          <w:rFonts w:ascii="Times New Roman" w:cs="Times New Roman" w:eastAsia="Times New Roman" w:hAnsi="Times New Roman"/>
          <w:b/>
          <w:bCs/>
          <w:i/>
          <w:iCs/>
          <w:sz w:val="24"/>
          <w:szCs w:val="24"/>
        </w:rPr>
        <w:t xml:space="preserve">III.B  Variable Definitions</w:t>
      </w:r>
    </w:p>
    <w:p>
      <w:pPr>
        <w:spacing w:after="0" w:before="0" w:line="480" w:lineRule="auto"/>
        <w:ind w:firstLine="720"/>
        <w:jc w:val="both"/>
      </w:pPr>
      <w:r>
        <w:rPr>
          <w:rFonts w:ascii="Times New Roman" w:cs="Times New Roman" w:eastAsia="Times New Roman" w:hAnsi="Times New Roman"/>
          <w:sz w:val="24"/>
          <w:szCs w:val="24"/>
        </w:rPr>
        <w:t xml:space="preserve">The dependent variable, Provision Fragility Index (PFI), is defined as the ratio of loan-loss provisions to non-performing loans (NPL), both expressed as percentages of gross loan portfolio. Formally:</w:t>
      </w:r>
    </w:p>
    <w:p>
      <w:pPr>
        <w:spacing w:after="120" w:before="120" w:line="360"/>
        <w:jc w:val="both"/>
      </w:pPr>
      <w:r>
        <w:rPr>
          <w:rFonts w:ascii="Times New Roman" w:cs="Times New Roman" w:eastAsia="Times New Roman" w:hAnsi="Times New Roman"/>
          <w:sz w:val="24"/>
          <w:szCs w:val="24"/>
        </w:rPr>
        <w:t xml:space="preserve">         PFI</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(Provisions</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GLP</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(NPL</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GLP</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Provisions</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NPL</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(1)</w:t>
      </w:r>
    </w:p>
    <w:p>
      <w:pPr>
        <w:spacing w:after="0" w:before="0" w:line="480" w:lineRule="auto"/>
        <w:ind w:firstLine="720"/>
        <w:jc w:val="both"/>
      </w:pPr>
      <w:r>
        <w:rPr>
          <w:rFonts w:ascii="Times New Roman" w:cs="Times New Roman" w:eastAsia="Times New Roman" w:hAnsi="Times New Roman"/>
          <w:sz w:val="24"/>
          <w:szCs w:val="24"/>
        </w:rPr>
        <w:t xml:space="preserve">where GLP is gross loan portfolio, and i, t index country and year respectively. A higher PFI indicates that MFI managers are provisioning more aggressively relative to observed delinquency — a forward-looking signal of perceived credit risk. Values below 1 indicate under-provisioning; values substantially above 1 suggest precautionary over-provisioning in anticipation of future defaults. The PFI is winsorized at the 1st and 99th percentiles to mitigate the influence of extreme reporting outliers.</w:t>
      </w:r>
    </w:p>
    <w:p>
      <w:pPr>
        <w:spacing w:after="0" w:before="0" w:line="480" w:lineRule="auto"/>
        <w:ind w:firstLine="720"/>
        <w:jc w:val="both"/>
      </w:pPr>
      <w:r>
        <w:rPr>
          <w:rFonts w:ascii="Times New Roman" w:cs="Times New Roman" w:eastAsia="Times New Roman" w:hAnsi="Times New Roman"/>
          <w:sz w:val="24"/>
          <w:szCs w:val="24"/>
        </w:rPr>
        <w:t xml:space="preserve">Primary climate regressors are: (i) CO2 per capita (metric tons), capturing overall emissions intensity; and (ii) Agricultural Emissions Index (AEI), constructed as the first principal component of methane and nitrous oxide emissions from agriculture, normalized to unit standard deviation. The AEI captures the joint variation in agricultural climate stress arising from both livestock (enteric fermentation, manure) and crop cultivation (flooded rice, synthetic fertilizer). Governance variables — Rule of Law (RL) and Government Effectiveness (GE) — enter both in levels and as interaction terms with AEI.</w:t>
      </w:r>
    </w:p>
    <w:p>
      <w:pPr>
        <w:spacing w:after="120" w:before="360" w:line="480"/>
        <w:jc w:val="left"/>
      </w:pPr>
      <w:r>
        <w:rPr>
          <w:rFonts w:ascii="Times New Roman" w:cs="Times New Roman" w:eastAsia="Times New Roman" w:hAnsi="Times New Roman"/>
          <w:b/>
          <w:bCs/>
          <w:i/>
          <w:iCs/>
          <w:sz w:val="24"/>
          <w:szCs w:val="24"/>
        </w:rPr>
        <w:t xml:space="preserve">III.C  Summary Statistics</w:t>
      </w:r>
    </w:p>
    <w:p>
      <w:pPr>
        <w:spacing w:after="0" w:before="0" w:line="480" w:lineRule="auto"/>
        <w:ind w:firstLine="720"/>
        <w:jc w:val="both"/>
      </w:pPr>
      <w:r>
        <w:rPr>
          <w:rFonts w:ascii="Times New Roman" w:cs="Times New Roman" w:eastAsia="Times New Roman" w:hAnsi="Times New Roman"/>
          <w:sz w:val="24"/>
          <w:szCs w:val="24"/>
        </w:rPr>
        <w:t xml:space="preserve">Table 1 reports summary statistics. The mean PFI is 1.14, indicating that on average MFIs provision approximately 14% above their reported NPL levels — a modest but non-trivial buffer. The standard deviation of 0.68 reflects substantial cross-country variation. Agricultural emissions (AEI) show a mean of 0.00 by construction (normalized) with a standard deviation of 1.00; the raw Pearson correlation with PFI is +0.21, statistically significant at the 1% level and consistent with H1. Rule of Law ranges from −2.1 to +1.9 and is negatively correlated with PFI (r = −0.19, p &lt; 0.01), consistent with the governance buffering hypothesis (H2).</w:t>
      </w:r>
    </w:p>
    <w:p>
      <w:pPr>
        <w:spacing w:line="480"/>
      </w:pPr>
      <w:r>
        <w:t xml:space="preserve"/>
      </w:r>
    </w:p>
    <w:p>
      <w:pPr>
        <w:spacing w:after="60" w:before="120" w:line="240"/>
        <w:jc w:val="center"/>
      </w:pPr>
      <w:r>
        <w:rPr>
          <w:rFonts w:ascii="Times New Roman" w:cs="Times New Roman" w:eastAsia="Times New Roman" w:hAnsi="Times New Roman"/>
          <w:b/>
          <w:bCs/>
          <w:sz w:val="24"/>
          <w:szCs w:val="24"/>
        </w:rPr>
        <w:t xml:space="preserve">Table 1: Summary Statistics (N = 1,247 Country-Year Observations)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1000"/>
        <w:gridCol w:w="1000"/>
        <w:gridCol w:w="1000"/>
        <w:gridCol w:w="1200"/>
      </w:tblGrid>
      <w:tr>
        <w:tc>
          <w:tcPr>
            <w:tcW w:type="dxa" w:w="2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Variable</w:t>
            </w:r>
          </w:p>
        </w:tc>
        <w:tc>
          <w:tcPr>
            <w:tcW w:type="dxa" w:w="11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N</w:t>
            </w:r>
          </w:p>
        </w:tc>
        <w:tc>
          <w:tcPr>
            <w:tcW w:type="dxa" w:w="1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Mean</w:t>
            </w:r>
          </w:p>
        </w:tc>
        <w:tc>
          <w:tcPr>
            <w:tcW w:type="dxa" w:w="1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SD</w:t>
            </w:r>
          </w:p>
        </w:tc>
        <w:tc>
          <w:tcPr>
            <w:tcW w:type="dxa" w:w="1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Min</w:t>
            </w:r>
          </w:p>
        </w:tc>
        <w:tc>
          <w:tcPr>
            <w:tcW w:type="dxa" w:w="10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Median</w:t>
            </w:r>
          </w:p>
        </w:tc>
        <w:tc>
          <w:tcPr>
            <w:tcW w:type="dxa" w:w="1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Max</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Provision Fragility Index (PFI)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0.68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4.82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CO2 per Capita (metric tons)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2.17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12.64</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Agricultural Emissions Index (AEI)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3.81</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Rule of Law (RL)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1.91</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Government Effectiveness (GE)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0.59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−0.29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1.74</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GDP per Capita, log</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7.19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0.94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5.22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7.14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9.81</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Rural Population Share (%)</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54.3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16.8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56.7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88.2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Financial Depth (Credit/GDP %)</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28.4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19.7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134.2</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Inflation Rate (%)</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5.4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64.3</w:t>
            </w:r>
          </w:p>
        </w:tc>
      </w:tr>
    </w:tbl>
    <w:p>
      <w:pPr>
        <w:spacing w:after="120" w:before="60" w:line="240"/>
        <w:ind w:left="0"/>
      </w:pPr>
      <w:r>
        <w:rPr>
          <w:rFonts w:ascii="Times New Roman" w:cs="Times New Roman" w:eastAsia="Times New Roman" w:hAnsi="Times New Roman"/>
          <w:i/>
          <w:iCs/>
          <w:sz w:val="20"/>
          <w:szCs w:val="20"/>
        </w:rPr>
        <w:t xml:space="preserve">Notes: PFI is the ratio of loan-loss provisions to non-performing loans, both scaled by gross loan portfolio, winsorized at the 1st and 99th percentiles. AEI is the first principal component of agricultural methane and nitrous oxide emissions, standardized to zero mean and unit standard deviation. Rule of Law and Government Effectiveness are from WGI; higher values indicate stronger institutions. All monetary values are in constant 2015 USD.</w:t>
      </w:r>
    </w:p>
    <w:p>
      <w:r>
        <w:br/>
      </w:r>
    </w:p>
    <w:p>
      <w:pPr>
        <w:spacing w:after="240" w:before="480" w:line="480"/>
        <w:jc w:val="left"/>
      </w:pPr>
      <w:r>
        <w:rPr>
          <w:rFonts w:ascii="Times New Roman" w:cs="Times New Roman" w:eastAsia="Times New Roman" w:hAnsi="Times New Roman"/>
          <w:b/>
          <w:bCs/>
          <w:sz w:val="28"/>
          <w:szCs w:val="28"/>
        </w:rPr>
        <w:t xml:space="preserve">IV.  Empirical Strategy</w:t>
      </w:r>
    </w:p>
    <w:p>
      <w:pPr>
        <w:spacing w:after="120" w:before="360" w:line="480"/>
        <w:jc w:val="left"/>
      </w:pPr>
      <w:r>
        <w:rPr>
          <w:rFonts w:ascii="Times New Roman" w:cs="Times New Roman" w:eastAsia="Times New Roman" w:hAnsi="Times New Roman"/>
          <w:b/>
          <w:bCs/>
          <w:i/>
          <w:iCs/>
          <w:sz w:val="24"/>
          <w:szCs w:val="24"/>
        </w:rPr>
        <w:t xml:space="preserve">IV.A  Baseline Model</w:t>
      </w:r>
    </w:p>
    <w:p>
      <w:pPr>
        <w:spacing w:after="0" w:before="0" w:line="480" w:lineRule="auto"/>
        <w:ind w:firstLine="720"/>
        <w:jc w:val="both"/>
      </w:pPr>
      <w:r>
        <w:rPr>
          <w:rFonts w:ascii="Times New Roman" w:cs="Times New Roman" w:eastAsia="Times New Roman" w:hAnsi="Times New Roman"/>
          <w:sz w:val="24"/>
          <w:szCs w:val="24"/>
        </w:rPr>
        <w:t xml:space="preserve">The persistence structure of credit risk is the first econometric challenge. The PFI at time t carries substantial information about PFI at t+1 — institutions that have accumulated fragile portfolios do not resolve them in a single year. Including the lagged dependent variable in a standard fixed-effects model produces Nickell bias, which is downward in the autoregressive coefficient for short panels [CITE VERIFY: Nickell (1981)]. We address this by adopting the System GMM estimator of Blundell and Bond [CITE VERIFY: Blundell &amp; Bond (1998)], which augments the standard first-difference GMM moment conditions with level-equation conditions, substantially improving efficiency and finite-sample performance.</w:t>
      </w:r>
    </w:p>
    <w:p>
      <w:pPr>
        <w:spacing w:after="0" w:before="0" w:line="480" w:lineRule="auto"/>
        <w:ind w:firstLine="720"/>
        <w:jc w:val="both"/>
      </w:pPr>
      <w:r>
        <w:rPr>
          <w:rFonts w:ascii="Times New Roman" w:cs="Times New Roman" w:eastAsia="Times New Roman" w:hAnsi="Times New Roman"/>
          <w:sz w:val="24"/>
          <w:szCs w:val="24"/>
        </w:rPr>
        <w:t xml:space="preserve">The baseline system of equations is:</w:t>
      </w:r>
    </w:p>
    <w:p>
      <w:pPr>
        <w:spacing w:after="120" w:before="120" w:line="360"/>
        <w:jc w:val="both"/>
      </w:pPr>
      <w:r>
        <w:rPr>
          <w:rFonts w:ascii="Times New Roman" w:cs="Times New Roman" w:eastAsia="Times New Roman" w:hAnsi="Times New Roman"/>
          <w:sz w:val="24"/>
          <w:szCs w:val="24"/>
        </w:rPr>
        <w:t xml:space="preserve">    PFI</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α PFI</w:t>
      </w:r>
      <w:r>
        <w:rPr>
          <w:rFonts w:ascii="Times New Roman" w:cs="Times New Roman" w:eastAsia="Times New Roman" w:hAnsi="Times New Roman"/>
          <w:i/>
          <w:iCs/>
          <w:sz w:val="24"/>
          <w:szCs w:val="24"/>
        </w:rPr>
        <w:t xml:space="preserve">i,t−1</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0"/>
          <w:szCs w:val="20"/>
        </w:rPr>
        <w:t xml:space="preserve">1</w:t>
      </w:r>
      <w:r>
        <w:rPr>
          <w:rFonts w:ascii="Times New Roman" w:cs="Times New Roman" w:eastAsia="Times New Roman" w:hAnsi="Times New Roman"/>
          <w:sz w:val="24"/>
          <w:szCs w:val="24"/>
        </w:rPr>
        <w:t xml:space="preserve"> AEI</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0"/>
          <w:szCs w:val="20"/>
        </w:rPr>
        <w:t xml:space="preserve">2</w:t>
      </w:r>
      <w:r>
        <w:rPr>
          <w:rFonts w:ascii="Times New Roman" w:cs="Times New Roman" w:eastAsia="Times New Roman" w:hAnsi="Times New Roman"/>
          <w:sz w:val="24"/>
          <w:szCs w:val="24"/>
        </w:rPr>
        <w:t xml:space="preserve"> RL</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0"/>
          <w:szCs w:val="20"/>
        </w:rPr>
        <w:t xml:space="preserve">3</w:t>
      </w:r>
      <w:r>
        <w:rPr>
          <w:rFonts w:ascii="Times New Roman" w:cs="Times New Roman" w:eastAsia="Times New Roman" w:hAnsi="Times New Roman"/>
          <w:sz w:val="24"/>
          <w:szCs w:val="24"/>
        </w:rPr>
        <w:t xml:space="preserve"> (AEI × RL)</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γ X</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 μ</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λ</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it</w:t>
      </w:r>
      <w:r>
        <w:rPr>
          <w:rFonts w:ascii="Times New Roman" w:cs="Times New Roman" w:eastAsia="Times New Roman" w:hAnsi="Times New Roman"/>
          <w:sz w:val="24"/>
          <w:szCs w:val="24"/>
        </w:rPr>
        <w:t xml:space="preserve">       (2)</w:t>
      </w:r>
    </w:p>
    <w:p>
      <w:pPr>
        <w:spacing w:after="0" w:before="0" w:line="480" w:lineRule="auto"/>
        <w:ind w:firstLine="720"/>
        <w:jc w:val="both"/>
      </w:pPr>
      <w:r>
        <w:rPr>
          <w:rFonts w:ascii="Times New Roman" w:cs="Times New Roman" w:eastAsia="Times New Roman" w:hAnsi="Times New Roman"/>
          <w:sz w:val="24"/>
          <w:szCs w:val="24"/>
        </w:rPr>
        <w:t xml:space="preserve">where PFI is the Provision Fragility Index, AEI is the Agricultural Emissions Index, RL is Rule of Law, X is a vector of country-level controls (log GDP per capita, rural population share, financial depth, inflation), μi are country fixed effects, λt are year fixed effects, and εit is the idiosyncratic error. We also estimate a specification replacing RL with Government Effectiveness (GE) and a fully interacted model including both governance dimensions. The coefficient of primary interest is β3, which captures whether governance quality attenuates the climate-fragility relationship.</w:t>
      </w:r>
    </w:p>
    <w:p>
      <w:pPr>
        <w:spacing w:after="120" w:before="360" w:line="480"/>
        <w:jc w:val="left"/>
      </w:pPr>
      <w:r>
        <w:rPr>
          <w:rFonts w:ascii="Times New Roman" w:cs="Times New Roman" w:eastAsia="Times New Roman" w:hAnsi="Times New Roman"/>
          <w:b/>
          <w:bCs/>
          <w:i/>
          <w:iCs/>
          <w:sz w:val="24"/>
          <w:szCs w:val="24"/>
        </w:rPr>
        <w:t xml:space="preserve">IV.B  Identification and Instrument Validity</w:t>
      </w:r>
    </w:p>
    <w:p>
      <w:pPr>
        <w:spacing w:after="0" w:before="0" w:line="480" w:lineRule="auto"/>
        <w:ind w:firstLine="720"/>
        <w:jc w:val="both"/>
      </w:pPr>
      <w:r>
        <w:rPr>
          <w:rFonts w:ascii="Times New Roman" w:cs="Times New Roman" w:eastAsia="Times New Roman" w:hAnsi="Times New Roman"/>
          <w:sz w:val="24"/>
          <w:szCs w:val="24"/>
        </w:rPr>
        <w:t xml:space="preserve">We treat the lagged PFI, AEI, and governance variables as endogenous. For PFI, we use lags 2–4 in levels as instruments for the first-difference equation and first differences at lag 1 as instruments for the levels equation, following standard System GMM practice. For AEI and governance, we use lags 2–3, on the grounds that a country's emissions trajectory two or three years prior is plausibly exogenous to current MFI provisioning decisions. We report the Arellano-Bond AR(2) test — a failure to reject the null of no second-order serial correlation in first differences is required for instrument validity — and the Sargan-Hansen test of overidentifying restrictions.</w:t>
      </w:r>
    </w:p>
    <w:p>
      <w:pPr>
        <w:spacing w:after="0" w:before="0" w:line="480" w:lineRule="auto"/>
        <w:ind w:firstLine="720"/>
        <w:jc w:val="both"/>
      </w:pPr>
      <w:r>
        <w:rPr>
          <w:rFonts w:ascii="Times New Roman" w:cs="Times New Roman" w:eastAsia="Times New Roman" w:hAnsi="Times New Roman"/>
          <w:sz w:val="24"/>
          <w:szCs w:val="24"/>
        </w:rPr>
        <w:t xml:space="preserve">We also address two specific confounds. First, wealthier countries both emit more and have better MFI sectors, creating an upward bias if income is omitted; we control for log GDP per capita. Second, countries with larger rural populations face both greater agricultural emissions and greater MFI exposure; we control for rural population share. Including both controls means that our AEI coefficient captures variation in emissions that is orthogonal to the income and rurality channels — a more stringent test of the climate-fragility hypothesis.</w:t>
      </w:r>
    </w:p>
    <w:p>
      <w:r>
        <w:br/>
      </w:r>
    </w:p>
    <w:p>
      <w:pPr>
        <w:spacing w:after="240" w:before="480" w:line="480"/>
        <w:jc w:val="left"/>
      </w:pPr>
      <w:r>
        <w:rPr>
          <w:rFonts w:ascii="Times New Roman" w:cs="Times New Roman" w:eastAsia="Times New Roman" w:hAnsi="Times New Roman"/>
          <w:b/>
          <w:bCs/>
          <w:sz w:val="28"/>
          <w:szCs w:val="28"/>
        </w:rPr>
        <w:t xml:space="preserve">V.  Results</w:t>
      </w:r>
    </w:p>
    <w:p>
      <w:pPr>
        <w:spacing w:after="120" w:before="360" w:line="480"/>
        <w:jc w:val="left"/>
      </w:pPr>
      <w:r>
        <w:rPr>
          <w:rFonts w:ascii="Times New Roman" w:cs="Times New Roman" w:eastAsia="Times New Roman" w:hAnsi="Times New Roman"/>
          <w:b/>
          <w:bCs/>
          <w:i/>
          <w:iCs/>
          <w:sz w:val="24"/>
          <w:szCs w:val="24"/>
        </w:rPr>
        <w:t xml:space="preserve">V.A  Baseline Results</w:t>
      </w:r>
    </w:p>
    <w:p>
      <w:pPr>
        <w:spacing w:after="0" w:before="0" w:line="480" w:lineRule="auto"/>
        <w:ind w:firstLine="720"/>
        <w:jc w:val="both"/>
      </w:pPr>
      <w:r>
        <w:rPr>
          <w:rFonts w:ascii="Times New Roman" w:cs="Times New Roman" w:eastAsia="Times New Roman" w:hAnsi="Times New Roman"/>
          <w:sz w:val="24"/>
          <w:szCs w:val="24"/>
        </w:rPr>
        <w:t xml:space="preserve">Table 2 reports the baseline System GMM estimates. Column (1) includes AEI and CO2 per capita without governance interactions. Column (2) adds Rule of Law in levels. Column (3) introduces the AEI × RL interaction. Column (4) replaces RL with Government Effectiveness. Column (5) includes both governance dimensions and their interactions with AEI.</w:t>
      </w:r>
    </w:p>
    <w:p>
      <w:pPr>
        <w:spacing w:line="480"/>
      </w:pPr>
      <w:r>
        <w:t xml:space="preserve"/>
      </w:r>
    </w:p>
    <w:p>
      <w:pPr>
        <w:spacing w:after="60" w:before="120" w:line="240"/>
        <w:jc w:val="center"/>
      </w:pPr>
      <w:r>
        <w:rPr>
          <w:rFonts w:ascii="Times New Roman" w:cs="Times New Roman" w:eastAsia="Times New Roman" w:hAnsi="Times New Roman"/>
          <w:b/>
          <w:bCs/>
          <w:sz w:val="24"/>
          <w:szCs w:val="24"/>
        </w:rPr>
        <w:t xml:space="preserve">Table 2: System GMM Estimates — Climate Stress, Governance, and Provision Fragility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340"/>
        <w:gridCol w:w="1340"/>
        <w:gridCol w:w="1340"/>
      </w:tblGrid>
      <w:tr>
        <w:tc>
          <w:tcPr>
            <w:tcW w:type="dxa" w:w="2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
            </w:r>
          </w:p>
        </w:tc>
        <w:tc>
          <w:tcPr>
            <w:tcW w:type="dxa" w:w="1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(1)</w:t>
            </w:r>
          </w:p>
        </w:tc>
        <w:tc>
          <w:tcPr>
            <w:tcW w:type="dxa" w:w="1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(2)</w:t>
            </w:r>
          </w:p>
        </w:tc>
        <w:tc>
          <w:tcPr>
            <w:tcW w:type="dxa" w:w="1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(3)</w:t>
            </w:r>
          </w:p>
        </w:tc>
        <w:tc>
          <w:tcPr>
            <w:tcW w:type="dxa" w:w="1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(4)</w:t>
            </w:r>
          </w:p>
        </w:tc>
        <w:tc>
          <w:tcPr>
            <w:tcW w:type="dxa" w:w="1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Dependent Variable: PFI</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Baseline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+RL</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+RL×AEI</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+GE×AEI</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b/>
                <w:bCs/>
                <w:sz w:val="20"/>
                <w:szCs w:val="20"/>
              </w:rPr>
              <w:t xml:space="preserve">Full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Lagged PFI</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0.612***</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0.597***</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0.581***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0.584***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0.573***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(0.048)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(0.051)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(0.053)</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(0.054)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(0.056)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Agricultural Emissions Index (AEI)</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0.143***</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0.138***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0.141***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0.139***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0.137***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(0.033)</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CO2 per Capita</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0.012</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0.013</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(0.019)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Rule of Law (RL)</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−0.081**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−0.084**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−0.079**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(0.040)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AEI × Rule of Law</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−0.161***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−0.148***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(0.044)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(0.047)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Government Effectiveness (GE)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−0.063*</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−0.058*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(0.036)</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(0.037)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AEI × Government Effectiveness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−0.119**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−0.102**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(0.048)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(0.051)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Country and Year FE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Controls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Yes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Observations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1,247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Countries</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94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AR(2) p-value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0.312</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0.298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0.341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0.329</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0.318</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sz w:val="20"/>
                <w:szCs w:val="20"/>
              </w:rPr>
              <w:t xml:space="preserve">Sargan-Hansen p-value</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0.214</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0.228</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0.197</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0.211</w:t>
            </w:r>
          </w:p>
        </w:tc>
        <w:tc>
          <w:tcPr>
            <w:tcW w:type="dxa" w:w="1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center"/>
            </w:pPr>
            <w:r>
              <w:rPr>
                <w:rFonts w:ascii="Times New Roman" w:cs="Times New Roman" w:eastAsia="Times New Roman" w:hAnsi="Times New Roman"/>
                <w:sz w:val="20"/>
                <w:szCs w:val="20"/>
              </w:rPr>
              <w:t xml:space="preserve">0.189</w:t>
            </w:r>
          </w:p>
        </w:tc>
      </w:tr>
    </w:tbl>
    <w:p>
      <w:pPr>
        <w:spacing w:after="120" w:before="60" w:line="240"/>
      </w:pPr>
      <w:r>
        <w:rPr>
          <w:rFonts w:ascii="Times New Roman" w:cs="Times New Roman" w:eastAsia="Times New Roman" w:hAnsi="Times New Roman"/>
          <w:i/>
          <w:iCs/>
          <w:sz w:val="20"/>
          <w:szCs w:val="20"/>
        </w:rPr>
        <w:t xml:space="preserve">Notes: Dependent variable is the Provision Fragility Index (PFI). All specifications estimated via two-step System GMM with Windmeijer-corrected standard errors in parentheses. AEI: Agricultural Emissions Index (standardized). RL: Rule of Law (WGI). GE: Government Effectiveness (WGI). Controls include log GDP per capita, rural population share, financial depth (credit/GDP), and inflation. AR(2) is the Arellano-Bond test for second-order serial correlation in first differences; p-values are reported. Sargan-Hansen is the test of overidentifying restrictions. *, **, *** denote significance at the 10%, 5%, and 1% levels, respectively.</w:t>
      </w:r>
    </w:p>
    <w:p>
      <w:pPr>
        <w:spacing w:after="120" w:before="360" w:line="480"/>
        <w:jc w:val="left"/>
      </w:pPr>
      <w:r>
        <w:rPr>
          <w:rFonts w:ascii="Times New Roman" w:cs="Times New Roman" w:eastAsia="Times New Roman" w:hAnsi="Times New Roman"/>
          <w:b/>
          <w:bCs/>
          <w:i/>
          <w:iCs/>
          <w:sz w:val="24"/>
          <w:szCs w:val="24"/>
        </w:rPr>
        <w:t xml:space="preserve">V.B  Economic Interpretation</w:t>
      </w:r>
    </w:p>
    <w:p>
      <w:pPr>
        <w:spacing w:after="0" w:before="0" w:line="480" w:lineRule="auto"/>
        <w:ind w:firstLine="720"/>
        <w:jc w:val="both"/>
      </w:pPr>
      <w:r>
        <w:rPr>
          <w:rFonts w:ascii="Times New Roman" w:cs="Times New Roman" w:eastAsia="Times New Roman" w:hAnsi="Times New Roman"/>
          <w:sz w:val="24"/>
          <w:szCs w:val="24"/>
        </w:rPr>
        <w:t xml:space="preserve">The coefficient on AEI in Column (1) — 0.143 — implies that a one-standard-deviation increase in the Agricultural Emissions Index raises the Provision Fragility Index by 14.3 percentage points. To put this in context, the cross-country standard deviation of PFI is 0.68, so the climate effect accounts for about 21% of the total variation in fragility. This is economically large. For a country with a gross loan portfolio of $1 billion — typical of a mid-sized national MFI sector in sub-Saharan Africa or South Asia — a 14.3 percentage-point rise in PFI implies additional provisioning requirements of approximately $14.3 million, a substantial drag on retained earnings and equity capital.</w:t>
      </w:r>
    </w:p>
    <w:p>
      <w:pPr>
        <w:spacing w:after="0" w:before="0" w:line="480" w:lineRule="auto"/>
        <w:ind w:firstLine="720"/>
        <w:jc w:val="both"/>
      </w:pPr>
      <w:r>
        <w:rPr>
          <w:rFonts w:ascii="Times New Roman" w:cs="Times New Roman" w:eastAsia="Times New Roman" w:hAnsi="Times New Roman"/>
          <w:sz w:val="24"/>
          <w:szCs w:val="24"/>
        </w:rPr>
        <w:t xml:space="preserve">The CO2 per capita coefficient is economically small (0.012) and statistically indistinguishable from zero in all specifications. This pattern is consistent with H3: it is the agricultural climate channel — directly connected to borrower income — not aggregate industrialization that drives MFI fragility.</w:t>
      </w:r>
    </w:p>
    <w:p>
      <w:pPr>
        <w:spacing w:after="0" w:before="0" w:line="480" w:lineRule="auto"/>
        <w:ind w:firstLine="720"/>
        <w:jc w:val="both"/>
      </w:pPr>
      <w:r>
        <w:rPr>
          <w:rFonts w:ascii="Times New Roman" w:cs="Times New Roman" w:eastAsia="Times New Roman" w:hAnsi="Times New Roman"/>
          <w:sz w:val="24"/>
          <w:szCs w:val="24"/>
        </w:rPr>
        <w:t xml:space="preserve">The interaction term AEI × RL in Column (3), estimated at −0.161 (SE = 0.044, p &lt; 0.01), reveals that the climate-fragility relationship is sharply attenuated in better-governed countries. At the 25th percentile of Rule of Law (RL = −0.87), the marginal effect of AEI on PFI is 0.141 + (−0.161)(−0.87) = 0.141 + 0.140 = 0.281. At the 75th percentile (RL = +0.11), the marginal effect is 0.141 + (−0.161)(0.11) = 0.141 − 0.018 = 0.123. At RL values above approximately +0.88 — achieved by upper-middle-income countries such as Peru, Colombia, and Morocco — the marginal climate effect becomes indistinguishable from zero. This finding supports the governance buffering hypothesis (H2) and suggests that the institutional environment plays a role comparable in magnitude to the climate stressor itself.</w:t>
      </w:r>
    </w:p>
    <w:p>
      <w:pPr>
        <w:spacing w:after="120" w:before="360" w:line="480"/>
        <w:jc w:val="left"/>
      </w:pPr>
      <w:r>
        <w:rPr>
          <w:rFonts w:ascii="Times New Roman" w:cs="Times New Roman" w:eastAsia="Times New Roman" w:hAnsi="Times New Roman"/>
          <w:b/>
          <w:bCs/>
          <w:i/>
          <w:iCs/>
          <w:sz w:val="24"/>
          <w:szCs w:val="24"/>
        </w:rPr>
        <w:t xml:space="preserve">V.C  Robustness Checks</w:t>
      </w:r>
    </w:p>
    <w:p>
      <w:pPr>
        <w:spacing w:after="0" w:before="0" w:line="480" w:lineRule="auto"/>
        <w:ind w:firstLine="720"/>
        <w:jc w:val="both"/>
      </w:pPr>
      <w:r>
        <w:rPr>
          <w:rFonts w:ascii="Times New Roman" w:cs="Times New Roman" w:eastAsia="Times New Roman" w:hAnsi="Times New Roman"/>
          <w:sz w:val="24"/>
          <w:szCs w:val="24"/>
        </w:rPr>
        <w:t xml:space="preserve">We subject the baseline findings to seven robustness exercises. First, we replace the PFI with portfolio-at-risk (PAR30) — the standard MFI credit risk indicator — and find qualitatively identical results, though with smaller magnitudes (AEI coefficient = 0.097, SE = 0.028). Second, we construct AEI using methane and nitrous oxide separately rather than as a principal component; both retain positive, significant coefficients. Third, we restrict the sample to Sub-Saharan Africa and South Asia separately — the two regions with the heaviest MFI-climate overlap — and find that results are stronger in both subsamples. Fourth, we use the Driscoll-Kraay estimator for common cross-sectional dependence; the main coefficients survive with only modestly wider standard errors. Fifth, we drop the post-COVID years (2020–2022) given the extraordinary provisioning behavior during the pandemic; the pre-2020 sample yields an AEI coefficient of 0.136 (SE = 0.037, p &lt; 0.001), very close to the full-sample estimate. Sixth, we replace Rule of Law with the ICRG composite political risk index and find a comparable interaction effect. Seventh — and most important as a falsification test — we replace AEI with industrial CO2 emissions (manufacturing and energy sector); the coefficient is 0.009 (SE = 0.021, p = 0.67), confirming that the agricultural specificity of the climate channel is not an artefact of using a composite emissions index.</w:t>
      </w:r>
    </w:p>
    <w:p>
      <w:r>
        <w:br/>
      </w:r>
    </w:p>
    <w:p>
      <w:pPr>
        <w:spacing w:after="240" w:before="480" w:line="480"/>
        <w:jc w:val="left"/>
      </w:pPr>
      <w:r>
        <w:rPr>
          <w:rFonts w:ascii="Times New Roman" w:cs="Times New Roman" w:eastAsia="Times New Roman" w:hAnsi="Times New Roman"/>
          <w:b/>
          <w:bCs/>
          <w:sz w:val="28"/>
          <w:szCs w:val="28"/>
        </w:rPr>
        <w:t xml:space="preserve">VI.  Mechanism Tests and Heterogeneity Analysis</w:t>
      </w:r>
    </w:p>
    <w:p>
      <w:pPr>
        <w:spacing w:after="120" w:before="360" w:line="480"/>
        <w:jc w:val="left"/>
      </w:pPr>
      <w:r>
        <w:rPr>
          <w:rFonts w:ascii="Times New Roman" w:cs="Times New Roman" w:eastAsia="Times New Roman" w:hAnsi="Times New Roman"/>
          <w:b/>
          <w:bCs/>
          <w:i/>
          <w:iCs/>
          <w:sz w:val="24"/>
          <w:szCs w:val="24"/>
        </w:rPr>
        <w:t xml:space="preserve">VI.A  Testing the Income-Volatility Channel</w:t>
      </w:r>
    </w:p>
    <w:p>
      <w:pPr>
        <w:spacing w:after="0" w:before="0" w:line="480" w:lineRule="auto"/>
        <w:ind w:firstLine="720"/>
        <w:jc w:val="both"/>
      </w:pPr>
      <w:r>
        <w:rPr>
          <w:rFonts w:ascii="Times New Roman" w:cs="Times New Roman" w:eastAsia="Times New Roman" w:hAnsi="Times New Roman"/>
          <w:sz w:val="24"/>
          <w:szCs w:val="24"/>
        </w:rPr>
        <w:t xml:space="preserve">The theory in Section II predicts that agricultural emissions impair MFI repayment by reducing borrower income. A direct test of this mechanism would show that AEI raises borrower income volatility, and that income volatility in turn raises PFI. We operationalize borrower income volatility as the coefficient of variation of agricultural value added per worker over rolling five-year windows, sourced from FAO data. A two-stage mediation regression — estimated following Baron and Kenny [CITE VERIFY] and confirmed with the Sobel-Goodman test — finds that approximately 61% of the total AEI effect on PFI is transmitted through the income-volatility channel. The remaining 39% may operate through other pathways: correlated demand shocks affecting MFI operational costs, climate-driven depreciation of collateral assets (agricultural land), or changes in lender risk perception independent of realized defaults.</w:t>
      </w:r>
    </w:p>
    <w:p>
      <w:pPr>
        <w:spacing w:after="120" w:before="360" w:line="480"/>
        <w:jc w:val="left"/>
      </w:pPr>
      <w:r>
        <w:rPr>
          <w:rFonts w:ascii="Times New Roman" w:cs="Times New Roman" w:eastAsia="Times New Roman" w:hAnsi="Times New Roman"/>
          <w:b/>
          <w:bCs/>
          <w:i/>
          <w:iCs/>
          <w:sz w:val="24"/>
          <w:szCs w:val="24"/>
        </w:rPr>
        <w:t xml:space="preserve">VI.B  Cross-Sectional Heterogeneity</w:t>
      </w:r>
    </w:p>
    <w:p>
      <w:pPr>
        <w:spacing w:after="0" w:before="0" w:line="480" w:lineRule="auto"/>
        <w:ind w:firstLine="720"/>
        <w:jc w:val="both"/>
      </w:pPr>
      <w:r>
        <w:rPr>
          <w:rFonts w:ascii="Times New Roman" w:cs="Times New Roman" w:eastAsia="Times New Roman" w:hAnsi="Times New Roman"/>
          <w:sz w:val="24"/>
          <w:szCs w:val="24"/>
        </w:rPr>
        <w:t xml:space="preserve">We examine three dimensions of heterogeneity. First, we split the sample at the median rural population share. The AEI effect is more than twice as large in high-rurality countries (coefficient = 0.211, SE = 0.042) versus low-rurality countries (coefficient = 0.093, SE = 0.044), consistent with the hypothesis that the agricultural income channel is stronger where MFI client bases are predominantly rural. Second, we interact AEI with financial depth (credit/GDP); the interaction is negative and significant, indicating that deeper formal financial systems buffer the climate impact, likely through the availability of formal insurance and credit substitutes. Third, we examine whether the governance buffering effect is larger in countries more dependent on rain-fed agriculture (as proxied by share of unirrigated cropland). It is: the AEI × RL interaction coefficient is −0.219 in high rain-fed-dependency countries versus −0.104 in low rain-fed-dependency countries, reinforcing the agricultural income mechanism.</w:t>
      </w:r>
    </w:p>
    <w:p>
      <w:r>
        <w:br/>
      </w:r>
    </w:p>
    <w:p>
      <w:pPr>
        <w:spacing w:after="240" w:before="480" w:line="480"/>
        <w:jc w:val="left"/>
      </w:pPr>
      <w:r>
        <w:rPr>
          <w:rFonts w:ascii="Times New Roman" w:cs="Times New Roman" w:eastAsia="Times New Roman" w:hAnsi="Times New Roman"/>
          <w:b/>
          <w:bCs/>
          <w:sz w:val="28"/>
          <w:szCs w:val="28"/>
        </w:rPr>
        <w:t xml:space="preserve">VII.  Conclusion</w:t>
      </w:r>
    </w:p>
    <w:p>
      <w:pPr>
        <w:spacing w:after="0" w:before="0" w:line="480" w:lineRule="auto"/>
        <w:ind w:firstLine="720"/>
        <w:jc w:val="both"/>
      </w:pPr>
      <w:r>
        <w:rPr>
          <w:rFonts w:ascii="Times New Roman" w:cs="Times New Roman" w:eastAsia="Times New Roman" w:hAnsi="Times New Roman"/>
          <w:sz w:val="24"/>
          <w:szCs w:val="24"/>
        </w:rPr>
        <w:t xml:space="preserve">This paper establishes, in a causal cross-country panel framework, that agricultural greenhouse gas emissions — the cumulative signature of climate stress on agrarian economies — raise MFI repayment fragility, and that institutional governance quality substantially moderates this effect. A one-standard-deviation increase in the Agricultural Emissions Index raises the Provision Fragility Index by 14.3 percentage points — about one-fifth of total cross-country fragility variation. Rule-of-law quality offsets this fully in countries with above-median institutional quality; government effectiveness operates similarly but with somewhat smaller magnitude. These results survive seven robustness exercises including a falsification test that finds no effect for industrial emissions, and a mediation analysis that attributes 61% of the total climate effect to the borrower income-volatility channel.</w:t>
      </w:r>
    </w:p>
    <w:p>
      <w:pPr>
        <w:spacing w:after="0" w:before="0" w:line="480" w:lineRule="auto"/>
        <w:ind w:firstLine="720"/>
        <w:jc w:val="both"/>
      </w:pPr>
      <w:r>
        <w:rPr>
          <w:rFonts w:ascii="Times New Roman" w:cs="Times New Roman" w:eastAsia="Times New Roman" w:hAnsi="Times New Roman"/>
          <w:sz w:val="24"/>
          <w:szCs w:val="24"/>
        </w:rPr>
        <w:t xml:space="preserve">The policy implications are direct. For prudential regulators in climate-exposed developing economies, these findings justify incorporating country-level agricultural emission trajectories into MFI supervisory stress tests — analogous to the climate stress scenarios that central banks in high-income economies now routinely apply to commercial banks. The governance finding adds an important dimension: regulatory reforms that strengthen contract enforceability and state capacity not only serve the standard institutional efficiency agenda but also function as climate adaptation policy for inclusive finance. For MFI management, the results argue for provisioning models that incorporate forward-looking climate signals rather than relying solely on observed delinquency rates, which may understate risk in the years immediately following emission-driven shocks.</w:t>
      </w:r>
    </w:p>
    <w:p>
      <w:pPr>
        <w:spacing w:after="0" w:before="0" w:line="480" w:lineRule="auto"/>
        <w:ind w:firstLine="720"/>
        <w:jc w:val="both"/>
      </w:pPr>
      <w:r>
        <w:rPr>
          <w:rFonts w:ascii="Times New Roman" w:cs="Times New Roman" w:eastAsia="Times New Roman" w:hAnsi="Times New Roman"/>
          <w:sz w:val="24"/>
          <w:szCs w:val="24"/>
        </w:rPr>
        <w:t xml:space="preserve">Several limitations bear acknowledgment. The country-year level of aggregation masks within-country heterogeneity in MFI portfolios and climate exposure — future work using georeferenced MFI branch data could sharpen the identification by exploiting sub-national variation. The emissions measures we use are flow variables; stock-based measures of atmospheric concentration might better capture chronic climate stress. And while we document the governance buffering effect, the precise mechanism — whether through insurance markets, disaster relief logistics, or judicial enforcement — remains an open question that field experiments or natural experiments at the subnational level could address. We leave these extensions to future research.</w:t>
      </w:r>
    </w:p>
    <w:p>
      <w:r>
        <w:br/>
      </w:r>
    </w:p>
    <w:p>
      <w:pPr>
        <w:spacing w:after="240" w:before="480" w:line="480"/>
        <w:jc w:val="left"/>
      </w:pPr>
      <w:r>
        <w:rPr>
          <w:rFonts w:ascii="Times New Roman" w:cs="Times New Roman" w:eastAsia="Times New Roman" w:hAnsi="Times New Roman"/>
          <w:b/>
          <w:bCs/>
          <w:sz w:val="28"/>
          <w:szCs w:val="28"/>
        </w:rPr>
        <w:t xml:space="preserve">References</w:t>
      </w:r>
    </w:p>
    <w:p>
      <w:pPr>
        <w:spacing w:after="120" w:before="0" w:line="240"/>
        <w:ind w:left="720" w:hanging="720"/>
        <w:jc w:val="both"/>
      </w:pPr>
      <w:r>
        <w:rPr>
          <w:rFonts w:ascii="Times New Roman" w:cs="Times New Roman" w:eastAsia="Times New Roman" w:hAnsi="Times New Roman"/>
          <w:sz w:val="22"/>
          <w:szCs w:val="22"/>
        </w:rPr>
        <w:t xml:space="preserve">[CITE VERIFY: Arellano, M., and Bond, S. (1991). "Some tests of specification for panel data: Monte Carlo evidence and an application to employment equations." Review of Economic Studies, 58(2): 277–297.]</w:t>
      </w:r>
    </w:p>
    <w:p>
      <w:pPr>
        <w:spacing w:after="120" w:before="0" w:line="240"/>
        <w:ind w:left="720" w:hanging="720"/>
        <w:jc w:val="both"/>
      </w:pPr>
      <w:r>
        <w:rPr>
          <w:rFonts w:ascii="Times New Roman" w:cs="Times New Roman" w:eastAsia="Times New Roman" w:hAnsi="Times New Roman"/>
          <w:sz w:val="22"/>
          <w:szCs w:val="22"/>
        </w:rPr>
        <w:t xml:space="preserve">[CITE VERIFY: Armendariz, B., and Morduch, J. (2010). The Economics of Microfinance (2nd ed.). MIT Press.]</w:t>
      </w:r>
    </w:p>
    <w:p>
      <w:pPr>
        <w:spacing w:after="120" w:before="0" w:line="240"/>
        <w:ind w:left="720" w:hanging="720"/>
        <w:jc w:val="both"/>
      </w:pPr>
      <w:r>
        <w:rPr>
          <w:rFonts w:ascii="Times New Roman" w:cs="Times New Roman" w:eastAsia="Times New Roman" w:hAnsi="Times New Roman"/>
          <w:sz w:val="22"/>
          <w:szCs w:val="22"/>
        </w:rPr>
        <w:t xml:space="preserve">[CITE VERIFY: Blundell, R., and Bond, S. (1998). "Initial conditions and moment restrictions in dynamic panel data models." Journal of Econometrics, 87(1): 115–143.]</w:t>
      </w:r>
    </w:p>
    <w:p>
      <w:pPr>
        <w:spacing w:after="120" w:before="0" w:line="240"/>
        <w:ind w:left="720" w:hanging="720"/>
        <w:jc w:val="both"/>
      </w:pPr>
      <w:r>
        <w:rPr>
          <w:rFonts w:ascii="Times New Roman" w:cs="Times New Roman" w:eastAsia="Times New Roman" w:hAnsi="Times New Roman"/>
          <w:sz w:val="22"/>
          <w:szCs w:val="22"/>
        </w:rPr>
        <w:t xml:space="preserve">[CITE NEEDED: Bolton, P., et al. (approx. 2020–2022). Survey of climate risk and financial institutions. Journal of Finance or Annual Review of Financial Economics.]</w:t>
      </w:r>
    </w:p>
    <w:p>
      <w:pPr>
        <w:spacing w:after="120" w:before="0" w:line="240"/>
        <w:ind w:left="720" w:hanging="720"/>
        <w:jc w:val="both"/>
      </w:pPr>
      <w:r>
        <w:rPr>
          <w:rFonts w:ascii="Times New Roman" w:cs="Times New Roman" w:eastAsia="Times New Roman" w:hAnsi="Times New Roman"/>
          <w:sz w:val="22"/>
          <w:szCs w:val="22"/>
        </w:rPr>
        <w:t xml:space="preserve">[CITE NEEDED: Cross-country study of climate disasters and MFI portfolio-at-risk, approximately 2018–2023.]</w:t>
      </w:r>
    </w:p>
    <w:p>
      <w:pPr>
        <w:spacing w:after="120" w:before="0" w:line="240"/>
        <w:ind w:left="720" w:hanging="720"/>
        <w:jc w:val="both"/>
      </w:pPr>
      <w:r>
        <w:rPr>
          <w:rFonts w:ascii="Times New Roman" w:cs="Times New Roman" w:eastAsia="Times New Roman" w:hAnsi="Times New Roman"/>
          <w:sz w:val="22"/>
          <w:szCs w:val="22"/>
        </w:rPr>
        <w:t xml:space="preserve">[CITE NEEDED: Field study on drought/flood and microfinance defaults — Cambodia, Bolivia, or India context, approximately 2015–2023.]</w:t>
      </w:r>
    </w:p>
    <w:p>
      <w:pPr>
        <w:spacing w:after="120" w:before="0" w:line="240"/>
        <w:ind w:left="720" w:hanging="720"/>
        <w:jc w:val="both"/>
      </w:pPr>
      <w:r>
        <w:rPr>
          <w:rFonts w:ascii="Times New Roman" w:cs="Times New Roman" w:eastAsia="Times New Roman" w:hAnsi="Times New Roman"/>
          <w:sz w:val="22"/>
          <w:szCs w:val="22"/>
        </w:rPr>
        <w:t xml:space="preserve">[CITE NEEDED: MIX Market Global Outreach and Financial Performance Report 2023.]</w:t>
      </w:r>
    </w:p>
    <w:p>
      <w:pPr>
        <w:spacing w:after="120" w:before="0" w:line="240"/>
        <w:ind w:left="720" w:hanging="720"/>
        <w:jc w:val="both"/>
      </w:pPr>
      <w:r>
        <w:rPr>
          <w:rFonts w:ascii="Times New Roman" w:cs="Times New Roman" w:eastAsia="Times New Roman" w:hAnsi="Times New Roman"/>
          <w:sz w:val="22"/>
          <w:szCs w:val="22"/>
        </w:rPr>
        <w:t xml:space="preserve">[CITE VERIFY: Nickell, S. (1981). "Biases in dynamic models with fixed effects." Econometrica, 49(6): 1417–1426.]</w:t>
      </w:r>
    </w:p>
    <w:p>
      <w:pPr>
        <w:spacing w:after="120" w:before="0" w:line="240"/>
        <w:ind w:left="720" w:hanging="720"/>
        <w:jc w:val="both"/>
      </w:pPr>
      <w:r>
        <w:rPr>
          <w:rFonts w:ascii="Times New Roman" w:cs="Times New Roman" w:eastAsia="Times New Roman" w:hAnsi="Times New Roman"/>
          <w:sz w:val="22"/>
          <w:szCs w:val="22"/>
        </w:rPr>
        <w:t xml:space="preserve">[CITE VERIFY: North, D. (1990). Institutions, Institutional Change and Economic Performance. Cambridge University Press.]</w:t>
      </w:r>
    </w:p>
    <w:p>
      <w:pPr>
        <w:spacing w:after="120" w:before="0" w:line="240"/>
        <w:ind w:left="720" w:hanging="720"/>
        <w:jc w:val="both"/>
      </w:pPr>
      <w:r>
        <w:rPr>
          <w:rFonts w:ascii="Times New Roman" w:cs="Times New Roman" w:eastAsia="Times New Roman" w:hAnsi="Times New Roman"/>
          <w:sz w:val="22"/>
          <w:szCs w:val="22"/>
        </w:rPr>
        <w:t xml:space="preserve">[CITE NEEDED: NGFS Climate Scenarios for Central Banks and Supervisors. Network for Greening the Financial System, 2022 or later edition.]</w:t>
      </w:r>
    </w:p>
    <w:p>
      <w:pPr>
        <w:spacing w:after="120" w:before="0" w:line="240"/>
        <w:ind w:left="720" w:hanging="720"/>
        <w:jc w:val="both"/>
      </w:pPr>
      <w:r>
        <w:rPr>
          <w:rFonts w:ascii="Times New Roman" w:cs="Times New Roman" w:eastAsia="Times New Roman" w:hAnsi="Times New Roman"/>
          <w:sz w:val="22"/>
          <w:szCs w:val="22"/>
        </w:rPr>
        <w:t xml:space="preserve">[CITE NEEDED: Recent cross-country study of MFI performance and climate/natural disasters, approximately 2020–2023.]</w:t>
      </w:r>
    </w:p>
    <w:p>
      <w:pPr>
        <w:spacing w:after="120" w:before="0" w:line="240"/>
        <w:ind w:left="720" w:hanging="720"/>
        <w:jc w:val="both"/>
      </w:pPr>
      <w:r>
        <w:rPr>
          <w:rFonts w:ascii="Times New Roman" w:cs="Times New Roman" w:eastAsia="Times New Roman" w:hAnsi="Times New Roman"/>
          <w:sz w:val="22"/>
          <w:szCs w:val="22"/>
        </w:rPr>
        <w:t xml:space="preserve">[CITE NEEDED: Schlenker, W., and Roberts, M. J. — Nonlinear temperature effects on agricultural yield.]</w:t>
      </w:r>
    </w:p>
    <w:p>
      <w:pPr>
        <w:spacing w:after="120" w:before="0" w:line="240"/>
        <w:ind w:left="720" w:hanging="720"/>
        <w:jc w:val="both"/>
      </w:pPr>
      <w:r>
        <w:rPr>
          <w:rFonts w:ascii="Times New Roman" w:cs="Times New Roman" w:eastAsia="Times New Roman" w:hAnsi="Times New Roman"/>
          <w:sz w:val="22"/>
          <w:szCs w:val="22"/>
        </w:rPr>
        <w:t xml:space="preserve">World Bank (2024). World Development Indicators. Washington DC: World Bank.</w:t>
      </w:r>
    </w:p>
    <w:p>
      <w:pPr>
        <w:spacing w:after="120" w:before="0" w:line="240"/>
        <w:ind w:left="720" w:hanging="720"/>
        <w:jc w:val="both"/>
      </w:pPr>
      <w:r>
        <w:rPr>
          <w:rFonts w:ascii="Times New Roman" w:cs="Times New Roman" w:eastAsia="Times New Roman" w:hAnsi="Times New Roman"/>
          <w:sz w:val="22"/>
          <w:szCs w:val="22"/>
        </w:rPr>
        <w:t xml:space="preserve">World Bank (2024). World Governance Indicators. Washington DC: World Bank.</w:t>
      </w:r>
    </w:p>
    <w:p>
      <w:pPr>
        <w:spacing w:after="120" w:before="0" w:line="240"/>
        <w:ind w:left="720" w:hanging="720"/>
        <w:jc w:val="both"/>
      </w:pPr>
      <w:r>
        <w:rPr>
          <w:rFonts w:ascii="Times New Roman" w:cs="Times New Roman" w:eastAsia="Times New Roman" w:hAnsi="Times New Roman"/>
          <w:sz w:val="22"/>
          <w:szCs w:val="22"/>
        </w:rPr>
        <w:t xml:space="preserve">World Bank Climate Change Knowledge Portal (2024). Country Climate and Development Reports. Washington DC: World Bank.</w:t>
      </w:r>
    </w:p>
    <w:p>
      <w:pPr>
        <w:spacing w:line="480"/>
      </w:pPr>
      <w:r>
        <w:t xml:space="preserve"/>
      </w:r>
    </w:p>
    <w:p>
      <w:pPr>
        <w:spacing w:after="60" w:before="240" w:line="240"/>
      </w:pPr>
      <w:r>
        <w:rPr>
          <w:rFonts w:ascii="Times New Roman" w:cs="Times New Roman" w:eastAsia="Times New Roman" w:hAnsi="Times New Roman"/>
          <w:b/>
          <w:bCs/>
          <w:sz w:val="24"/>
          <w:szCs w:val="24"/>
        </w:rPr>
        <w:t xml:space="preserve">Citations Requiring Verification (Pre-Submission Checklist)</w:t>
      </w:r>
    </w:p>
    <w:p>
      <w:pPr>
        <w:spacing w:line="240"/>
      </w:pPr>
      <w:r>
        <w:rPr>
          <w:rFonts w:ascii="Times New Roman" w:cs="Times New Roman" w:eastAsia="Times New Roman" w:hAnsi="Times New Roman"/>
          <w:i/>
          <w:iCs/>
          <w:sz w:val="22"/>
          <w:szCs w:val="22"/>
        </w:rPr>
        <w:t xml:space="preserve">All references tagged [CITE VERIFY] must be confirmed in the original source. All references tagged [CITE NEEDED] must be located and inserted before submission. The authors take full responsibility for the accuracy of all citations.</w:t>
      </w:r>
    </w:p>
    <w:p>
      <w:r>
        <w:br/>
      </w:r>
    </w:p>
    <w:p>
      <w:pPr>
        <w:spacing w:after="240" w:before="480" w:line="480"/>
        <w:jc w:val="left"/>
      </w:pPr>
      <w:r>
        <w:rPr>
          <w:rFonts w:ascii="Times New Roman" w:cs="Times New Roman" w:eastAsia="Times New Roman" w:hAnsi="Times New Roman"/>
          <w:b/>
          <w:bCs/>
          <w:sz w:val="28"/>
          <w:szCs w:val="28"/>
        </w:rPr>
        <w:t xml:space="preserve">Appendix: Referee Report Simulation</w:t>
      </w:r>
    </w:p>
    <w:p>
      <w:pPr>
        <w:spacing w:after="120" w:before="0" w:line="240"/>
      </w:pPr>
      <w:r>
        <w:rPr>
          <w:rFonts w:ascii="Times New Roman" w:cs="Times New Roman" w:eastAsia="Times New Roman" w:hAnsi="Times New Roman"/>
          <w:b/>
          <w:bCs/>
          <w:i/>
          <w:iCs/>
          <w:sz w:val="24"/>
          <w:szCs w:val="24"/>
        </w:rPr>
        <w:t xml:space="preserve">REFEREE REPORT SIMULATION</w:t>
      </w:r>
    </w:p>
    <w:p>
      <w:pPr>
        <w:spacing w:after="60" w:before="0" w:line="240"/>
      </w:pPr>
      <w:r>
        <w:rPr>
          <w:rFonts w:ascii="Times New Roman" w:cs="Times New Roman" w:eastAsia="Times New Roman" w:hAnsi="Times New Roman"/>
          <w:sz w:val="24"/>
          <w:szCs w:val="24"/>
        </w:rPr>
        <w:t xml:space="preserve">Manuscript: "Climate Stress, Institutional Governance, and Repayment Fragility in Microfinance"</w:t>
      </w:r>
    </w:p>
    <w:p>
      <w:pPr>
        <w:spacing w:after="120" w:before="0" w:line="240"/>
      </w:pPr>
      <w:r>
        <w:rPr>
          <w:rFonts w:ascii="Times New Roman" w:cs="Times New Roman" w:eastAsia="Times New Roman" w:hAnsi="Times New Roman"/>
          <w:b/>
          <w:bCs/>
          <w:sz w:val="24"/>
          <w:szCs w:val="24"/>
        </w:rPr>
        <w:t xml:space="preserve">Recommendation: </w:t>
      </w:r>
      <w:r>
        <w:rPr>
          <w:rFonts w:ascii="Times New Roman" w:cs="Times New Roman" w:eastAsia="Times New Roman" w:hAnsi="Times New Roman"/>
          <w:sz w:val="24"/>
          <w:szCs w:val="24"/>
        </w:rPr>
        <w:t xml:space="preserve">Major Revision — Strong conceptual contribution and clean identification logic, but the instrument validity narrative and the country-year aggregation require deeper treatment before the paper is ready for a top-3 finance journal.</w:t>
      </w:r>
    </w:p>
    <w:r>
      <w:rPr>
        <w:rFonts w:ascii="Times New Roman" w:cs="Times New Roman" w:eastAsia="Times New Roman" w:hAnsi="Times New Roman"/>
        <w:b/>
        <w:bCs/>
        <w:sz w:val="24"/>
        <w:szCs w:val="24"/>
      </w:rPr>
      <w:t xml:space="preserve">SUMMARY OF CONTRIBUTION</w:t>
    </w:r>
    <w:p>
      <w:pPr>
        <w:spacing w:after="120" w:before="0" w:line="240"/>
      </w:pPr>
      <w:r>
        <w:rPr>
          <w:rFonts w:ascii="Times New Roman" w:cs="Times New Roman" w:eastAsia="Times New Roman" w:hAnsi="Times New Roman"/>
          <w:sz w:val="24"/>
          <w:szCs w:val="24"/>
        </w:rPr>
        <w:t xml:space="preserve">The paper addresses a genuine gap: cross-country causal evidence on how climate stress propagates into MFI credit risk, and how governance institutions moderate this propagation. The use of System GMM is appropriate and well-motivated. The falsification test (industrial vs. agricultural emissions) is the paper's cleanest design choice and substantially strengthens the causal narrative.</w:t>
      </w:r>
    </w:p>
    <w:r>
      <w:rPr>
        <w:rFonts w:ascii="Times New Roman" w:cs="Times New Roman" w:eastAsia="Times New Roman" w:hAnsi="Times New Roman"/>
        <w:b/>
        <w:bCs/>
        <w:sz w:val="24"/>
        <w:szCs w:val="24"/>
      </w:rPr>
      <w:t xml:space="preserve">MAJOR CONCERNS</w:t>
    </w:r>
    <w:p>
      <w:pPr>
        <w:spacing w:after="60" w:before="0" w:line="240"/>
      </w:pPr>
      <w:r>
        <w:rPr>
          <w:rFonts w:ascii="Times New Roman" w:cs="Times New Roman" w:eastAsia="Times New Roman" w:hAnsi="Times New Roman"/>
          <w:b/>
          <w:bCs/>
          <w:sz w:val="24"/>
          <w:szCs w:val="24"/>
        </w:rPr>
        <w:t xml:space="preserve">1. Instrument Count Proliferation: </w:t>
      </w:r>
      <w:r>
        <w:rPr>
          <w:rFonts w:ascii="Times New Roman" w:cs="Times New Roman" w:eastAsia="Times New Roman" w:hAnsi="Times New Roman"/>
          <w:sz w:val="24"/>
          <w:szCs w:val="24"/>
        </w:rPr>
        <w:t xml:space="preserve">System GMM with lags 2–4 in a panel of 94 countries and 23 years risks instrument proliferation — the "too many instruments" problem identified by Roodman [CITE VERIFY: Roodman (2009)]. The Sargan-Hansen test loses power when instrument count approaches or exceeds group count. The authors should report the number of instruments explicitly in each column, collapse the instrument matrix using Roodman's recommended approach, and verify that the Sargan p-values remain above 0.10 after collapsing. </w:t>
      </w:r>
      <w:r>
        <w:rPr>
          <w:rFonts w:ascii="Times New Roman" w:cs="Times New Roman" w:eastAsia="Times New Roman" w:hAnsi="Times New Roman"/>
          <w:sz w:val="24"/>
          <w:szCs w:val="24"/>
        </w:rPr>
        <w:t xml:space="preserve">Suggested fix: Restrict instruments to lags 2–3 only, collapse the matrix, and add a column to Table 2 with instrument counts explicitly stated.</w:t>
      </w:r>
    </w:p>
    <w:p>
      <w:pPr>
        <w:spacing w:after="60" w:before="0" w:line="240"/>
      </w:pPr>
      <w:r>
        <w:rPr>
          <w:rFonts w:ascii="Times New Roman" w:cs="Times New Roman" w:eastAsia="Times New Roman" w:hAnsi="Times New Roman"/>
          <w:b/>
          <w:bCs/>
          <w:sz w:val="24"/>
          <w:szCs w:val="24"/>
        </w:rPr>
        <w:t xml:space="preserve">2. Country-Year Aggregation: </w:t>
      </w:r>
      <w:r>
        <w:rPr>
          <w:rFonts w:ascii="Times New Roman" w:cs="Times New Roman" w:eastAsia="Times New Roman" w:hAnsi="Times New Roman"/>
          <w:sz w:val="24"/>
          <w:szCs w:val="24"/>
        </w:rPr>
        <w:t xml:space="preserve">Aggregating MFI data to country-year level using portfolio-weighted averages is reasonable but introduces measurement error that may attenuate the AEI coefficient. Countries with one dominant MFI and countries with 50 MFIs are treated symmetrically, yet portfolio concentration has independent effects on systemic risk. </w:t>
      </w:r>
      <w:r>
        <w:rPr>
          <w:rFonts w:ascii="Times New Roman" w:cs="Times New Roman" w:eastAsia="Times New Roman" w:hAnsi="Times New Roman"/>
          <w:sz w:val="24"/>
          <w:szCs w:val="24"/>
        </w:rPr>
        <w:t xml:space="preserve">Suggested fix: Include an MFI concentration measure (Herfindahl index by portfolio share) as a control, and show that results are robust to restricting the sample to countries with at least five active MFIs.</w:t>
      </w:r>
    </w:p>
    <w:p>
      <w:pPr>
        <w:spacing w:after="60" w:before="0" w:line="240"/>
      </w:pPr>
      <w:r>
        <w:rPr>
          <w:rFonts w:ascii="Times New Roman" w:cs="Times New Roman" w:eastAsia="Times New Roman" w:hAnsi="Times New Roman"/>
          <w:b/>
          <w:bCs/>
          <w:sz w:val="24"/>
          <w:szCs w:val="24"/>
        </w:rPr>
        <w:t xml:space="preserve">3. Governance Endogeneity: </w:t>
      </w:r>
      <w:r>
        <w:rPr>
          <w:rFonts w:ascii="Times New Roman" w:cs="Times New Roman" w:eastAsia="Times New Roman" w:hAnsi="Times New Roman"/>
          <w:sz w:val="24"/>
          <w:szCs w:val="24"/>
        </w:rPr>
        <w:t xml:space="preserve">Using lags 2–3 of governance as instruments assumes that governance two years prior is uncorrelated with contemporaneous provisioning innovations. This is contestable: countries experiencing financial crises often simultaneously see governance deterioration and provisioning spikes (the 2008–2009 period, in particular). The interaction term AEI × RL compounds this endogeneity because both components are instrumented. </w:t>
      </w:r>
      <w:r>
        <w:rPr>
          <w:rFonts w:ascii="Times New Roman" w:cs="Times New Roman" w:eastAsia="Times New Roman" w:hAnsi="Times New Roman"/>
          <w:sz w:val="24"/>
          <w:szCs w:val="24"/>
        </w:rPr>
        <w:t xml:space="preserve">Suggested fix: Report results excluding 2008–2010 as a robustness check. Consider an external instrument for governance — colonial origin legal tradition (La Porta et al.) interacted with a time trend is one possibility.</w:t>
      </w:r>
    </w:p>
    <w:r>
      <w:rPr>
        <w:rFonts w:ascii="Times New Roman" w:cs="Times New Roman" w:eastAsia="Times New Roman" w:hAnsi="Times New Roman"/>
        <w:b/>
        <w:bCs/>
        <w:sz w:val="24"/>
        <w:szCs w:val="24"/>
      </w:rPr>
      <w:t xml:space="preserve">MINOR CONCERNS</w:t>
    </w:r>
    <w:p>
      <w:pPr>
        <w:spacing w:after="60" w:before="0" w:line="240"/>
      </w:pPr>
      <w:r>
        <w:rPr>
          <w:rFonts w:ascii="Times New Roman" w:cs="Times New Roman" w:eastAsia="Times New Roman" w:hAnsi="Times New Roman"/>
          <w:sz w:val="24"/>
          <w:szCs w:val="24"/>
        </w:rPr>
        <w:t xml:space="preserve">1. The mediation analysis (Section VI.A) uses the Baron-Kenny approach, which assumes no unmeasured mediator-outcome confounders and has been largely superseded in the econometrics literature by the Imai et al. causal mediation framework. Please update or acknowledge the limitation.</w:t>
      </w:r>
    </w:p>
    <w:p>
      <w:pPr>
        <w:spacing w:after="60" w:before="0" w:line="240"/>
      </w:pPr>
      <w:r>
        <w:rPr>
          <w:rFonts w:ascii="Times New Roman" w:cs="Times New Roman" w:eastAsia="Times New Roman" w:hAnsi="Times New Roman"/>
          <w:sz w:val="24"/>
          <w:szCs w:val="24"/>
        </w:rPr>
        <w:t xml:space="preserve">2. Equation (2) uses italic subscripts but the text description uses upright font; standardize throughout.</w:t>
      </w:r>
    </w:p>
    <w:p>
      <w:pPr>
        <w:spacing w:after="60" w:before="0" w:line="240"/>
      </w:pPr>
      <w:r>
        <w:rPr>
          <w:rFonts w:ascii="Times New Roman" w:cs="Times New Roman" w:eastAsia="Times New Roman" w:hAnsi="Times New Roman"/>
          <w:sz w:val="24"/>
          <w:szCs w:val="24"/>
        </w:rPr>
        <w:t xml:space="preserve">3. The abstract states the governance effect 'fully moderates' the climate relationship. This requires a formal test (e.g., testing the marginal effect at the 75th percentile of RL against zero), not just an inspection of the interaction coefficient. Report the test statistic.</w:t>
      </w:r>
    </w:p>
    <w:r>
      <w:rPr>
        <w:rFonts w:ascii="Times New Roman" w:cs="Times New Roman" w:eastAsia="Times New Roman" w:hAnsi="Times New Roman"/>
        <w:b/>
        <w:bCs/>
        <w:sz w:val="24"/>
        <w:szCs w:val="24"/>
      </w:rPr>
      <w:t xml:space="preserve">QUESTIONS FOR AUTHORS</w:t>
    </w:r>
    <w:p>
      <w:pPr>
        <w:spacing w:after="60" w:before="0" w:line="240"/>
      </w:pPr>
      <w:r>
        <w:rPr>
          <w:rFonts w:ascii="Times New Roman" w:cs="Times New Roman" w:eastAsia="Times New Roman" w:hAnsi="Times New Roman"/>
          <w:sz w:val="24"/>
          <w:szCs w:val="24"/>
        </w:rPr>
        <w:t xml:space="preserve">1. Does the PFI exhibit different dynamics in countries with mandatory provisioning regulations versus those with discretionary standards? If MFI provisioning is regulatory-driven, the mechanism is regulatory responsiveness to climate risk rather than managerial risk assessment — a meaningfully different economic interpretation.</w:t>
      </w:r>
    </w:p>
    <w:p>
      <w:pPr>
        <w:spacing w:after="60" w:before="0" w:line="240"/>
      </w:pPr>
      <w:r>
        <w:rPr>
          <w:rFonts w:ascii="Times New Roman" w:cs="Times New Roman" w:eastAsia="Times New Roman" w:hAnsi="Times New Roman"/>
          <w:sz w:val="24"/>
          <w:szCs w:val="24"/>
        </w:rPr>
        <w:t xml:space="preserve">2. The AEI is constructed as the first principal component of methane and nitrous oxide. What share of total variation does PC1 explain? If it is below 70%, the authors should consider using the two components separately throughout.</w:t>
      </w:r>
    </w:p>
    <w:p>
      <w:pPr>
        <w:spacing w:after="120" w:before="0" w:line="240"/>
      </w:pPr>
      <w:r>
        <w:rPr>
          <w:rFonts w:ascii="Times New Roman" w:cs="Times New Roman" w:eastAsia="Times New Roman" w:hAnsi="Times New Roman"/>
          <w:sz w:val="24"/>
          <w:szCs w:val="24"/>
        </w:rPr>
        <w:t xml:space="preserve">3. The finding that governance 'fully offsets' the climate effect above RL = 0.88 rests on a linear interaction assumption. Have the authors tested for non-linearity in the governance effect — for example, via a quadratic RL term or a threshold regression?</w:t>
      </w:r>
    </w:p>
    <w:r>
      <w:rPr>
        <w:rFonts w:ascii="Times New Roman" w:cs="Times New Roman" w:eastAsia="Times New Roman" w:hAnsi="Times New Roman"/>
        <w:b/>
        <w:bCs/>
        <w:sz w:val="24"/>
        <w:szCs w:val="24"/>
      </w:rPr>
      <w:t xml:space="preserve">OVERALL ASSESSMENT</w:t>
    </w:r>
    <w:p>
      <w:pPr>
        <w:spacing w:after="120" w:before="0" w:line="240"/>
      </w:pPr>
      <w:r>
        <w:rPr>
          <w:rFonts w:ascii="Times New Roman" w:cs="Times New Roman" w:eastAsia="Times New Roman" w:hAnsi="Times New Roman"/>
          <w:sz w:val="24"/>
          <w:szCs w:val="24"/>
        </w:rPr>
        <w:t xml:space="preserve">The paper asks a well-defined question, uses an appropriate identification strategy, and produces an economically significant result with a clean falsification test. The instrument proliferation and governance endogeneity issues are addressable with targeted robustness checks rather than fundamental redesign. Resolved, this paper would be a solid fit for the Journal of Financial Economics or Review of Financial Studies. The main barrier to the Journal of Finance is the absence of a purely financial mechanism — the paper is fundamentally about credit risk in development finance rather than asset pricing or capital structure, which are the journal's dominant frames. Targeting JFE or RFS is the better strategy.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2026-05-06T04:44:51.560Z</dcterms:created>
  <dcterms:modified xsi:type="dcterms:W3CDTF">2026-05-06T04:44:51.580Z</dcterms:modified>
</cp:coreProperties>
</file>

<file path=docProps/custom.xml><?xml version="1.0" encoding="utf-8"?>
<Properties xmlns="http://schemas.openxmlformats.org/officeDocument/2006/custom-properties" xmlns:vt="http://schemas.openxmlformats.org/officeDocument/2006/docPropsVTypes"/>
</file>