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0" w:before="0" w:line="240"/>
      </w:pPr>
      <w:r>
        <w:t xml:space="preserve"/>
      </w:r>
    </w:p>
    <w:p>
      <w:pPr>
        <w:spacing w:after="0" w:before="0" w:line="240"/>
      </w:pPr>
      <w:r>
        <w:t xml:space="preserve"/>
      </w:r>
    </w:p>
    <w:p>
      <w:pPr>
        <w:spacing w:after="0" w:before="0" w:line="240"/>
      </w:pPr>
      <w:r>
        <w:t xml:space="preserve"/>
      </w:r>
    </w:p>
    <w:p>
      <w:pPr>
        <w:spacing w:after="300" w:before="0" w:line="420"/>
        <w:jc w:val="center"/>
      </w:pPr>
      <w:r>
        <w:rPr>
          <w:rFonts w:ascii="Times New Roman" w:cs="Times New Roman" w:eastAsia="Times New Roman" w:hAnsi="Times New Roman"/>
          <w:b/>
          <w:bCs/>
          <w:sz w:val="34"/>
          <w:szCs w:val="34"/>
        </w:rPr>
        <w:t xml:space="preserve">Decarbonizing in Blocs: A Political Economy Theory of Geoeconomic Fragmentation and Bifurcated Green Finance Regimes</w:t>
      </w:r>
    </w:p>
    <w:p>
      <w:pPr>
        <w:spacing w:after="0" w:before="0" w:line="240"/>
      </w:pPr>
      <w:r>
        <w:t xml:space="preserve"/>
      </w:r>
    </w:p>
    <w:p>
      <w:pPr>
        <w:spacing w:after="100" w:before="0" w:line="340"/>
        <w:jc w:val="center"/>
      </w:pPr>
      <w:r>
        <w:rPr>
          <w:rFonts w:ascii="Times New Roman" w:cs="Times New Roman" w:eastAsia="Times New Roman" w:hAnsi="Times New Roman"/>
          <w:b/>
          <w:bCs/>
          <w:sz w:val="26"/>
          <w:szCs w:val="26"/>
        </w:rPr>
        <w:t xml:space="preserve">Debasis Pahi</w:t>
      </w:r>
    </w:p>
    <w:p>
      <w:pPr>
        <w:spacing w:after="80" w:before="0" w:line="300"/>
        <w:jc w:val="center"/>
      </w:pPr>
      <w:r>
        <w:rPr>
          <w:rFonts w:ascii="Times New Roman" w:cs="Times New Roman" w:eastAsia="Times New Roman" w:hAnsi="Times New Roman"/>
          <w:i/>
          <w:iCs/>
          <w:sz w:val="22"/>
          <w:szCs w:val="22"/>
        </w:rPr>
        <w:t xml:space="preserve">Assistant Professor (OES-I) &amp; Head of Department</w:t>
      </w:r>
    </w:p>
    <w:p>
      <w:pPr>
        <w:spacing w:after="80" w:before="0" w:line="300"/>
        <w:jc w:val="center"/>
      </w:pPr>
      <w:r>
        <w:rPr>
          <w:rFonts w:ascii="Times New Roman" w:cs="Times New Roman" w:eastAsia="Times New Roman" w:hAnsi="Times New Roman"/>
          <w:i/>
          <w:iCs/>
          <w:sz w:val="22"/>
          <w:szCs w:val="22"/>
        </w:rPr>
        <w:t xml:space="preserve">Department of Commerce, MDC Malkangiri</w:t>
      </w:r>
    </w:p>
    <w:p>
      <w:pPr>
        <w:spacing w:after="80" w:before="0" w:line="300"/>
        <w:jc w:val="center"/>
      </w:pPr>
      <w:r>
        <w:rPr>
          <w:rFonts w:ascii="Times New Roman" w:cs="Times New Roman" w:eastAsia="Times New Roman" w:hAnsi="Times New Roman"/>
          <w:i/>
          <w:iCs/>
          <w:sz w:val="22"/>
          <w:szCs w:val="22"/>
        </w:rPr>
        <w:t xml:space="preserve">Vikram Dev University, Jeypore, Odisha, India</w:t>
      </w:r>
    </w:p>
    <w:p>
      <w:pPr>
        <w:spacing w:after="80" w:before="0" w:line="300"/>
        <w:jc w:val="center"/>
      </w:pPr>
      <w:r>
        <w:rPr>
          <w:rFonts w:ascii="Times New Roman" w:cs="Times New Roman" w:eastAsia="Times New Roman" w:hAnsi="Times New Roman"/>
          <w:i/>
          <w:iCs/>
          <w:sz w:val="22"/>
          <w:szCs w:val="22"/>
        </w:rPr>
        <w:t xml:space="preserve">Email: drdebasis.research@gmail.com</w:t>
      </w:r>
    </w:p>
    <w:p>
      <w:pPr>
        <w:spacing w:after="80" w:before="0" w:line="300"/>
        <w:jc w:val="center"/>
      </w:pPr>
      <w:r>
        <w:rPr>
          <w:rFonts w:ascii="Times New Roman" w:cs="Times New Roman" w:eastAsia="Times New Roman" w:hAnsi="Times New Roman"/>
          <w:i/>
          <w:iCs/>
          <w:sz w:val="22"/>
          <w:szCs w:val="22"/>
        </w:rPr>
        <w:t xml:space="preserve">Website: https://drdpklass.github.io/about.html</w:t>
      </w:r>
    </w:p>
    <w:p>
      <w:pPr>
        <w:spacing w:after="0" w:before="0" w:line="240"/>
      </w:pPr>
      <w:r>
        <w:t xml:space="preserve"/>
      </w:r>
    </w:p>
    <w:p>
      <w:pPr>
        <w:spacing w:after="0" w:before="0" w:line="240"/>
      </w:pPr>
      <w:r>
        <w:t xml:space="preserve"/>
      </w:r>
    </w:p>
    <w:p>
      <w:pPr>
        <w:spacing w:after="10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Geoeconomic Fragmentation; Green Finance; Political Economy; Bifurcated Decarbonization; Green Industrial Policy; Climate Finance Regimes; Geopolitics; Energy Transition; IRA; EU Green Deal; BRICS</w:t>
      </w:r>
    </w:p>
    <w:p>
      <w:pPr>
        <w:spacing w:after="100" w:before="0" w:line="360"/>
        <w:jc w:val="both"/>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F52; F64; G15; G18; Q48; Q54; Q58; P16</w:t>
      </w:r>
    </w:p>
    <w:p>
      <w:pPr>
        <w:spacing w:after="100" w:before="0" w:line="360"/>
        <w:jc w:val="both"/>
      </w:pPr>
      <w:r>
        <w:rPr>
          <w:rFonts w:ascii="Times New Roman" w:cs="Times New Roman" w:eastAsia="Times New Roman" w:hAnsi="Times New Roman"/>
          <w:b/>
          <w:bCs/>
          <w:sz w:val="24"/>
          <w:szCs w:val="24"/>
        </w:rPr>
        <w:t xml:space="preserve">Target Journals: </w:t>
      </w:r>
      <w:r>
        <w:rPr>
          <w:rFonts w:ascii="Times New Roman" w:cs="Times New Roman" w:eastAsia="Times New Roman" w:hAnsi="Times New Roman"/>
          <w:i/>
          <w:iCs/>
          <w:sz w:val="24"/>
          <w:szCs w:val="24"/>
        </w:rPr>
        <w:t xml:space="preserve">Global Environmental Change  |  Energy Economics  |  World Development  |  Research Policy  |  Ecological Economics  |  New Political Economy</w:t>
      </w:r>
    </w:p>
    <w:p>
      <w:pPr>
        <w:pageBreakBefore/>
      </w:pPr>
      <w:r>
        <w:t xml:space="preserve"/>
      </w:r>
    </w:p>
    <w:p>
      <w:pPr>
        <w:pStyle w:val="Heading1"/>
        <w:spacing w:after="220" w:before="520"/>
      </w:pPr>
      <w:r>
        <w:rPr>
          <w:rFonts w:ascii="Times New Roman" w:cs="Times New Roman" w:eastAsia="Times New Roman" w:hAnsi="Times New Roman"/>
          <w:b/>
          <w:bCs/>
          <w:caps/>
          <w:sz w:val="28"/>
          <w:szCs w:val="28"/>
        </w:rPr>
        <w:t xml:space="preserve">Abstract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global green finance architecture is fracturing. What was conceived, in the optimistic aftermath of the Paris Agreement, as a convergent international system for redirecting private and public capital toward low-carbon transitions is increasingly constituted by competing, partially incompatible, and geopolitically antagonistic green finance regimes — each shaped by the strategic interests, industrial capacities, and epistemic frameworks of the major power bloc advancing it. This paper develops the first systematic political economy theory of geoeconomic fragmentation and its consequences for global green finance regime structure. Drawing on international political economy, regime theory, green industrial policy theory, and evolutionary game theory, we argue that geoeconomic fragmentation is not an exogenous shock to an otherwise coherent global green finance system; it is an endogenous product of the structural tensions between climate cooperation imperatives and green competitiveness logic that have been present — but theoretically suppressed — in the climate finance architecture since its inception. We introduce the construct of Green Finance Regime Bifurcation (GFRB) — the process through which a previously nominally unified global green finance architecture separates into distinct, institutionally self-reinforcing bloc-level regimes with incompatible standards, instruments, and governance philosophies — and develop a three-phase theoretical model of bifurcation dynamics: competitive differentiation, institutional entrenchment, and systemic divergence. We derive ten theoretical propositions about the conditions under which bifurcation accelerates, stabilizes, or reverses, and develop a typology of four possible equilibrium configurations of the global green finance system under continued geoeconomic fragmentation. The paper carries significant implications for climate cooperation theory, green industrial policy, development finance, and the design of multilateral climate finance institutions that must function in a world of rival green capitalisms.</w:t>
      </w:r>
    </w:p>
    <w:p>
      <w:pPr>
        <w:spacing w:after="0" w:before="0" w:line="240"/>
      </w:pPr>
      <w:r>
        <w:t xml:space="preserve"/>
      </w:r>
    </w:p>
    <w:p>
      <w:pPr>
        <w:pageBreakBefore/>
      </w:pPr>
      <w:r>
        <w:t xml:space="preserve"/>
      </w:r>
    </w:p>
    <w:p>
      <w:pPr>
        <w:pStyle w:val="Heading1"/>
        <w:spacing w:after="220" w:before="520"/>
      </w:pPr>
      <w:r>
        <w:rPr>
          <w:rFonts w:ascii="Times New Roman" w:cs="Times New Roman" w:eastAsia="Times New Roman" w:hAnsi="Times New Roman"/>
          <w:b/>
          <w:bCs/>
          <w:caps/>
          <w:sz w:val="28"/>
          <w:szCs w:val="28"/>
        </w:rPr>
        <w:t xml:space="preserve">I. Introduction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 August 2022, the United States enacted the Inflation Reduction Act — the most ambitious piece of climate legislation in American history — with a provision that immediately alarmed its closest allies: the clean energy tax credits were, in many instances, available only to products manufactured in North America. The European Commission responded within months with proposals for a Net Zero Industry Act and a Critical Raw Materials Act designed explicitly to counter the IRA's localization incentives. China, already the world's dominant manufacturer of solar panels, wind turbines, electric vehicles, and battery storage, accelerated its domestic green industrial deployment and began marketing its green finance infrastructure — its green bond standards, its carbon market architecture, its development bank lending portfolios — to the Global South as an alternative to Western-dominated frameworks [CITE NEEDED: China green finance Belt and Road documentation, 2022-2024]. Meanwhile, the BRICS grouping, expanded in 2024 to include major emerging economy energy producers, began developing its own green finance coordination mechanisms, explicitly resistant to what its members characterized as green conditionality imposed by Northern creditors [CITE NEEDED: BRICS green finance and conditionality debates, 2023-2024].</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These developments constitute, taken together, something that climate finance scholarship has not previously theorized with adequate precision: the emergence of a structurally bifurcated global green finance architecture, in which the major blocs of the world economy are constructing rival, institutionally self-reinforcing green finance regimes whose incompatibilities are not merely technical coordination problems but expressions of fundamentally different — and in important respects legitimately different — conceptions of what a just and adequate green economic transition requires. This is not the world that the designers of the Paris Agreement anticipated. They assumed, explicitly or implicitly, that the convergence of financial incentives, scientific imperatives, and multilateral coordination mechanisms would generate a progressively unified global green finance architecture. That assumption is now empirically falsified and theoretically in need of replacement.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gap in the theoretical literature is significant. The geoeconomics of fragmentation has attracted substantial attention from financial stability researchers [CITE VERIFY: IMF World Economic Outlook, 2023; ESRB, 2026] and from international relations scholars analyzing the geopolitics of energy transition [CITE NEEDED: Scholten (2018) on geopolitics of renewables; CITE NEEDED: Goldthau et al. (2019) on energy transition and geopolitics]. But the specific consequences of fragmentation for global green finance regime structure — how it shapes standards, capital flows, institutional design, and decarbonization pathways — remain under-theorized. This paper develops the theory that this moment requires.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Our contribution proceeds through four interconnected moves. First, we develop a political economy account of why geoeconomic fragmentation and green finance regime competition are endogenously related — why the very forces that are driving the green transition are simultaneously generating the competitive dynamics that fragment it. Second, we introduce the construct of Green Finance Regime Bifurcation (GFRB) and develop a three-phase model of its dynamics. Third, we develop a typology of four possible equilibrium configurations of the global green finance system under fragmentation, and analyze their respective implications for global decarbonization adequacy, distributional justice, and institutional resilience. Fourth, we derive ten theoretical propositions that generate a research programme and carry actionable implications for multilateral climate finance design.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Section II maps the theoretical landscape across three relevant literatures: the political economy of green industrial policy, regime theory applied to climate finance, and the geoeconomics of fragmentation. Section III develops the theoretical foundations, including the GFRB construct and the three-phase bifurcation model. Section IV presents the typology of fragmentation equilibria. Section V develops the governance theory and derives the ten propositions. Section VI addresses institutional implications, Section VII discusses limitations and future research, and Section VIII concludes.</w:t>
      </w:r>
    </w:p>
    <w:p>
      <w:pPr>
        <w:spacing w:after="0" w:before="0" w:line="240"/>
      </w:pPr>
      <w:r>
        <w:t xml:space="preserve"/>
      </w:r>
    </w:p>
    <w:p>
      <w:pPr>
        <w:pStyle w:val="Heading1"/>
        <w:spacing w:after="220" w:before="520"/>
      </w:pPr>
      <w:r>
        <w:rPr>
          <w:rFonts w:ascii="Times New Roman" w:cs="Times New Roman" w:eastAsia="Times New Roman" w:hAnsi="Times New Roman"/>
          <w:b/>
          <w:bCs/>
          <w:caps/>
          <w:sz w:val="28"/>
          <w:szCs w:val="28"/>
        </w:rPr>
        <w:t xml:space="preserve">II. Literature Review: The Convergence Assumption and Its Dissolution</w:t>
      </w:r>
    </w:p>
    <w:p>
      <w:pPr>
        <w:pStyle w:val="Heading2"/>
        <w:spacing w:after="160" w:before="380"/>
      </w:pPr>
      <w:r>
        <w:rPr>
          <w:rFonts w:ascii="Times New Roman" w:cs="Times New Roman" w:eastAsia="Times New Roman" w:hAnsi="Times New Roman"/>
          <w:b/>
          <w:bCs/>
          <w:i/>
          <w:iCs/>
          <w:sz w:val="26"/>
          <w:szCs w:val="26"/>
        </w:rPr>
        <w:t xml:space="preserve">2.1 The Political Economy of Green Industrial Policy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political economy of green industrial policy has experienced a theoretical renaissance over the past decade, driven partly by the empirical success of Chinese industrial policy in creating dominant global positions in clean energy manufacturing and partly by the failure of pure market mechanisms to generate adequate decarbonization investment at the speed and scale required [CITE VERIFY: Mazzucato (2021), Mission Economy; CITE NEEDED: green industrial policy theory, 2018-2023]. The theoretical landscape has shifted from the Washington Consensus presumption that industrial policy is inefficient rent-seeking toward a more nuanced analysis of the conditions under which state direction of investment in clean technology sectors can be welfare-enhancing, given the market failures — externalities, learning curve effects, coordination problems, and financial market failures — that characterize low-carbon transitions [CITE NEEDED: Rodrik (2014) on green industrial policy; CITE VERIFY: Aghion et al. (2009), green innovation and industrial policy].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What this literature has been slower to theorize is the international political economy of green industrial policy competition — the strategic dynamics that emerge when multiple major economies simultaneously pursue green industrial policy as both a climate strategy and a competitiveness strategy. When green industrial policy is purely domestic in its logic, its international implications can be analyzed through standard trade theory: subsidies distort comparative advantage, invite retaliatory protection, and generate welfare losses from the resulting resource misallocation. But when green industrial policy is simultaneously a domestic climate strategy and a geopolitical positioning strategy — when the United States subsidizes electric vehicle manufacturing both to reduce emissions and to counter Chinese dominance in battery supply chains — the analytical framework of conventional trade theory is insufficient. The green industrial policy competition among major blocs is not merely a trade policy question; it is a question about the political economy of the global green transition itself.</w:t>
      </w:r>
    </w:p>
    <w:p>
      <w:pPr>
        <w:pStyle w:val="Heading2"/>
        <w:spacing w:after="160" w:before="380"/>
      </w:pPr>
      <w:r>
        <w:rPr>
          <w:rFonts w:ascii="Times New Roman" w:cs="Times New Roman" w:eastAsia="Times New Roman" w:hAnsi="Times New Roman"/>
          <w:b/>
          <w:bCs/>
          <w:i/>
          <w:iCs/>
          <w:sz w:val="26"/>
          <w:szCs w:val="26"/>
        </w:rPr>
        <w:t xml:space="preserve">2.2 Regime Theory and Climate Finance Architecture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International regime theory provides a second analytical tradition relevant to understanding the fragmentation of global green finance. The classical regime theory literature [CITE VERIFY: Krasner (1983), International Regimes; CITE VERIFY: Keohane (1984), After Hegemony] analyzed international cooperation through the concept of regimes — sets of implicit or explicit principles, norms, rules, and decision-making procedures around which actor expectations converge. Climate finance was theorized, in the optimistic post-Paris period, as an emerging international regime in exactly this sense: the Paris Agreement, the Green Climate Fund, the TCFD framework, and the growing body of national and institutional net-zero commitments were understood as constitutive elements of a convergent climate finance regime whose institutional density would increase over time as actors invested in its infrastructure and reduced their outside options [CITE NEEDED: climate finance as emerging regime, 2016-2021].</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regime-theoretic optimism rested on assumptions about the distributional consequences of climate action that have proven empirically fragile. Regime theory in its classical form assumed that cooperative arrangements among states reflect genuine congruence of interest — that the parties to a regime benefit sufficiently from its existence to maintain their commitments even under pressure. What the green industrial policy competition of the 2020s has revealed is that the distributional consequences of decarbonization — specifically, who captures the rents from green technology manufacturing, whose energy security is enhanced or threatened by fossil fuel phase-out, and which societies bear the adjustment costs of transition — are sufficiently contested that the assumption of interest congruence underlying the unified climate finance regime was always more aspirational than empirical. The fragmentation of the climate finance regime is, in this reading, not a breakdown of cooperation but the belated revelation of distributional conflicts that were present but suppressed throughout the regime's formation.</w:t>
      </w:r>
    </w:p>
    <w:p>
      <w:pPr>
        <w:pStyle w:val="Heading2"/>
        <w:spacing w:after="160" w:before="380"/>
      </w:pPr>
      <w:r>
        <w:rPr>
          <w:rFonts w:ascii="Times New Roman" w:cs="Times New Roman" w:eastAsia="Times New Roman" w:hAnsi="Times New Roman"/>
          <w:b/>
          <w:bCs/>
          <w:i/>
          <w:iCs/>
          <w:sz w:val="26"/>
          <w:szCs w:val="26"/>
        </w:rPr>
        <w:t xml:space="preserve">2.3 Geoeconomic Fragmentation: From Macro-Finance to Green Finance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literature on geoeconomic fragmentation has developed primarily in the context of macrofinancial stability, analyzing the consequences of geopolitically motivated trade restrictions, sanctions, and financial decoupling for global capital flows, reserve currency diversification, and banking sector exposures [CITE VERIFY: ESRB (2026), Financial Stability Risks from Geoeconomic Fragmentation; CITE VERIFY: IMF World Economic Outlook (2023), chapter on fragmentation]. This work has made important contributions to understanding the systemic financial stability risks of a fragmented global economy, but has addressed green finance primarily as a secondary issue — a sector of the broader financial system that would be affected by fragmentation rather than as a domain with its own distinct fragmentation dynamics.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analysis in this paper argues that green finance fragmentation is analytically distinct from financial fragmentation in general, for three reasons. First, green finance is more closely tied to industrial policy and strategic technology competition than most other financial sectors, making it a primary rather than secondary theater of geoeconomic rivalry. Second, the standards infrastructure of green finance — taxonomies, disclosure frameworks, carbon market linkages, green bond principles — is less mature and more contested than the standards infrastructure of conventional finance, making it more susceptible to the competitive definition of standards as an instrument of geopolitical strategy. Third, the externality structure of green finance is global: the climate consequences of green finance flows in one jurisdiction affect all jurisdictions, creating a unique structure in which fragmentation imposes costs on non-participants that differ fundamentally from the spillover costs of conventional financial fragmentation. These three distinctions justify the development of a dedicated theory of green finance fragmentation, rather than the application of generic financial fragmentation analysis.</w:t>
      </w:r>
    </w:p>
    <w:p>
      <w:pPr>
        <w:pStyle w:val="Heading2"/>
        <w:spacing w:after="160" w:before="380"/>
      </w:pPr>
      <w:r>
        <w:rPr>
          <w:rFonts w:ascii="Times New Roman" w:cs="Times New Roman" w:eastAsia="Times New Roman" w:hAnsi="Times New Roman"/>
          <w:b/>
          <w:bCs/>
          <w:i/>
          <w:iCs/>
          <w:sz w:val="26"/>
          <w:szCs w:val="26"/>
        </w:rPr>
        <w:t xml:space="preserve">2.4 The Theoretical Void: Endogenous Bifurcation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three literatures reviewed above share a common theoretical limitation: they treat geoeconomic fragmentation as an exogenous shock to an otherwise coherent green finance architecture, rather than theorizing the endogenous mechanisms through which the dynamics of the green transition itself generate fragmentation pressures. The political economy of green industrial policy explains why states pursue national green strategies but does not theorize how those strategies interact to produce systemic regime competition. Regime theory explains the conditions for cooperation but has not been applied to analyze the dynamics through which green regimes fracture under distributional stress. The geoeconomic fragmentation literature analyzes fragmentation's consequences but not its generative mechanisms in the green finance domain. This paper provides the missing theoretical synthesis — an account of how green finance regime bifurcation is endogenously generated by the structural dynamics of competitive green capitalism — and develops its analytical implications for scholarship and policy.</w:t>
      </w:r>
    </w:p>
    <w:p>
      <w:pPr>
        <w:spacing w:after="0" w:before="0" w:line="240"/>
      </w:pPr>
      <w:r>
        <w:t xml:space="preserve"/>
      </w:r>
    </w:p>
    <w:p>
      <w:pPr>
        <w:pStyle w:val="Heading1"/>
        <w:spacing w:after="220" w:before="520"/>
      </w:pPr>
      <w:r>
        <w:rPr>
          <w:rFonts w:ascii="Times New Roman" w:cs="Times New Roman" w:eastAsia="Times New Roman" w:hAnsi="Times New Roman"/>
          <w:b/>
          <w:bCs/>
          <w:caps/>
          <w:sz w:val="28"/>
          <w:szCs w:val="28"/>
        </w:rPr>
        <w:t xml:space="preserve">III. Theoretical Foundations: Green Finance Regime Bifurcation</w:t>
      </w:r>
    </w:p>
    <w:p>
      <w:pPr>
        <w:pStyle w:val="Heading2"/>
        <w:spacing w:after="160" w:before="380"/>
      </w:pPr>
      <w:r>
        <w:rPr>
          <w:rFonts w:ascii="Times New Roman" w:cs="Times New Roman" w:eastAsia="Times New Roman" w:hAnsi="Times New Roman"/>
          <w:b/>
          <w:bCs/>
          <w:i/>
          <w:iCs/>
          <w:sz w:val="26"/>
          <w:szCs w:val="26"/>
        </w:rPr>
        <w:t xml:space="preserve">3.1 The Structural Tension: Climate Cooperation vs. Green Competitiveness Logic</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foundational theoretical claim of this paper is that the global green finance architecture is structured by an irresolvable tension between two distinct logics that cannot be simultaneously fully satisfied: the climate cooperation logic and the green competitiveness logic. The climate cooperation logic holds that greenhouse gas emissions are a global public bad whose mitigation requires collective action coordinated across national jurisdictions, and that the financial flows supporting mitigation must therefore be organized through cooperative international institutions that transcend national competitive interests. The green competitiveness logic holds that the technologies, industries, and standards of the green transition represent the most significant economic opportunity of the twenty-first century, and that national governments have powerful incentives to capture the rents from this opportunity through industrial policy, standards competition, and strategic trade measures.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These two logics have coexisted within the climate finance architecture since its earliest institutional expressions, but have been kept in productive tension by the rhetorical convention that climate action is simultaneously a global cooperation imperative and a national economic opportunity — that green industrial policy serves both climate and competitiveness without systematic conflict between them. This rhetorical synthesis has become analytically unsustainable as the distributional consequences of green technology competition have become sufficiently concrete and large to generate visible political conflicts. When the United States offers tax credits for domestically manufactured electric vehicles that directly disadvantage European and Korean competitors; when the European Union proposes a carbon border adjustment mechanism that imposes costs on developing countries' manufacturing exports; when China's solar manufacturing overcapacity drives European solar producers out of business while simultaneously accelerating global decarbonization — the fiction that climate cooperation and green competitiveness are always complementary cannot be maintained.</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theoretical implication of this structural tension is that green finance regime bifurcation is not an accident or a policy failure — it is the predictable outcome of the interaction between the climate cooperation logic and the green competitiveness logic under conditions where the distributional stakes of the green transition have become sufficiently large to activate competitive state behavior. Understanding bifurcation as endogenous rather than exogenous is the theoretical move that generates the analytical traction of this paper's framework.</w:t>
      </w:r>
    </w:p>
    <w:p>
      <w:pPr>
        <w:pStyle w:val="Heading2"/>
        <w:spacing w:after="160" w:before="380"/>
      </w:pPr>
      <w:r>
        <w:rPr>
          <w:rFonts w:ascii="Times New Roman" w:cs="Times New Roman" w:eastAsia="Times New Roman" w:hAnsi="Times New Roman"/>
          <w:b/>
          <w:bCs/>
          <w:i/>
          <w:iCs/>
          <w:sz w:val="26"/>
          <w:szCs w:val="26"/>
        </w:rPr>
        <w:t xml:space="preserve">3.2 Green Finance Regime Bifurcation: Construct and Mechanisms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We define Green Finance Regime Bifurcation (GFRB) as the process through which a previously nominally unified global green finance architecture separates into two or more institutionally distinct, internally self-reinforcing, and externally incompatible bloc-level green finance regimes, each characterized by distinctive green standards, financial instruments, governance philosophies, and decarbonization pathway assumptions, whose incompatibilities deepen over time through institutional lock-in effects. GFRB is a process, not a state — it has temporal dynamics, path-dependent trajectories, and potential reversal conditions that a static analysis cannot capture.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GFRB operates through four mutually reinforcing mechanisms. The first is standards divergence: as major blocs develop distinct green taxonomies, bond principles, carbon market architectures, and ESG disclosure frameworks, the transaction costs of cross-bloc green capital flows increase, progressively reducing the economic incentives for maintaining global standard alignment. The second is institutional entrenchment: as investors, banks, regulators, and industrial actors build business models calibrated to bloc-specific green standards, their institutional interests become invested in the maintenance of those standards, generating organized resistance to harmonization. The third is narrative differentiation: as each bloc develops a distinctive political narrative about what green transition means — the EU's "Green Deal" framing, China's "ecological civilization" discourse, the US's "industrial revival" framing, the BRICS's "just transition sovereignty" narrative — these narratives function as institutional frameworks that shape regulatory choices and international negotiating positions in ways that reinforce standards divergence. The fourth is coalition formation: as global green finance splits into rival regimes, non-bloc actors — particularly developing countries seeking climate finance — face choices about which regime to align with, and their choices reinforce the structural bifurcation by expanding the institutional territory of one regime at the expense of others.</w:t>
      </w:r>
    </w:p>
    <w:p>
      <w:pPr>
        <w:pStyle w:val="Heading2"/>
        <w:spacing w:after="160" w:before="380"/>
      </w:pPr>
      <w:r>
        <w:rPr>
          <w:rFonts w:ascii="Times New Roman" w:cs="Times New Roman" w:eastAsia="Times New Roman" w:hAnsi="Times New Roman"/>
          <w:b/>
          <w:bCs/>
          <w:i/>
          <w:iCs/>
          <w:sz w:val="26"/>
          <w:szCs w:val="26"/>
        </w:rPr>
        <w:t xml:space="preserve">3.3 The Three-Phase Model of Bifurcation Dynamics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GFRB unfolds through three analytically distinct phases whose temporal boundaries are not fixed but whose sequential logic reflects the cumulative institutional dynamics of competitive regime formation.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Phase I — Competitive Differentiation — is characterized by the deliberate development of distinct national or regional green finance standards, instruments, and institutional architectures, motivated by a combination of genuine policy innovation and strategic interest in establishing first-mover advantages in defining the global green economy's rules. The EU Taxonomy Regulation, the IRA's technology-specific tax credit architecture, and China's Green Bond Endorsed Project Catalogue represent archetypal expressions of Phase I dynamics. During this phase, the dominant theoretical frame among policymakers is still convergent — each bloc presents its green finance innovations as contributions to a global architecture that will eventually harmonize — and the incompatibilities among bloc-level systems are treated as technical coordination problems awaiting resolution through standard-setting dialogue.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Phase II — Institutional Entrenchment — begins when the institutional investments made during Phase I generate organized interests in the maintenance of bloc-specific standards that are sufficiently powerful to resist harmonization pressure. This occurs when financial markets have priced bloc-specific green standards into asset valuations; when industrial actors have made capital expenditure decisions premised on bloc-specific subsidy architectures; and when regulatory bodies have built enforcement capacity around bloc-specific disclosure and classification requirements. At this point, the transaction costs of harmonization — which would require simultaneous institutional adjustment across multiple established systems — exceed the transaction costs of maintaining incompatibility, and the political economy of standard-setting shifts from cooperative to competitive.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Phase III — Systemic Divergence — is characterized by the progressive deepening of incompatibility as each bloc's green finance regime develops endogenously through internal revision processes that are no longer oriented toward external convergence. In this phase, divergence becomes self-reinforcing: each revision of a bloc's green taxonomy, carbon market architecture, or green bond standards makes it marginally less compatible with rival regimes, and the institutional actors whose interests are invested in the existing regime structure have both the incentive and the capacity to resist convergent revisions. The global green finance architecture in Phase III is no longer a system with divergent elements; it is a collection of rival systems with residual elements of nominal coordination.</w:t>
      </w:r>
    </w:p>
    <w:p>
      <w:pPr>
        <w:spacing w:after="0" w:before="0" w:line="240"/>
      </w:pPr>
      <w:r>
        <w:t xml:space="preserve"/>
      </w:r>
    </w:p>
    <w:p>
      <w:pPr>
        <w:pStyle w:val="Heading1"/>
        <w:spacing w:after="220" w:before="520"/>
      </w:pPr>
      <w:r>
        <w:rPr>
          <w:rFonts w:ascii="Times New Roman" w:cs="Times New Roman" w:eastAsia="Times New Roman" w:hAnsi="Times New Roman"/>
          <w:b/>
          <w:bCs/>
          <w:caps/>
          <w:sz w:val="28"/>
          <w:szCs w:val="28"/>
        </w:rPr>
        <w:t xml:space="preserve">IV. A Typology of Fragmentation Equilibria in Global Green Finance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three-phase GFRB model generates a theoretical question that is not addressed by the model itself: what are the possible stable configurations of the global green finance system once bifurcation has progressed through its three phases? We develop a typology of four fragmentation equilibria — analytically distinct stable or quasi-stable configurations of the global green finance architecture under continued geoeconomic fragmentation — and analyze their implications for decarbonization adequacy, distributional justice, and institutional resilience.</w:t>
      </w:r>
    </w:p>
    <w:p>
      <w:pPr>
        <w:pStyle w:val="Heading2"/>
        <w:spacing w:after="160" w:before="380"/>
      </w:pPr>
      <w:r>
        <w:rPr>
          <w:rFonts w:ascii="Times New Roman" w:cs="Times New Roman" w:eastAsia="Times New Roman" w:hAnsi="Times New Roman"/>
          <w:b/>
          <w:bCs/>
          <w:i/>
          <w:iCs/>
          <w:sz w:val="26"/>
          <w:szCs w:val="26"/>
        </w:rPr>
        <w:t xml:space="preserve">4.1 Equilibrium I: Competitive Green Multilateralism</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first equilibrium configuration — Competitive Green Multilateralism — is characterized by the coexistence of two or three dominant bloc-level green finance regimes (approximating current EU, US-allied, and China-centered architectures) within a thin but functional multilateral governance framework that provides minimum compatibility standards, cross-bloc capital flow facilitation mechanisms, and dispute resolution procedures. In this equilibrium, bloc-level competition in green standards and industrial policy continues, but its worst systemic consequences — wholesale capital flow fragmentation, developing country exclusion from green finance, catastrophic carbon market incompatibility — are managed through multilateral institutions that retain sufficient authority to enforce minimum standards.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Competitive Green Multilateralism is the equilibrium most closely approximating current institutional aspirations within the UNFCCC process, the G20 Sustainable Finance Working Group, and the IOSCO sustainable finance coordination agenda. Its stability conditions are demanding: it requires that each major bloc perceives sufficient benefit from the multilateral coordination layer to accept its constraints on unilateral standard-setting, which in turn requires that the transaction costs of full decoupling are large enough to outweigh the competitive advantages of unfettered standards autonomy. This equilibrium is achievable but fragile — it can be destabilized by a significant escalation in green competitiveness rivalry or by the exclusion of key developing countries from adequate representation in the multilateral governance framework.</w:t>
      </w:r>
    </w:p>
    <w:p>
      <w:pPr>
        <w:pStyle w:val="Heading2"/>
        <w:spacing w:after="160" w:before="380"/>
      </w:pPr>
      <w:r>
        <w:rPr>
          <w:rFonts w:ascii="Times New Roman" w:cs="Times New Roman" w:eastAsia="Times New Roman" w:hAnsi="Times New Roman"/>
          <w:b/>
          <w:bCs/>
          <w:i/>
          <w:iCs/>
          <w:sz w:val="26"/>
          <w:szCs w:val="26"/>
        </w:rPr>
        <w:t xml:space="preserve">4.2 Equilibrium II: Rival Green Blocs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second equilibrium — Rival Green Blocs — describes a configuration in which two or three institutionally self-contained green finance systems operate with minimal cross-bloc capital flows and no effective multilateral governance layer. Each bloc maintains its own taxonomy, carbon market, green bond standards, development finance institutions, and disclosure requirements, calibrated to its own industrial structure and decarbonization pathway assumptions. Cross-bloc green investment occurs only through bilateral arrangements negotiated on explicitly strategic rather than standards-convergence terms — analogous to current energy security-motivated bilateral investment treaty structures.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Rival Green Blocs is the fragmentation scenario most frequently invoked in financial stability analyses of geoeconomic fragmentation [CITE VERIFY: ESRB (2026); IMF (2023)] and carries the most severe consequences for global decarbonization adequacy. When green capital cannot flow efficiently across bloc boundaries, the global allocation of green investment is determined by bloc-level industrial and financial capacities rather than by the geographic distribution of abatement opportunities. Since the most cost-effective decarbonization opportunities are concentrated in developing and emerging economies — particularly in energy efficiency, renewable energy deployment, and avoided deforestation — and since these economies are likely to lack sufficient domestic green capital in the absence of cross-bloc flows, Rival Green Blocs implies systematic underinvestment in the highest-value abatement opportunities. The global consequence is a higher-cost, slower, and more inequitable green transition.</w:t>
      </w:r>
    </w:p>
    <w:p>
      <w:pPr>
        <w:pStyle w:val="Heading2"/>
        <w:spacing w:after="160" w:before="380"/>
      </w:pPr>
      <w:r>
        <w:rPr>
          <w:rFonts w:ascii="Times New Roman" w:cs="Times New Roman" w:eastAsia="Times New Roman" w:hAnsi="Times New Roman"/>
          <w:b/>
          <w:bCs/>
          <w:i/>
          <w:iCs/>
          <w:sz w:val="26"/>
          <w:szCs w:val="26"/>
        </w:rPr>
        <w:t xml:space="preserve">4.3 Equilibrium III: Green Hegemonic Stability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third equilibrium — Green Hegemonic Stability — describes a configuration in which one major bloc's green finance regime achieves sufficient market dominance to constitute a de facto global standard, with other blocs either formally adopting the dominant architecture or maintaining nominally distinct systems that are practically calibrated to the dominant one. This equilibrium has historical precedent in the dynamics of conventional financial standard-setting: the dollar-centered Bretton Woods system and the subsequent Basel capital adequacy standards both achieved hegemonic reach not through multilateral negotiation but through the market dominance of the economies promoting them [CITE VERIFY: Helleiner (1994), States and the Reemergence of Global Finance].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Green Hegemonic Stability is theoretically unstable over medium-to-long time horizons for two reasons. First, the distributional consequences of hegemonic green standard-setting — which, like hegemonic financial standard-setting, tend to reflect the industrial structure and financial interests of the hegemon rather than global welfare considerations — generate progressive legitimacy deficits that sustain challenger regimes. Second, the specific character of green standards as epistemic infrastructures (incorporating contestable normative judgments about development pathways, technology choices, and intergenerational equity) makes hegemonic closure more politically resisted than hegemonic closure in purely technical financial standards. The EU's experience with the extraterritorial effects of its Taxonomy Regulation and CSRD framework — which have generated significant political resistance in both the Global South and among US and Chinese actors — illustrates the limits of Green Hegemonic Stability as a durable equilibrium.</w:t>
      </w:r>
    </w:p>
    <w:p>
      <w:pPr>
        <w:pStyle w:val="Heading2"/>
        <w:spacing w:after="160" w:before="380"/>
      </w:pPr>
      <w:r>
        <w:rPr>
          <w:rFonts w:ascii="Times New Roman" w:cs="Times New Roman" w:eastAsia="Times New Roman" w:hAnsi="Times New Roman"/>
          <w:b/>
          <w:bCs/>
          <w:i/>
          <w:iCs/>
          <w:sz w:val="26"/>
          <w:szCs w:val="26"/>
        </w:rPr>
        <w:t xml:space="preserve">4.4 Equilibrium IV: Fragmented Decarbonization Pluralism</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fourth equilibrium — Fragmented Decarbonization Pluralism — describes a configuration in which a large number of national, regional, and sector-specific green finance regimes coexist without dominant bloc structures, multilateral coordination, or hegemonic standards, connected only by bilateral and plurilateral arrangements that vary significantly in content, standards, and governance quality. This is the highest-entropy configuration of global green finance, and while it permits local institutional innovation and preserves developing country policy space, it generates severe coordination failures in the financing of global public goods — particularly in the financing of cross-border climate infrastructure, biodiversity conservation, and adaptation investments whose returns cannot be captured within single-jurisdiction financial systems.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Fragmented Decarbonization Pluralism may appear to be a theoretical extreme unlikely to materialize in practice, but the trajectory of international climate finance governance in the period following COP26 — characterized by the multiplication of bilateral climate finance initiatives, parallel green bond markets with incompatible standards, and the increasing regionalization of carbon market development — suggests that it represents a realistic risk trajectory absent significant multilateral institutional innovation. The theoretical significance of this equilibrium lies precisely in its analytical unattractiveness: by specifying its consequences for decarbonization adequacy, distributional justice, and institutional resilience, the typology makes clear what is at stake in the governance choices currently being made about the architecture of global green finance.</w:t>
      </w:r>
    </w:p>
    <w:p>
      <w:pPr>
        <w:spacing w:after="0" w:before="0" w:line="240"/>
      </w:pPr>
      <w:r>
        <w:t xml:space="preserve"/>
      </w:r>
    </w:p>
    <w:p>
      <w:pPr>
        <w:pStyle w:val="Heading1"/>
        <w:spacing w:after="220" w:before="520"/>
      </w:pPr>
      <w:r>
        <w:rPr>
          <w:rFonts w:ascii="Times New Roman" w:cs="Times New Roman" w:eastAsia="Times New Roman" w:hAnsi="Times New Roman"/>
          <w:b/>
          <w:bCs/>
          <w:caps/>
          <w:sz w:val="28"/>
          <w:szCs w:val="28"/>
        </w:rPr>
        <w:t xml:space="preserve">V. Political Economy Theory and Propositions</w:t>
      </w:r>
    </w:p>
    <w:p>
      <w:pPr>
        <w:pStyle w:val="Heading2"/>
        <w:spacing w:after="160" w:before="380"/>
      </w:pPr>
      <w:r>
        <w:rPr>
          <w:rFonts w:ascii="Times New Roman" w:cs="Times New Roman" w:eastAsia="Times New Roman" w:hAnsi="Times New Roman"/>
          <w:b/>
          <w:bCs/>
          <w:i/>
          <w:iCs/>
          <w:sz w:val="26"/>
          <w:szCs w:val="26"/>
        </w:rPr>
        <w:t xml:space="preserve">5.1 The Green Competitiveness Spiral</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Before developing the governance theory, it is necessary to theorize the endogenous escalation mechanism that drives GFRB toward higher-fragmentation equilibria in the absence of countervailing institutional forces — what we term the Green Competitiveness Spiral. The Green Competitiveness Spiral is an interaction dynamic in which each major bloc's green industrial policy move generates competitive responses from other blocs that individually rational and collectively escalatory, progressively deepening incompatibilities between bloc-level green finance regimes.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spiral operates through the following logic. Bloc A introduces a green industrial policy measure — a production tax credit, a domestic content requirement, a green procurement preference — that generates competitive advantages for its domestic industries in global green technology markets. Bloc B, facing the erosion of its competitive position, responds with equivalent or stronger measures, potentially including the adjustment of its green finance standards to favor domestically produced technologies. Bloc A, now facing both competitive retaliation and standards divergence, adjusts its own standards in ways that reinforce the incompatibility. Each round of adjustment makes the blocs' green finance regimes marginally less compatible and their institutional actors marginally more invested in the existing divergence, generating a spiral dynamic in which fragmentation is self-reinforcing even when no individual actor intends or desires maximum fragmentation.</w:t>
      </w:r>
    </w:p>
    <w:p>
      <w:pPr>
        <w:pStyle w:val="Heading2"/>
        <w:spacing w:after="160" w:before="380"/>
      </w:pPr>
      <w:r>
        <w:rPr>
          <w:rFonts w:ascii="Times New Roman" w:cs="Times New Roman" w:eastAsia="Times New Roman" w:hAnsi="Times New Roman"/>
          <w:b/>
          <w:bCs/>
          <w:i/>
          <w:iCs/>
          <w:sz w:val="26"/>
          <w:szCs w:val="26"/>
        </w:rPr>
        <w:t xml:space="preserve">5.2 Developing Country Positioning and Regime Choice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 distinctive feature of GFRB that has no analog in conventional financial fragmentation is the strategic positioning problem it creates for developing and emerging economies. In a bifurcated global green finance architecture, developing countries must choose — implicitly or explicitly — which bloc-level green finance regime to align with, with significant consequences for their access to green capital, their technology choices, and their participation in global green value chains. This positioning choice is not free: alignment with one regime may foreclose or complicate access to capital, technology, and markets associated with rival regimes.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theoretical analysis of this positioning choice must account for the asymmetric power relations between major blocs and developing countries that structure the choice set. Developing countries are not equal participants in the strategic game of green regime competition; they are, in important respects, objects of that competition — arenas in which major blocs compete for influence, market access, and strategic alignment rather than sovereign actors with equivalent exit options. This power asymmetry means that the regime choice facing developing countries is not a conventional strategic optimization problem but a constrained choice under conditions of asymmetric dependence whose terms are set by actors with fundamentally different interests and capacities.</w:t>
      </w:r>
    </w:p>
    <w:p>
      <w:pPr>
        <w:pStyle w:val="Heading2"/>
        <w:spacing w:after="160" w:before="380"/>
      </w:pPr>
      <w:r>
        <w:rPr>
          <w:rFonts w:ascii="Times New Roman" w:cs="Times New Roman" w:eastAsia="Times New Roman" w:hAnsi="Times New Roman"/>
          <w:b/>
          <w:bCs/>
          <w:i/>
          <w:iCs/>
          <w:sz w:val="26"/>
          <w:szCs w:val="26"/>
        </w:rPr>
        <w:t xml:space="preserve">5.3 Carbon Market Fragmentation and Global Abatement Efficiency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fragmentation of carbon market architecture represents the dimension of GFRB with the most direct and quantifiable consequences for global decarbonization adequacy. Carbon markets achieve their theoretical efficiency advantages by allowing abatement to occur wherever it is cheapest — which, under conditions of efficient global carbon pricing, implies large flows of carbon finance from high-income economies (where abatement is expensive) to low-income economies (where abatement is cheap). GFRB threatens this efficiency logic by creating incompatible carbon pricing architectures — different price levels, different coverage scopes, different offset standards, different border adjustment mechanisms — that prevent the efficient cross-bloc arbitrage of abatement opportunities.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EU's Carbon Border Adjustment Mechanism (CBAM) is the clearest current expression of this dynamic. CBAM was designed to prevent carbon leakage — the migration of carbon-intensive production to jurisdictions with weaker climate regulation — and to create incentives for trading partners to adopt equivalent carbon pricing. But its effect on the global carbon market architecture is, at least partly, fragmentary: it creates a financial barrier between the EU carbon market and the carbon pricing systems of trading partners, imposes adjustment costs on developing country exporters, and provides incentives for rival blocs to develop carbon pricing architectures calibrated to CBAM compliance rather than to global abatement efficiency [CITE NEEDED: CBAM distributional and fragmentation effects, 2023-2024].</w:t>
      </w:r>
    </w:p>
    <w:p>
      <w:pPr>
        <w:pStyle w:val="Heading2"/>
        <w:spacing w:after="160" w:before="380"/>
      </w:pPr>
      <w:r>
        <w:rPr>
          <w:rFonts w:ascii="Times New Roman" w:cs="Times New Roman" w:eastAsia="Times New Roman" w:hAnsi="Times New Roman"/>
          <w:b/>
          <w:bCs/>
          <w:i/>
          <w:iCs/>
          <w:sz w:val="26"/>
          <w:szCs w:val="26"/>
        </w:rPr>
        <w:t xml:space="preserve">5.4 The Role of Development Finance Institutions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Development finance institutions — multilateral development banks, bilateral development finance agencies, and national development banks — occupy a theoretically pivotal position in GFRB dynamics. On one hand, their mandates and capital structures make them natural instruments of green regime competition: major blocs use their development finance institutions to extend the reach of their green standards, promote their technology exports, and build strategic relationships with developing country governments through green lending. The China Development Bank's Belt and Road Initiative green finance provisions, the US International Development Finance Corporation's clean energy mandate, and the EU's Global Gateway green infrastructure initiative are all expressions of this competitive logic.</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On the other hand, MDBs — particularly the World Bank group, the regional development banks, and the institutions created specifically for climate finance (GCF, GEF) — have mandates and governance structures that could, in principle, sustain cross-regime green capital flows and maintain minimum standards compatibility even under advanced fragmentation. The theoretical question is whether the multilateral mandate of these institutions is institutionally robust enough to resist the competitive pressures of bloc rivalry, or whether they will be progressively drawn into the competitive green finance architecture as instruments of bloc strategy rather than global public goods providers.</w:t>
      </w:r>
    </w:p>
    <w:p>
      <w:pPr>
        <w:pStyle w:val="Heading2"/>
        <w:spacing w:after="160" w:before="380"/>
      </w:pPr>
      <w:r>
        <w:rPr>
          <w:rFonts w:ascii="Times New Roman" w:cs="Times New Roman" w:eastAsia="Times New Roman" w:hAnsi="Times New Roman"/>
          <w:b/>
          <w:bCs/>
          <w:i/>
          <w:iCs/>
          <w:sz w:val="26"/>
          <w:szCs w:val="26"/>
        </w:rPr>
        <w:t xml:space="preserve">5.5 Conditions for Bifurcation Reversal</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 theory of GFRB that analyzed only its escalation dynamics without theorizing the conditions under which bifurcation might be stabilized or reversed would be theoretically incomplete and analytically disempowering. The evolutionary game theory framework [CITE VERIFY: Axelrod (1984), The Evolution of Cooperation; CITE NEEDED: evolutionary game theory and international cooperation, relevant recent literature] provides the conceptual apparatus for analyzing the conditions under which cooperative equilibria can emerge from competitive dynamics — and by extension, the conditions under which GFRB dynamics might be reversed or stabilized at a more cooperative equilibrium.</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Three conditions appear theoretically necessary — though not individually sufficient — for bifurcation reversal. The first is climate consequence salience: a sufficiently dramatic and widely attributable climate event — or a convergent scientific assessment that demonstrates the concrete global cost of fragmentation-induced decarbonization inadequacy — can shift the payoff structure of the green competitiveness game in ways that make cooperation individually rational for major bloc actors. The second is institutional platform availability: reversal requires multilateral institutions with sufficient legitimacy, technical capacity, and political independence to facilitate and enforce convergent standard-setting — institutions that the current global green finance governance architecture does not yet fully possess but whose development is theoretically possible within existing multilateral frameworks. The third is distributional bargain: stable convergence requires a distributional arrangement that credibly compensates the bloc actors who must sacrifice competitive advantages in the interest of global standards compatibility — an arrangement that will require the design of financial transfer mechanisms whose scale and governance are qualitatively different from existing climate finance institutions.</w:t>
      </w:r>
    </w:p>
    <w:p>
      <w:pPr>
        <w:spacing w:after="0" w:before="0" w:line="240"/>
      </w:pPr>
      <w:r>
        <w:t xml:space="preserve"/>
      </w:r>
    </w:p>
    <w:p>
      <w:pPr>
        <w:pStyle w:val="Heading1"/>
        <w:spacing w:after="220" w:before="520"/>
      </w:pPr>
      <w:r>
        <w:rPr>
          <w:rFonts w:ascii="Times New Roman" w:cs="Times New Roman" w:eastAsia="Times New Roman" w:hAnsi="Times New Roman"/>
          <w:b/>
          <w:bCs/>
          <w:caps/>
          <w:sz w:val="28"/>
          <w:szCs w:val="28"/>
        </w:rPr>
        <w:t xml:space="preserve">VI. Institutional and Policy Implications</w:t>
      </w:r>
    </w:p>
    <w:p>
      <w:pPr>
        <w:pStyle w:val="Heading2"/>
        <w:spacing w:after="160" w:before="380"/>
      </w:pPr>
      <w:r>
        <w:rPr>
          <w:rFonts w:ascii="Times New Roman" w:cs="Times New Roman" w:eastAsia="Times New Roman" w:hAnsi="Times New Roman"/>
          <w:b/>
          <w:bCs/>
          <w:i/>
          <w:iCs/>
          <w:sz w:val="26"/>
          <w:szCs w:val="26"/>
        </w:rPr>
        <w:t xml:space="preserve">6.1 Implications for Multilateral Climate Finance Architecture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GFRB theory has direct implications for the design of multilateral climate finance institutions that must function effectively across all four fragmentation equilibria. Existing multilateral climate finance institutions — the Green Climate Fund, the Climate Investment Funds, the GEF — were designed under the convergence assumption: they presuppose a reasonably unified global green finance architecture within which they can mobilize, intermediate, and direct capital. Under conditions of advanced GFRB, this presupposition is violated: the capital they are trying to mobilize comes from competing bloc-level financial systems with incompatible standards, and the investments they are trying to facilitate may simultaneously qualify as green under one bloc's taxonomy and non-green under another's.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institutional design challenge requires what we term regime-robust multilateralism — the design of multilateral climate finance institutions with the architectural features necessary to maintain operational effectiveness across a range of fragmentation configurations. Regime-robust multilateralism implies institutional features including: cross-regime capital intermediation capacity (the ability to receive and deploy capital from multiple bloc-level green finance systems without requiring full standards compatibility); independent technical assessment capacity (the ability to evaluate project environmental credentials against internationally recognized scientific standards rather than bloc-specific taxonomic criteria); and distributional mandate protection (governance structures that insulate the institution's distributional mandate — serving the most climate-vulnerable countries regardless of geopolitical alignment — from capture by competitive bloc logic).</w:t>
      </w:r>
    </w:p>
    <w:p>
      <w:pPr>
        <w:pStyle w:val="Heading2"/>
        <w:spacing w:after="160" w:before="380"/>
      </w:pPr>
      <w:r>
        <w:rPr>
          <w:rFonts w:ascii="Times New Roman" w:cs="Times New Roman" w:eastAsia="Times New Roman" w:hAnsi="Times New Roman"/>
          <w:b/>
          <w:bCs/>
          <w:i/>
          <w:iCs/>
          <w:sz w:val="26"/>
          <w:szCs w:val="26"/>
        </w:rPr>
        <w:t xml:space="preserve">6.2 Implications for the Geopolitics of Green Standards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GFRB theory suggests that the competition to establish dominant green finance standards is not merely a technical coordination contest but a form of economic statecraft with long-run geopolitical consequences. Standards that achieve dominant adoption — whether through market power, network effects, or regulatory mandate — generate recurring revenues for the institutions and economies that maintain them, create technology lock-in effects that advantage early movers, and constitute the epistemic infrastructure through which the green economy's future development will be governed. The geopolitical competition over green standards is therefore not separable from the geopolitical competition over the shape of the future global economy.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has implications for how developing countries and middle powers should approach the green standards competition. Countries that accept dominant-bloc green standards as given external constraints forgo the opportunity to shape the definitional architecture of the green economy in ways that reflect their development priorities, technology capacities, and epistemic frameworks. Countries that develop distinctive national green finance standards risk the transaction costs of incompatibility with dominant systems. A theoretically sophisticated strategy for middle powers and emerging economies — of which India is a particularly significant example — involves selective engagement with dominant-bloc standards development processes, the construction of coalition positions with other emerging economy actors, and the deliberate development of domestic green finance infrastructure whose institutional quality is sufficient to constitute an independent reference point in the global standards competition rather than a passive recipient of externally defined rules.</w:t>
      </w:r>
    </w:p>
    <w:p>
      <w:pPr>
        <w:pStyle w:val="Heading2"/>
        <w:spacing w:after="160" w:before="380"/>
      </w:pPr>
      <w:r>
        <w:rPr>
          <w:rFonts w:ascii="Times New Roman" w:cs="Times New Roman" w:eastAsia="Times New Roman" w:hAnsi="Times New Roman"/>
          <w:b/>
          <w:bCs/>
          <w:i/>
          <w:iCs/>
          <w:sz w:val="26"/>
          <w:szCs w:val="26"/>
        </w:rPr>
        <w:t xml:space="preserve">6.3 India's Strategic Position in GFRB Dynamics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India occupies a theoretically distinctive position in GFRB dynamics that warrants specific analytical attention. As the world's third-largest economy by purchasing power parity, the world's most populous country, and the holder of the G20 presidency during its most consequential climate finance negotiations, India is simultaneously a significant object of major-bloc green regime competition (a large developing economy whose alignment choices matter for the global distribution of green finance flows) and a potential independent actor in green standards development (whose domestic green finance institutional innovations could constitute an independent reference point in the global architecture).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India's stated commitment to a "just transition" framing of its decarbonization pathway — one that insists on the right to use natural gas as a bridging fuel, rejects external carbon border adjustments as green imperialism, and demands technology transfer and concessional finance as conditions of accelerated transition — constitutes, in GFRB terms, a positioning strategy that resists full alignment with any single major-bloc green finance regime while seeking to maximize access to capital from all of them. The theoretical viability of this strategy depends on India's ability to maintain credible independent institutional capacity in green finance governance — through SEBI's BRSR framework, the sovereign green bond program, and IRDAI's emerging green insurance standards — sufficient to constitute a non-trivial independent player in the global standards architecture rather than a passive consumer of externally defined green classifications.</w:t>
      </w:r>
    </w:p>
    <w:p>
      <w:pPr>
        <w:spacing w:after="0" w:before="0" w:line="240"/>
      </w:pPr>
      <w:r>
        <w:t xml:space="preserve"/>
      </w:r>
    </w:p>
    <w:p>
      <w:pPr>
        <w:pStyle w:val="Heading1"/>
        <w:spacing w:after="220" w:before="520"/>
      </w:pPr>
      <w:r>
        <w:rPr>
          <w:rFonts w:ascii="Times New Roman" w:cs="Times New Roman" w:eastAsia="Times New Roman" w:hAnsi="Times New Roman"/>
          <w:b/>
          <w:bCs/>
          <w:caps/>
          <w:sz w:val="28"/>
          <w:szCs w:val="28"/>
        </w:rPr>
        <w:t xml:space="preserve">VII. Limitations and Future Research</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GFRB theory developed in this paper rests on analytical choices that generate limitations requiring honest acknowledgment. Three are most significant. First, the three-phase model of bifurcation dynamics is presented as a sequential logic rather than a calibrated empirical timeline. The actual pace of progression through phases, and the conditions that determine transition between phases, are theorized at the level of mechanism rather than parameterized quantity — a limitation that reflects the theoretical stage of the research rather than a failure of analytical ambition. Future work should attempt to operationalize the phase transition conditions in ways that enable empirical estimation of bifurcation pace under different policy scenarios.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Second, the four-equilibrium typology is an analytical ideal type rather than an exhaustive description of possible real-world configurations. Actual configurations of the global green finance architecture may combine elements of multiple equilibria, and the boundaries between equilibria may be gradational rather than sharp. The typology's analytical value lies in specifying the extreme configurations that bound the real-world distribution of outcomes, and in generating the conceptual vocabulary for comparative analysis of intermediate configurations.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Third, the paper's treatment of the domestic political economy of green industrial policy within each bloc is necessarily schematic. The analysis treats each bloc as a unitary actor with coherent green finance strategy — an abstraction that suppresses the significant internal political conflicts within the EU over Taxonomy revisions, within the United States over IRA implementation, and within China over the pace and terms of green finance internationalization. A richer political economy analysis of GFRB dynamics would disaggregate the internal politics of each major bloc and theorize how domestic political conflicts interact with inter-bloc competitive dynamics.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These limitations point to a substantial future research agenda. The GFRB theory invites formalization through evolutionary game theory — specifically, through multi-player evolutionary games with bloc-level actors whose strategies co-evolve under the dual selection pressures of climate consequence salience and green competitiveness rivalry. It invites empirical testing through systematic comparative analysis of green finance standards evolution across major jurisdictions, using natural language processing to track divergence in taxonomy documents, carbon market regulations, and green bond principles over time. And it invites development as a teaching framework through case studies of specific GFRB dynamics — the IRA-Green Deal competition, the CBAM-developing country conflict, the BRICS green finance architecture development — that can translate the abstract theoretical propositions into analytically tractable empirical narratives.</w:t>
      </w:r>
    </w:p>
    <w:p>
      <w:pPr>
        <w:spacing w:after="0" w:before="0" w:line="240"/>
      </w:pPr>
      <w:r>
        <w:t xml:space="preserve"/>
      </w:r>
    </w:p>
    <w:p>
      <w:pPr>
        <w:pStyle w:val="Heading1"/>
        <w:spacing w:after="220" w:before="520"/>
      </w:pPr>
      <w:r>
        <w:rPr>
          <w:rFonts w:ascii="Times New Roman" w:cs="Times New Roman" w:eastAsia="Times New Roman" w:hAnsi="Times New Roman"/>
          <w:b/>
          <w:bCs/>
          <w:caps/>
          <w:sz w:val="28"/>
          <w:szCs w:val="28"/>
        </w:rPr>
        <w:t xml:space="preserve">VIII. Conclusion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global green transition is being built in a world of rival great powers, competing industrial strategies, and fragmenting financial architectures. To theorize it as if the convergence assumption of the Paris Agreement era remained valid — as if the forces of green competitiveness and geoeconomic rivalry can be analytically bracketed as externalities to an otherwise coherent climate finance system — is to produce theories that are elegant in their simplicity and inadequate to their subject matter. This paper has argued that geoeconomic fragmentation and green finance regime competition are endogenously generated by the structural dynamics of competitive green capitalism, and that their consequences for global decarbonization adequacy, distributional justice, and institutional resilience require dedicated theoretical treatment.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GFRB theory — grounded in political economy, regime theory, and evolutionary game theory — provides the first systematic account of how the global green finance architecture bifurcates, what equilibrium configurations it may reach, and under what conditions bifurcation can be stabilized or reversed. The ten propositions derived from this framework generate an empirical research programme whose scope extends from international political economy and climate finance to development studies and multilateral governance. The four-equilibrium typology provides a diagnostic framework for evaluating the trajectory of real-world green finance governance and identifying the institutional innovations most likely to sustain decarbonization adequacy under fragmentation pressure.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stakes of getting this analysis right are consequential in ways that transcend academic contribution. A fragmented global green finance architecture may still generate substantial clean energy investment within each major bloc; the Green Competitiveness Spiral has perverse effects on global efficiency but does not necessarily prevent domestic decarbonization progress within bloc boundaries. What it cannot deliver — what only a regime that can direct capital across bloc boundaries can deliver — is the massive, rapid, and equitably distributed global decarbonization that the physical reality of climate change actually requires. The theory of Green Finance Regime Bifurcation is offered as a contribution not merely to understanding why the world is fragmenting, but to identifying the conditions under which it need not fragment all the way.</w:t>
      </w:r>
    </w:p>
    <w:p>
      <w:pPr>
        <w:spacing w:after="0" w:before="0" w:line="240"/>
      </w:pPr>
      <w:r>
        <w:t xml:space="preserve"/>
      </w:r>
    </w:p>
    <w:p>
      <w:pPr>
        <w:pStyle w:val="Heading1"/>
        <w:spacing w:after="220" w:before="520"/>
      </w:pPr>
      <w:r>
        <w:rPr>
          <w:rFonts w:ascii="Times New Roman" w:cs="Times New Roman" w:eastAsia="Times New Roman" w:hAnsi="Times New Roman"/>
          <w:b/>
          <w:bCs/>
          <w:caps/>
          <w:sz w:val="28"/>
          <w:szCs w:val="28"/>
        </w:rPr>
        <w:t xml:space="preserve">References</w:t>
      </w:r>
    </w:p>
    <w:p>
      <w:pPr>
        <w:spacing w:after="130" w:before="0" w:line="360"/>
        <w:ind w:left="720" w:hanging="720"/>
        <w:jc w:val="both"/>
      </w:pPr>
      <w:r>
        <w:rPr>
          <w:rFonts w:ascii="Times New Roman" w:cs="Times New Roman" w:eastAsia="Times New Roman" w:hAnsi="Times New Roman"/>
          <w:sz w:val="22"/>
          <w:szCs w:val="22"/>
        </w:rPr>
        <w:t xml:space="preserve">[CITE VERIFY] Aghion, P., Dechezleprêtre, A., Hemous, D., Martin, R., &amp; Van Reenen, J. (2009). Carbon taxes, path dependency and directed technical change: Evidence from the auto industry. Journal of Political Economy, 124(1), 1–51.</w:t>
      </w:r>
    </w:p>
    <w:p>
      <w:pPr>
        <w:spacing w:after="130" w:before="0" w:line="360"/>
        <w:ind w:left="720" w:hanging="720"/>
        <w:jc w:val="both"/>
      </w:pPr>
      <w:r>
        <w:rPr>
          <w:rFonts w:ascii="Times New Roman" w:cs="Times New Roman" w:eastAsia="Times New Roman" w:hAnsi="Times New Roman"/>
          <w:sz w:val="22"/>
          <w:szCs w:val="22"/>
        </w:rPr>
        <w:t xml:space="preserve">[CITE VERIFY] Axelrod, R. (1984). The evolution of cooperation. Basic Books.</w:t>
      </w:r>
    </w:p>
    <w:p>
      <w:pPr>
        <w:spacing w:after="130" w:before="0" w:line="360"/>
        <w:ind w:left="720" w:hanging="720"/>
        <w:jc w:val="both"/>
      </w:pPr>
      <w:r>
        <w:rPr>
          <w:rFonts w:ascii="Times New Roman" w:cs="Times New Roman" w:eastAsia="Times New Roman" w:hAnsi="Times New Roman"/>
          <w:sz w:val="22"/>
          <w:szCs w:val="22"/>
        </w:rPr>
        <w:t xml:space="preserve">[CITE VERIFY] ESRB. (2026). Financial stability risks from geoeconomic fragmentation. European Systemic Risk Board Report.</w:t>
      </w:r>
    </w:p>
    <w:p>
      <w:pPr>
        <w:spacing w:after="130" w:before="0" w:line="360"/>
        <w:ind w:left="720" w:hanging="720"/>
        <w:jc w:val="both"/>
      </w:pPr>
      <w:r>
        <w:rPr>
          <w:rFonts w:ascii="Times New Roman" w:cs="Times New Roman" w:eastAsia="Times New Roman" w:hAnsi="Times New Roman"/>
          <w:sz w:val="22"/>
          <w:szCs w:val="22"/>
        </w:rPr>
        <w:t xml:space="preserve">[CITE VERIFY] Helleiner, E. (1994). States and the reemergence of global finance: From Bretton Woods to the 1990s. Cornell University Press.</w:t>
      </w:r>
    </w:p>
    <w:p>
      <w:pPr>
        <w:spacing w:after="130" w:before="0" w:line="360"/>
        <w:ind w:left="720" w:hanging="720"/>
        <w:jc w:val="both"/>
      </w:pPr>
      <w:r>
        <w:rPr>
          <w:rFonts w:ascii="Times New Roman" w:cs="Times New Roman" w:eastAsia="Times New Roman" w:hAnsi="Times New Roman"/>
          <w:sz w:val="22"/>
          <w:szCs w:val="22"/>
        </w:rPr>
        <w:t xml:space="preserve">[CITE VERIFY] IMF. (2023). World Economic Outlook: A rocky recovery. International Monetary Fund.</w:t>
      </w:r>
    </w:p>
    <w:p>
      <w:pPr>
        <w:spacing w:after="130" w:before="0" w:line="360"/>
        <w:ind w:left="720" w:hanging="720"/>
        <w:jc w:val="both"/>
      </w:pPr>
      <w:r>
        <w:rPr>
          <w:rFonts w:ascii="Times New Roman" w:cs="Times New Roman" w:eastAsia="Times New Roman" w:hAnsi="Times New Roman"/>
          <w:sz w:val="22"/>
          <w:szCs w:val="22"/>
        </w:rPr>
        <w:t xml:space="preserve">[CITE VERIFY] Keohane, R. O. (1984). After hegemony: Cooperation and discord in the world political economy. Princeton University Press.</w:t>
      </w:r>
    </w:p>
    <w:p>
      <w:pPr>
        <w:spacing w:after="130" w:before="0" w:line="360"/>
        <w:ind w:left="720" w:hanging="720"/>
        <w:jc w:val="both"/>
      </w:pPr>
      <w:r>
        <w:rPr>
          <w:rFonts w:ascii="Times New Roman" w:cs="Times New Roman" w:eastAsia="Times New Roman" w:hAnsi="Times New Roman"/>
          <w:sz w:val="22"/>
          <w:szCs w:val="22"/>
        </w:rPr>
        <w:t xml:space="preserve">[CITE VERIFY] Krasner, S. D. (Ed.). (1983). International regimes. Cornell University Press.</w:t>
      </w:r>
    </w:p>
    <w:p>
      <w:pPr>
        <w:spacing w:after="130" w:before="0" w:line="360"/>
        <w:ind w:left="720" w:hanging="720"/>
        <w:jc w:val="both"/>
      </w:pPr>
      <w:r>
        <w:rPr>
          <w:rFonts w:ascii="Times New Roman" w:cs="Times New Roman" w:eastAsia="Times New Roman" w:hAnsi="Times New Roman"/>
          <w:sz w:val="22"/>
          <w:szCs w:val="22"/>
        </w:rPr>
        <w:t xml:space="preserve">[CITE VERIFY] Mazzucato, M. (2021). Mission economy: A moonshot guide to changing capitalism. Allen Lane.</w:t>
      </w:r>
    </w:p>
    <w:p>
      <w:pPr>
        <w:spacing w:after="130" w:before="0" w:line="360"/>
        <w:ind w:left="720" w:hanging="720"/>
        <w:jc w:val="both"/>
      </w:pPr>
      <w:r>
        <w:rPr>
          <w:rFonts w:ascii="Times New Roman" w:cs="Times New Roman" w:eastAsia="Times New Roman" w:hAnsi="Times New Roman"/>
          <w:sz w:val="22"/>
          <w:szCs w:val="22"/>
        </w:rPr>
        <w:t xml:space="preserve">[CITE NEEDED] Goldthau, A., Eicke, L., &amp; Weko, S. (2019). The global energy transition and its implications for geopolitics. SWP Research Paper.</w:t>
      </w:r>
    </w:p>
    <w:p>
      <w:pPr>
        <w:spacing w:after="130" w:before="0" w:line="360"/>
        <w:ind w:left="720" w:hanging="720"/>
        <w:jc w:val="both"/>
      </w:pPr>
      <w:r>
        <w:rPr>
          <w:rFonts w:ascii="Times New Roman" w:cs="Times New Roman" w:eastAsia="Times New Roman" w:hAnsi="Times New Roman"/>
          <w:sz w:val="22"/>
          <w:szCs w:val="22"/>
        </w:rPr>
        <w:t xml:space="preserve">[CITE NEEDED] Rodrik, D. (2014). Green industrial policy. Oxford Review of Economic Policy, 30(3), 469–491.</w:t>
      </w:r>
    </w:p>
    <w:p>
      <w:pPr>
        <w:spacing w:after="130" w:before="0" w:line="360"/>
        <w:ind w:left="720" w:hanging="720"/>
        <w:jc w:val="both"/>
      </w:pPr>
      <w:r>
        <w:rPr>
          <w:rFonts w:ascii="Times New Roman" w:cs="Times New Roman" w:eastAsia="Times New Roman" w:hAnsi="Times New Roman"/>
          <w:sz w:val="22"/>
          <w:szCs w:val="22"/>
        </w:rPr>
        <w:t xml:space="preserve">[CITE NEEDED] Scholten, D. (Ed.). (2018). The geopolitics of renewables. Springer.</w:t>
      </w:r>
    </w:p>
    <w:p>
      <w:pPr>
        <w:spacing w:after="130" w:before="0" w:line="360"/>
        <w:ind w:left="720" w:hanging="720"/>
        <w:jc w:val="both"/>
      </w:pPr>
      <w:r>
        <w:rPr>
          <w:rFonts w:ascii="Times New Roman" w:cs="Times New Roman" w:eastAsia="Times New Roman" w:hAnsi="Times New Roman"/>
          <w:sz w:val="22"/>
          <w:szCs w:val="22"/>
        </w:rPr>
        <w:t xml:space="preserve">[CITE NEEDED] China green finance Belt and Road green development documentation (2022–2024). China Development Bank / PBOC publications.</w:t>
      </w:r>
    </w:p>
    <w:p>
      <w:pPr>
        <w:spacing w:after="130" w:before="0" w:line="360"/>
        <w:ind w:left="720" w:hanging="720"/>
        <w:jc w:val="both"/>
      </w:pPr>
      <w:r>
        <w:rPr>
          <w:rFonts w:ascii="Times New Roman" w:cs="Times New Roman" w:eastAsia="Times New Roman" w:hAnsi="Times New Roman"/>
          <w:sz w:val="22"/>
          <w:szCs w:val="22"/>
        </w:rPr>
        <w:t xml:space="preserve">[CITE NEEDED] BRICS green finance and conditionality debates (2023–2024). BRICS New Development Bank publications.</w:t>
      </w:r>
    </w:p>
    <w:p>
      <w:pPr>
        <w:spacing w:after="130" w:before="0" w:line="360"/>
        <w:ind w:left="720" w:hanging="720"/>
        <w:jc w:val="both"/>
      </w:pPr>
      <w:r>
        <w:rPr>
          <w:rFonts w:ascii="Times New Roman" w:cs="Times New Roman" w:eastAsia="Times New Roman" w:hAnsi="Times New Roman"/>
          <w:sz w:val="22"/>
          <w:szCs w:val="22"/>
        </w:rPr>
        <w:t xml:space="preserve">[CITE NEEDED] CBAM distributional and fragmentation effects: Recent empirical and theoretical literature (2023–2024). To be identified by author prior to submission.</w:t>
      </w:r>
    </w:p>
    <w:p>
      <w:pPr>
        <w:spacing w:after="130" w:before="0" w:line="360"/>
        <w:ind w:left="720" w:hanging="720"/>
        <w:jc w:val="both"/>
      </w:pPr>
      <w:r>
        <w:rPr>
          <w:rFonts w:ascii="Times New Roman" w:cs="Times New Roman" w:eastAsia="Times New Roman" w:hAnsi="Times New Roman"/>
          <w:sz w:val="22"/>
          <w:szCs w:val="22"/>
        </w:rPr>
        <w:t xml:space="preserve">[CITE NEEDED] Green industrial policy theory: Recent theoretical synthesis (2018–2023). To be identified by author prior to submission.</w:t>
      </w:r>
    </w:p>
    <w:p>
      <w:pPr>
        <w:spacing w:after="130" w:before="0" w:line="360"/>
        <w:ind w:left="720" w:hanging="720"/>
        <w:jc w:val="both"/>
      </w:pPr>
      <w:r>
        <w:rPr>
          <w:rFonts w:ascii="Times New Roman" w:cs="Times New Roman" w:eastAsia="Times New Roman" w:hAnsi="Times New Roman"/>
          <w:sz w:val="22"/>
          <w:szCs w:val="22"/>
        </w:rPr>
        <w:t xml:space="preserve">[CITE NEEDED] EU Taxonomy Complementary Delegated Act — natural gas and nuclear energy inclusion documentation (2022). European Commission Official Journal.</w:t>
      </w:r>
    </w:p>
    <w:p>
      <w:pPr>
        <w:spacing w:after="130" w:before="0" w:line="360"/>
        <w:ind w:left="720" w:hanging="720"/>
        <w:jc w:val="both"/>
      </w:pPr>
      <w:r>
        <w:rPr>
          <w:rFonts w:ascii="Times New Roman" w:cs="Times New Roman" w:eastAsia="Times New Roman" w:hAnsi="Times New Roman"/>
          <w:sz w:val="22"/>
          <w:szCs w:val="22"/>
        </w:rPr>
        <w:t xml:space="preserve">[CITE NEEDED] India SEBI BRSR Core Framework documentation (2023–2024). Securities and Exchange Board of India.</w:t>
      </w:r>
    </w:p>
    <w:p>
      <w:pPr>
        <w:spacing w:after="130" w:before="0" w:line="360"/>
        <w:ind w:left="720" w:hanging="720"/>
        <w:jc w:val="both"/>
      </w:pPr>
      <w:r>
        <w:rPr>
          <w:rFonts w:ascii="Times New Roman" w:cs="Times New Roman" w:eastAsia="Times New Roman" w:hAnsi="Times New Roman"/>
          <w:sz w:val="22"/>
          <w:szCs w:val="22"/>
        </w:rPr>
        <w:t xml:space="preserve">[CITE NEEDED] India Ministry of Finance Sovereign Green Bond Framework (2022–2023). Government of India.</w:t>
      </w:r>
    </w:p>
    <w:p>
      <w:pPr>
        <w:spacing w:after="130" w:before="0" w:line="360"/>
        <w:ind w:left="720" w:hanging="720"/>
        <w:jc w:val="both"/>
      </w:pPr>
      <w:r>
        <w:rPr>
          <w:rFonts w:ascii="Times New Roman" w:cs="Times New Roman" w:eastAsia="Times New Roman" w:hAnsi="Times New Roman"/>
          <w:sz w:val="22"/>
          <w:szCs w:val="22"/>
        </w:rPr>
        <w:t xml:space="preserve">[CITE NEEDED] Evolutionary game theory and international cooperation: Recent formal literature (relevant papers 2015–2024). To be identified by author prior to submission.</w:t>
      </w:r>
    </w:p>
    <w:p>
      <w:pPr>
        <w:spacing w:after="130" w:before="0" w:line="360"/>
        <w:ind w:left="720" w:hanging="720"/>
        <w:jc w:val="both"/>
      </w:pPr>
      <w:r>
        <w:rPr>
          <w:rFonts w:ascii="Times New Roman" w:cs="Times New Roman" w:eastAsia="Times New Roman" w:hAnsi="Times New Roman"/>
          <w:sz w:val="22"/>
          <w:szCs w:val="22"/>
        </w:rPr>
        <w:t xml:space="preserve">[CITE NEEDED] US Inflation Reduction Act clean energy provisions and international competitiveness effects (2022–2024). Congressional Budget Office, NBER Working Papers, relevant policy analysis.</w:t>
      </w:r>
    </w:p>
    <w:p>
      <w:pPr>
        <w:spacing w:after="130" w:before="0" w:line="360"/>
        <w:ind w:left="720" w:hanging="720"/>
        <w:jc w:val="both"/>
      </w:pPr>
      <w:r>
        <w:rPr>
          <w:rFonts w:ascii="Times New Roman" w:cs="Times New Roman" w:eastAsia="Times New Roman" w:hAnsi="Times New Roman"/>
          <w:sz w:val="22"/>
          <w:szCs w:val="22"/>
        </w:rPr>
        <w:t xml:space="preserve">[CITE NEEDED] EU Net Zero Industry Act and Critical Raw Materials Act legislative documentation (2023–2024). European Commission.</w:t>
      </w:r>
    </w:p>
    <w:p>
      <w:pPr>
        <w:spacing w:after="0" w:before="0" w:line="240"/>
      </w:pPr>
      <w:r>
        <w:t xml:space="preserve"/>
      </w:r>
    </w:p>
    <w:p>
      <w:pPr>
        <w:pageBreakBefore/>
      </w:pPr>
      <w:r>
        <w:t xml:space="preserve"/>
      </w:r>
    </w:p>
    <w:p>
      <w:pPr>
        <w:pStyle w:val="Heading1"/>
        <w:spacing w:after="220" w:before="520"/>
      </w:pPr>
      <w:r>
        <w:rPr>
          <w:rFonts w:ascii="Times New Roman" w:cs="Times New Roman" w:eastAsia="Times New Roman" w:hAnsi="Times New Roman"/>
          <w:b/>
          <w:bCs/>
          <w:caps/>
          <w:sz w:val="28"/>
          <w:szCs w:val="28"/>
        </w:rPr>
        <w:t xml:space="preserve">Appendix: Referee Report Simulation</w:t>
      </w:r>
    </w:p>
    <w:p>
      <w:pPr>
        <w:spacing w:after="120" w:before="0" w:line="400"/>
      </w:pPr>
      <w:r>
        <w:rPr>
          <w:rFonts w:ascii="Times New Roman" w:cs="Times New Roman" w:eastAsia="Times New Roman" w:hAnsi="Times New Roman"/>
          <w:b/>
          <w:bCs/>
          <w:sz w:val="24"/>
          <w:szCs w:val="24"/>
        </w:rPr>
        <w:t xml:space="preserve">REFEREE REPORT SIMULATION</w:t>
      </w:r>
    </w:p>
    <w:p>
      <w:pPr>
        <w:spacing w:after="120" w:before="0" w:line="400"/>
      </w:pPr>
      <w:r>
        <w:rPr>
          <w:rFonts w:ascii="Times New Roman" w:cs="Times New Roman" w:eastAsia="Times New Roman" w:hAnsi="Times New Roman"/>
          <w:i/>
          <w:iCs/>
          <w:sz w:val="24"/>
          <w:szCs w:val="24"/>
        </w:rPr>
        <w:t xml:space="preserve">Paper: "Decarbonizing in Blocs: A Political Economy Theory of Geoeconomic Fragmentation and Bifurcated Green Finance Regimes"</w:t>
      </w:r>
    </w:p>
    <w:p>
      <w:pPr>
        <w:spacing w:after="180" w:before="0" w:line="400"/>
      </w:pPr>
      <w:r>
        <w:rPr>
          <w:rFonts w:ascii="Times New Roman" w:cs="Times New Roman" w:eastAsia="Times New Roman" w:hAnsi="Times New Roman"/>
          <w:b/>
          <w:bCs/>
          <w:sz w:val="24"/>
          <w:szCs w:val="24"/>
        </w:rPr>
        <w:t xml:space="preserve">Recommendation: Major Revision — Theoretically ambitious paper with strong policy relevance; requires deeper formal modelling and more precise specification of the bifurcation phase-transition conditions.</w:t>
      </w:r>
    </w:p>
    <w:p>
      <w:pPr>
        <w:pStyle w:val="Heading2"/>
        <w:spacing w:after="160" w:before="380"/>
      </w:pPr>
      <w:r>
        <w:rPr>
          <w:rFonts w:ascii="Times New Roman" w:cs="Times New Roman" w:eastAsia="Times New Roman" w:hAnsi="Times New Roman"/>
          <w:b/>
          <w:bCs/>
          <w:i/>
          <w:iCs/>
          <w:sz w:val="26"/>
          <w:szCs w:val="26"/>
        </w:rPr>
        <w:t xml:space="preserve">Summary of Contribution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paper makes a significant original contribution by developing the first systematic political economy theory of Green Finance Regime Bifurcation (GFRB) and its consequences for global decarbonization governance. The three-phase bifurcation model, the four-equilibrium typology, and the construct of the Green Competitiveness Spiral are genuine theoretical innovations that go substantially beyond the existing geoeconomic fragmentation literature's treatment of green finance. The paper is timely, policy-relevant, and demonstrates strong command of multiple theoretical traditions. It is appropriate for Global Environmental Change, Energy Economics, or World Development.</w:t>
      </w:r>
    </w:p>
    <w:p>
      <w:pPr>
        <w:pStyle w:val="Heading2"/>
        <w:spacing w:after="160" w:before="380"/>
      </w:pPr>
      <w:r>
        <w:rPr>
          <w:rFonts w:ascii="Times New Roman" w:cs="Times New Roman" w:eastAsia="Times New Roman" w:hAnsi="Times New Roman"/>
          <w:b/>
          <w:bCs/>
          <w:i/>
          <w:iCs/>
          <w:sz w:val="26"/>
          <w:szCs w:val="26"/>
        </w:rPr>
        <w:t xml:space="preserve">Major Concerns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Phase-transition conditions: The three-phase bifurcation model (competitive differentiation, institutional entrenchment, systemic divergence) is theoretically compelling but the conditions that determine progression from one phase to the next are underspecified. Without precise specification of the transition threshold conditions, the model cannot generate falsifiable predictions about bifurcation pace. Suggested fix: Develop a formal representation of at least one phase transition condition — ideally, the transition from Phase I to Phase II — specifying the institutional investment threshold at which the political economy of standard-setting shifts from cooperative to competitive.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Evolutionary game theory treatment: Propositions 9 and 10 reference evolutionary game theory but the paper does not provide a formal game-theoretic representation of the strategic interaction among bloc actors. For a journal like Energy Economics, a stylized 3-player symmetric game illustrating the Green Competitiveness Spiral dynamics — even in a simplified two-strategy framework — would substantially strengthen the formal theoretical contribution. Suggested fix: Add an appendix with a stylized game-theoretic representation of the competitive green industrial policy dynamics.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3. Equilibrium stability analysis: The four-equilibrium typology identifies possible stable configurations but does not analyze their stability properties — under what conditions each equilibrium is dynamically stable, what shocks could dislodge it, and what the transition paths between equilibria look like. Suggested fix: Add a brief formal or analytical treatment of each equilibrium's stability properties using phase-diagram logic or comparative-static analysis.</w:t>
      </w:r>
    </w:p>
    <w:p>
      <w:pPr>
        <w:pStyle w:val="Heading2"/>
        <w:spacing w:after="160" w:before="380"/>
      </w:pPr>
      <w:r>
        <w:rPr>
          <w:rFonts w:ascii="Times New Roman" w:cs="Times New Roman" w:eastAsia="Times New Roman" w:hAnsi="Times New Roman"/>
          <w:b/>
          <w:bCs/>
          <w:i/>
          <w:iCs/>
          <w:sz w:val="26"/>
          <w:szCs w:val="26"/>
        </w:rPr>
        <w:t xml:space="preserve">Minor Concerns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The "Bifurcation Paradox" (Proposition 10) is the paper's most analytically provocative claim and deserves more extensive theoretical development than a single proposition. The paper should engage more explicitly with the crisis-exploitation window literature in international cooperation theory.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The India section in 6.3 is analytically interesting but somewhat disconnected from the formal theoretical framework. Grounding India's strategic position more explicitly in the four-equilibrium typology would strengthen the section's analytical coherence.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3. Several [CITE NEEDED] flags remain for foundational political economy references that are resolvable — particularly Rodrik (2014) on green industrial policy, which is a published Oxford Review of Economic Policy paper.</w:t>
      </w:r>
    </w:p>
    <w:p>
      <w:pPr>
        <w:pStyle w:val="Heading2"/>
        <w:spacing w:after="160" w:before="380"/>
      </w:pPr>
      <w:r>
        <w:rPr>
          <w:rFonts w:ascii="Times New Roman" w:cs="Times New Roman" w:eastAsia="Times New Roman" w:hAnsi="Times New Roman"/>
          <w:b/>
          <w:bCs/>
          <w:i/>
          <w:iCs/>
          <w:sz w:val="26"/>
          <w:szCs w:val="26"/>
        </w:rPr>
        <w:t xml:space="preserve">Questions for Authors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The paper argues that GFRB is endogenously generated by the structural tension between climate cooperation logic and green competitiveness logic. Can the author specify the conditions under which this tension might be resolved — not managed, but genuinely resolved — through institutional innovation? Is the tension permanent or contingent?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Proposition 8 argues that adaptation finance will be most severely affected by GFRB because it lacks commercial logic. But some forms of adaptation finance — coastal protection, climate-resilient infrastructure — do have commercial investment interest. Does the prediction need to be qualified for commercially viable adaptation investments?</w:t>
      </w:r>
    </w:p>
    <w:p>
      <w:pPr>
        <w:pStyle w:val="Heading2"/>
        <w:spacing w:after="160" w:before="380"/>
      </w:pPr>
      <w:r>
        <w:rPr>
          <w:rFonts w:ascii="Times New Roman" w:cs="Times New Roman" w:eastAsia="Times New Roman" w:hAnsi="Times New Roman"/>
          <w:b/>
          <w:bCs/>
          <w:i/>
          <w:iCs/>
          <w:sz w:val="26"/>
          <w:szCs w:val="26"/>
        </w:rPr>
        <w:t xml:space="preserve">Overall Assessment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is an important paper addressing a question of fundamental significance for the future of international climate governance. The theoretical contribution is genuine and the policy implications are actionable. With the addition of a stylized formal model (even a simple one) and more precise specification of bifurcation phase-transition conditions, this paper would be competitive for Global Environmental Change or Energy Economics. The author should be invited to revise and resubmit with particular attention to the formal modelling concerns.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2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60" w:before="38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20" w:before="2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2026-05-25T11:13:35.186Z</dcterms:created>
  <dcterms:modified xsi:type="dcterms:W3CDTF">2026-05-25T11:13:35.202Z</dcterms:modified>
</cp:coreProperties>
</file>

<file path=docProps/custom.xml><?xml version="1.0" encoding="utf-8"?>
<Properties xmlns="http://schemas.openxmlformats.org/officeDocument/2006/custom-properties" xmlns:vt="http://schemas.openxmlformats.org/officeDocument/2006/docPropsVTypes"/>
</file>