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280" w:before="0" w:line="400"/>
        <w:jc w:val="center"/>
      </w:pPr>
      <w:r>
        <w:rPr>
          <w:rFonts w:ascii="Times New Roman" w:cs="Times New Roman" w:eastAsia="Times New Roman" w:hAnsi="Times New Roman"/>
          <w:b/>
          <w:bCs/>
          <w:sz w:val="34"/>
          <w:szCs w:val="34"/>
        </w:rPr>
        <w:t xml:space="preserve">Classifying the Green Economy: A Theory of Environmental Taxonomies as Epistemic Infrastructures in Sustainable Finance</w:t>
      </w:r>
    </w:p>
    <w:p>
      <w:pPr>
        <w:spacing w:after="0" w:before="0" w:line="240"/>
      </w:pPr>
      <w:r>
        <w:rPr>
          <w:rFonts w:ascii="Times New Roman" w:cs="Times New Roman" w:eastAsia="Times New Roman" w:hAnsi="Times New Roman"/>
          <w:sz w:val="24"/>
          <w:szCs w:val="24"/>
        </w:rPr>
        <w:t xml:space="preserve"/>
      </w:r>
    </w:p>
    <w:p>
      <w:pPr>
        <w:spacing w:after="120" w:before="0" w:line="360"/>
        <w:jc w:val="center"/>
      </w:pPr>
      <w:r>
        <w:rPr>
          <w:rFonts w:ascii="Times New Roman" w:cs="Times New Roman" w:eastAsia="Times New Roman" w:hAnsi="Times New Roman"/>
          <w:b/>
          <w:bCs/>
          <w:sz w:val="26"/>
          <w:szCs w:val="26"/>
        </w:rPr>
        <w:t xml:space="preserve">Debasis Pahi</w:t>
      </w:r>
    </w:p>
    <w:p>
      <w:pPr>
        <w:spacing w:after="80" w:before="0" w:line="320"/>
        <w:jc w:val="center"/>
      </w:pPr>
      <w:r>
        <w:rPr>
          <w:rFonts w:ascii="Times New Roman" w:cs="Times New Roman" w:eastAsia="Times New Roman" w:hAnsi="Times New Roman"/>
          <w:i/>
          <w:iCs/>
          <w:sz w:val="22"/>
          <w:szCs w:val="22"/>
        </w:rPr>
        <w:t xml:space="preserve">Assistant Professor (OES-I) &amp; Head of Department</w:t>
      </w:r>
    </w:p>
    <w:p>
      <w:pPr>
        <w:spacing w:after="80" w:before="0" w:line="320"/>
        <w:jc w:val="center"/>
      </w:pPr>
      <w:r>
        <w:rPr>
          <w:rFonts w:ascii="Times New Roman" w:cs="Times New Roman" w:eastAsia="Times New Roman" w:hAnsi="Times New Roman"/>
          <w:i/>
          <w:iCs/>
          <w:sz w:val="22"/>
          <w:szCs w:val="22"/>
        </w:rPr>
        <w:t xml:space="preserve">Department of Commerce, MDC Malkangiri</w:t>
      </w:r>
    </w:p>
    <w:p>
      <w:pPr>
        <w:spacing w:after="80" w:before="0" w:line="320"/>
        <w:jc w:val="center"/>
      </w:pPr>
      <w:r>
        <w:rPr>
          <w:rFonts w:ascii="Times New Roman" w:cs="Times New Roman" w:eastAsia="Times New Roman" w:hAnsi="Times New Roman"/>
          <w:i/>
          <w:iCs/>
          <w:sz w:val="22"/>
          <w:szCs w:val="22"/>
        </w:rPr>
        <w:t xml:space="preserve">Vikram Dev University, Jeypore, Odisha, India</w:t>
      </w:r>
    </w:p>
    <w:p>
      <w:pPr>
        <w:spacing w:after="80" w:before="0" w:line="320"/>
        <w:jc w:val="center"/>
      </w:pPr>
      <w:r>
        <w:rPr>
          <w:rFonts w:ascii="Times New Roman" w:cs="Times New Roman" w:eastAsia="Times New Roman" w:hAnsi="Times New Roman"/>
          <w:sz w:val="22"/>
          <w:szCs w:val="22"/>
        </w:rPr>
        <w:t xml:space="preserve">Email: drdebasis.research@gmail.com</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100" w:before="0" w:line="36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Green Taxonomy; Epistemic Infrastructure; Sustainable Finance; Institutional Power; Classification Theory; Green Capital Allocation; Regulatory Arbitrage; Taxonomy Fragmentation</w:t>
      </w:r>
    </w:p>
    <w:p>
      <w:pPr>
        <w:spacing w:after="100" w:before="0" w:line="360"/>
        <w:jc w:val="both"/>
      </w:pPr>
      <w:r>
        <w:rPr>
          <w:rFonts w:ascii="Times New Roman" w:cs="Times New Roman" w:eastAsia="Times New Roman" w:hAnsi="Times New Roman"/>
          <w:b/>
          <w:bCs/>
          <w:sz w:val="24"/>
          <w:szCs w:val="24"/>
        </w:rPr>
        <w:t xml:space="preserve">JEL Classification: </w:t>
      </w:r>
      <w:r>
        <w:rPr>
          <w:rFonts w:ascii="Times New Roman" w:cs="Times New Roman" w:eastAsia="Times New Roman" w:hAnsi="Times New Roman"/>
          <w:sz w:val="24"/>
          <w:szCs w:val="24"/>
        </w:rPr>
        <w:t xml:space="preserve">Q56; G18; G23; K23; O43; P48; B52</w:t>
      </w:r>
    </w:p>
    <w:p>
      <w:pPr>
        <w:spacing w:after="100" w:before="0" w:line="360"/>
        <w:jc w:val="both"/>
      </w:pPr>
      <w:r>
        <w:rPr>
          <w:rFonts w:ascii="Times New Roman" w:cs="Times New Roman" w:eastAsia="Times New Roman" w:hAnsi="Times New Roman"/>
          <w:b/>
          <w:bCs/>
          <w:sz w:val="24"/>
          <w:szCs w:val="24"/>
        </w:rPr>
        <w:t xml:space="preserve">Target Journals: </w:t>
      </w:r>
      <w:r>
        <w:rPr>
          <w:rFonts w:ascii="Times New Roman" w:cs="Times New Roman" w:eastAsia="Times New Roman" w:hAnsi="Times New Roman"/>
          <w:i/>
          <w:iCs/>
          <w:sz w:val="24"/>
          <w:szCs w:val="24"/>
        </w:rPr>
        <w:t xml:space="preserve">Accounting, Organizations and Society  |  Ecological Economics  |  Journal of Business Ethics  |  Global Environmental Change  |  Business Strategy and the Environment</w:t>
      </w:r>
    </w:p>
    <w:p>
      <w:pPr>
        <w:pageBreakBefore/>
      </w:pPr>
      <w:r>
        <w:rPr>
          <w:rFonts w:ascii="Times New Roman" w:cs="Times New Roman" w:eastAsia="Times New Roman" w:hAnsi="Times New Roman"/>
          <w:sz w:val="24"/>
          <w:szCs w:val="24"/>
        </w:rPr>
        <w:t xml:space="preserve"/>
      </w:r>
    </w:p>
    <w:p>
      <w:pPr>
        <w:pStyle w:val="Heading1"/>
        <w:spacing w:after="200" w:before="480"/>
      </w:pPr>
      <w:r>
        <w:rPr>
          <w:rFonts w:ascii="Times New Roman" w:cs="Times New Roman" w:eastAsia="Times New Roman" w:hAnsi="Times New Roman"/>
          <w:b/>
          <w:bCs/>
          <w:caps/>
          <w:sz w:val="28"/>
          <w:szCs w:val="28"/>
        </w:rPr>
        <w:t xml:space="preserve">Abstract</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Green and sustainable finance taxonomies have proliferated with remarkable speed: the European Union Taxonomy for Sustainable Activities, China's Green Bond Endorsed Project Catalogue, ASEAN's Taxonomy for Sustainable Finance, and a growing array of national instruments now claim regulatory authority over what counts as a green economic activity. These instruments are almost universally theorized as classification tools — technical devices for resolving definitional ambiguity and directing capital toward environmentally beneficial ends. This paper argues that such theorization is fundamentally inadequate. Drawing on Science and Technology Studies approaches to classification, institutional theory, and the political economy of financial standards, we develop an alternative theoretical framework in which environmental taxonomies function as epistemic infrastructures: sociotechnical arrangements that do not merely describe the green economy but actively constitute it, stabilizing contested definitional boundaries, naturalizing particular visions of sustainability, concentrating epistemic power among taxonomy architects, and generating distributional consequences that are systematically obscured by the technical appearance of the classification process. We introduce three original constructs — Epistemic Closure, Definitional Sovereignty, and Taxonomy Arbitrage — and develop a typological theory of taxonomy architectures that differentiates instruments along two analytically independent axes: epistemic openness and political inclusivity. From this typology, we derive eight theoretical propositions concerning taxonomy design, competition, and governance, and elaborate the conditions under which competing taxonomies produce fragmentation, regulatory arbitrage, and green capital mis-allocation. The framework generates a new theoretical vocabulary for sustainability finance governance and produces a research agenda at the intersection of accounting theory, institutional political economy, and environmental governance that has significant implications for the design of next-generation global green taxonomy frameworks.</w:t>
      </w:r>
    </w:p>
    <w:p>
      <w:pPr>
        <w:spacing w:after="0" w:before="0" w:line="240"/>
      </w:pPr>
      <w:r>
        <w:rPr>
          <w:rFonts w:ascii="Times New Roman" w:cs="Times New Roman" w:eastAsia="Times New Roman" w:hAnsi="Times New Roman"/>
          <w:sz w:val="24"/>
          <w:szCs w:val="24"/>
        </w:rPr>
        <w:t xml:space="preserve"/>
      </w:r>
    </w:p>
    <w:p>
      <w:pPr>
        <w:pageBreakBefore/>
      </w:pPr>
      <w:r>
        <w:rPr>
          <w:rFonts w:ascii="Times New Roman" w:cs="Times New Roman" w:eastAsia="Times New Roman" w:hAnsi="Times New Roman"/>
          <w:sz w:val="24"/>
          <w:szCs w:val="24"/>
        </w:rPr>
        <w:t xml:space="preserve"/>
      </w:r>
    </w:p>
    <w:p>
      <w:pPr>
        <w:pStyle w:val="Heading1"/>
        <w:spacing w:after="200" w:before="480"/>
      </w:pPr>
      <w:r>
        <w:rPr>
          <w:rFonts w:ascii="Times New Roman" w:cs="Times New Roman" w:eastAsia="Times New Roman" w:hAnsi="Times New Roman"/>
          <w:b/>
          <w:bCs/>
          <w:caps/>
          <w:sz w:val="28"/>
          <w:szCs w:val="28"/>
        </w:rPr>
        <w:t xml:space="preserve">I. Introduction</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In April 2021, the European Commission released its Delegated Act on the EU Taxonomy Climate Criteria, completing a four-year process of technical deliberation and political negotiation over one question with extraordinary financial consequences: what activities qualify as sustainable for the purposes of directing European capital markets? The answer — encoded in a 593-page document establishing technical screening criteria across ninety-three economic activities — was simultaneously a regulatory instrument and an epistemic declaration. It did not merely tell investors which activities met a sustainability threshold; it defined, for an entire financial market, what sustainability meant.</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Two months later, the Commission added nuclear energy and natural gas to the Taxonomy's list of transitional activities, triggering a governance crisis that exposed something the technical apparatus of the document had worked to conceal: the Taxonomy was not discovering pre-existing categories in nature; it was constructing them through a politically contested process in which the appearance of scientific and technical objectivity served as a powerful instrument of legitimation. The crisis was not a failure of the Taxonomy — it was a revelation of its actual character.</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This paper takes that revelation seriously as a theoretical starting point. The dominant theoretical framework in the sustainable finance literature treats green taxonomies as information architectures: their function is to resolve definitional uncertainty and reduce information asymmetry by establishing clear, verifiable criteria for green activities, thereby enabling investors to identify and price sustainability performance with greater accuracy [CITE VERIFY: Flammer (2021), Management Science; CITE VERIFY: Ehlers &amp; Packer (2017), BIS Quarterly Review]. On this view, the proliferation of national and regional taxonomies represents an institutional coordination challenge — ideally, taxonomies should converge toward a common global standard, reducing classification friction and enabling efficient global green capital flows [CITE NEEDED: literature on green taxonomy convergence, 2021-2024].</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We argue that this framing, while not false, is systematically incomplete in a way that has significant consequences for how taxonomy governance is understood and designed. Taxonomies are not passive mirrors of a pre-existing green economy; they are active architects of it. The technical language of criteria, thresholds, and screening parameters encodes substantive choices about development pathways, distributional priorities, and institutional power that are no less political for being expressed in the vocabulary of environmental science. When a taxonomy excludes coal-adjacent activities in developing economies, includes nuclear energy in the transitional activities of a European regulatory framework, or sets carbon intensity thresholds calibrated to the technological frontier of developed-country industries, it is making choices with profound consequences for capital flows, industrial strategies, and sovereign development priorities — choices that are legitimated by the institutional authority of the classifying body, not by any neutral algorithm of environmental performance.</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theoretical framework developed in this paper provides the conceptual tools needed to analyze these choices rigorously. We draw on three intellectual traditions that have not previously been synthesized in the context of green taxonomy governance. First, the Science and Technology Studies (STS) literature on classification and infrastructure [CITE VERIFY: Bowker &amp; Star (1999), Sorting Things Out; CITE VERIFY: Star &amp; Ruhleder (1996)] provides the foundational insight that classification systems exercise power precisely through their appearance of technical neutrality — a process we theorize, in the specific context of green taxonomies, as epistemic closure. Second, institutional theory, particularly neo-institutional and institutional political economy approaches [CITE VERIFY: Scott (2014); CITE VERIFY: Fligstein &amp; McAdam (2012), A Theory of Fields], provides the framework for analyzing how taxonomies become institutionalized as taken-for-granted frameworks within organizational fields, and how the agents who design and maintain them acquire disproportionate field-level power — a form of authority we theorize as definitional sovereignty. Third, the political economy of financial standards [CITE VERIFY: Mattli &amp; Büthe (2003), World Politics; CITE VERIFY: Braun (2016), New Political Economy] provides the theoretical apparatus for analyzing how competing taxonomies interact in global capital markets, creating regulatory arbitrage opportunities and race-to-the-bottom dynamics — a structural phenomenon we theorize as taxonomy arbitrage.</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Together, these three constructs constitute the theoretical core of what we call the Epistemic Infrastructure Theory (EIT) of green taxonomies. The EIT reframes the policy challenge of sustainable finance governance from a coordination problem — how to harmonize definitional standards across jurisdictions — to a power problem: who has the authority to define what counts as green, under what governance conditions is that authority exercised, and what institutional arrangements can ensure that taxonomic power is exercised with democratic legitimacy, distributional fairness, and epistemic plurality.</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paper proceeds as follows. Section II surveys the existing theoretical landscape, identifying the dominant information-architecture framing and its limitations. Section III develops the three foundational constructs of the EIT. Section IV presents the typological theory of taxonomy architectures and the two-dimensional typology. Section V derives and discusses the eight theoretical propositions. Section VI develops the multi-level governance implications. Section VII addresses limitations and the future research programme, and Section VIII concludes.</w:t>
      </w:r>
    </w:p>
    <w:p>
      <w:pPr>
        <w:spacing w:after="0" w:before="0" w:line="240"/>
      </w:pPr>
      <w:r>
        <w:rPr>
          <w:rFonts w:ascii="Times New Roman" w:cs="Times New Roman" w:eastAsia="Times New Roman" w:hAnsi="Times New Roman"/>
          <w:sz w:val="24"/>
          <w:szCs w:val="24"/>
        </w:rPr>
        <w:t xml:space="preserve"/>
      </w:r>
    </w:p>
    <w:p>
      <w:pPr>
        <w:pStyle w:val="Heading1"/>
        <w:spacing w:after="200" w:before="480"/>
      </w:pPr>
      <w:r>
        <w:rPr>
          <w:rFonts w:ascii="Times New Roman" w:cs="Times New Roman" w:eastAsia="Times New Roman" w:hAnsi="Times New Roman"/>
          <w:b/>
          <w:bCs/>
          <w:caps/>
          <w:sz w:val="28"/>
          <w:szCs w:val="28"/>
        </w:rPr>
        <w:t xml:space="preserve">II. Literature Review: What Taxonomy Theory Knows and What It Misses</w:t>
      </w:r>
    </w:p>
    <w:p>
      <w:pPr>
        <w:pStyle w:val="Heading2"/>
        <w:spacing w:after="140" w:before="360"/>
      </w:pPr>
      <w:r>
        <w:rPr>
          <w:rFonts w:ascii="Times New Roman" w:cs="Times New Roman" w:eastAsia="Times New Roman" w:hAnsi="Times New Roman"/>
          <w:b/>
          <w:bCs/>
          <w:i/>
          <w:iCs/>
          <w:sz w:val="26"/>
          <w:szCs w:val="26"/>
        </w:rPr>
        <w:t xml:space="preserve">2.1 The Information-Architecture Tradition</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theoretical treatment of green taxonomies in the finance and economics literature has developed primarily within an information-architecture tradition that traces its intellectual lineage to the economics of disclosure and financial information. The core argument of this tradition holds that green finance markets suffer from a market failure rooted in informational imperfection: investors cannot reliably distinguish genuinely green assets from brown or pseudo-green ones, producing adverse selection dynamics analogous to Akerlof's market for lemons [CITE VERIFY: Akerlof (1970), QJE]. Taxonomies address this failure by establishing standardized definitions and criteria that allow green claims to be credibly communicated and verified, reducing the information asymmetry that would otherwise cause green capital markets to collapse or be colonized by greenwashing [CITE VERIFY: Krüger, Sautner &amp; Starks (2020), Review of Financial Studies].</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Within this tradition, the principal theoretical questions concern taxonomy design properties that maximize informational effectiveness: the appropriate level of criteria specificity, the trade-off between comprehensiveness and administrative complexity, the choice between activity-based and entity-based classification approaches, and the institutional arrangements for criteria verification and enforcement [CITE NEEDED: literature on taxonomy design properties, 2019-2024]. More recent contributions have examined the relationship between taxonomy adoption and green bond pricing premiums [CITE VERIFY: Zerbib (2019), Journal of Banking and Finance], the effect of taxonomy inclusion on firm-level cost of capital [CITE NEEDED], and the conditions under which voluntary versus mandatory taxonomy frameworks generate differential market responses [CITE NEEDED].</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This research tradition has produced genuine intellectual progress. It has demonstrated that definitional clarity matters for green capital markets, that institutional endorsement of criteria affects investor behavior, and that the stringency of criteria influences the distribution of green labels across asset classes. What it has not done — and what its theoretical architecture makes it difficult to do — is account for the political and institutional processes through which criteria come to be defined, contested, and revised; the distributional consequences of alternative definitional choices; or the relationship between taxonomy authority and field-level power.</w:t>
      </w:r>
    </w:p>
    <w:p>
      <w:pPr>
        <w:pStyle w:val="Heading2"/>
        <w:spacing w:after="140" w:before="360"/>
      </w:pPr>
      <w:r>
        <w:rPr>
          <w:rFonts w:ascii="Times New Roman" w:cs="Times New Roman" w:eastAsia="Times New Roman" w:hAnsi="Times New Roman"/>
          <w:b/>
          <w:bCs/>
          <w:i/>
          <w:iCs/>
          <w:sz w:val="26"/>
          <w:szCs w:val="26"/>
        </w:rPr>
        <w:t xml:space="preserve">2.2 The Political Economy of Standards</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A second, less developed tradition approaches green taxonomies through the lens of international political economy, treating them as contested standards whose content reflects the interests and institutional capacities of the actors who design them. Drawing on work in the comparative politics of financial regulation [CITE VERIFY: Mattli &amp; Büthe (2003)] and the institutional economics of standard-setting [CITE VERIFY: Dranove &amp; Gandal (2003), RAND Journal of Economics], this tradition emphasizes that standards are never neutral: they encode assumptions about best practices, technological pathways, and distributional priorities that advantage some actors and disadvantage others, and they are produced through political processes that reflect underlying power asymmetries.</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Applied to green taxonomies, this perspective generates important insights: the EU Taxonomy's technical screening criteria for manufacturing industries are calibrated to the technological frontier of European incumbents, creating significant barriers to compliance for firms in developing economies whose production technologies reflect different resource endowments, institutional histories, and development priorities [CITE NEEDED: literature on EU taxonomy developing country impacts, 2021-2024]. China's Green Bond Catalogue, designed to serve a different industrial strategy and development model, incorporates activities — including clean coal technologies — that would be excluded from the EU framework, reflecting not definitional confusion but a genuinely different set of priorities about what the green transition requires [CITE NEEDED: China green bond catalogue analysis]. These are not methodological anomalies to be resolved through technical harmonization; they are the expression of substantive political disagreements about development pathways that a purely technical-standards framework cannot resolve.</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limitation of this tradition, however, is its primarily descriptive character. It identifies that taxonomy content is politically contested but provides limited theoretical resources for analyzing how political contestation interacts with the institutional dynamics of financial markets, how taxonomies acquire and maintain their classificatory authority, or how competing taxonomies reshape the institutional landscape of sustainable finance. For that, a more fundamental theoretical move is required.</w:t>
      </w:r>
    </w:p>
    <w:p>
      <w:pPr>
        <w:pStyle w:val="Heading2"/>
        <w:spacing w:after="140" w:before="360"/>
      </w:pPr>
      <w:r>
        <w:rPr>
          <w:rFonts w:ascii="Times New Roman" w:cs="Times New Roman" w:eastAsia="Times New Roman" w:hAnsi="Times New Roman"/>
          <w:b/>
          <w:bCs/>
          <w:i/>
          <w:iCs/>
          <w:sz w:val="26"/>
          <w:szCs w:val="26"/>
        </w:rPr>
        <w:t xml:space="preserve">2.3 Science and Technology Studies and the Power of Classification</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most theoretically generative resources for addressing these limitations come from a tradition that has, to date, made only marginal inroads into the sustainable finance literature: Science and Technology Studies (STS), particularly its analysis of classification systems as power-laden social constructs. The foundational contribution of Bowker and Star [CITE VERIFY: Bowker &amp; Star (1999)] established that classification systems exercise power through three principal mechanisms: they make certain categories natural and others residual or deviant; they distribute moral and material consequences — access to resources, institutional recognition, legal entitlements — according to categorical membership; and they conceal the work of classification behind an appearance of technical necessity, making contestation of the classification system itself appear irrational or obstructionist.</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application of this framework to financial infrastructure was pioneered by Mackenzie [CITE VERIFY: Mackenzie (2006), An Engine Not a Camera] and developed in subsequent work on the performativity of financial models [CITE VERIFY: Callon (1998)]. This work established that financial categories — the volatility smile, the credit default swap, the ESG score — are not passive descriptions of pre-existing market phenomena but active constitutive forces that shape the very phenomena they purport to describe. The theoretical language of performativity and constitutive effects has, however, been applied primarily to price-formation mechanisms and financial models; its application to regulatory classification systems — including green taxonomies — remains largely unexplored.</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STS tradition also provides the concept of infrastructure that is central to our theoretical framework. Star and Ruhleder's [CITE VERIFY: Star &amp; Ruhleder (1996)] analysis of infrastructures as entities characterized by embeddedness, transparency, spatial reach, and temporal stability provides the theoretical vocabulary for understanding how classification systems, once institutionalized, acquire a stability and authority that exceeds — and eventually becomes independent of — any particular set of epistemic justifications. This infrastructural stability is, we argue, both the principal source of taxonomies' regulatory effectiveness and the principal mechanism of their epistemic power.</w:t>
      </w:r>
    </w:p>
    <w:p>
      <w:pPr>
        <w:pStyle w:val="Heading2"/>
        <w:spacing w:after="140" w:before="360"/>
      </w:pPr>
      <w:r>
        <w:rPr>
          <w:rFonts w:ascii="Times New Roman" w:cs="Times New Roman" w:eastAsia="Times New Roman" w:hAnsi="Times New Roman"/>
          <w:b/>
          <w:bCs/>
          <w:i/>
          <w:iCs/>
          <w:sz w:val="26"/>
          <w:szCs w:val="26"/>
        </w:rPr>
        <w:t xml:space="preserve">2.4 The Theoretical Gap This Paper Addresses</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three traditions surveyed above generate complementary but incomplete insights. The information-architecture tradition understands what taxonomies are designed to do but not what they actually do as institutional actors. The political economy tradition understands that taxonomy content is contested but lacks the theoretical framework to analyze how taxonomies acquire and exercise classificatory authority. The STS tradition provides the conceptual resources for analyzing infrastructural power but has not been applied systematically to green finance governance. The theoretical contribution of this paper is to synthesize these three traditions into an integrated framework — the Epistemic Infrastructure Theory — that can simultaneously explain the informational, institutional, and power dimensions of green taxonomy governance. This synthesis requires, as its central conceptual move, the reconceptualization of green taxonomies from classification tools to epistemic infrastructures.</w:t>
      </w:r>
    </w:p>
    <w:p>
      <w:pPr>
        <w:spacing w:after="0" w:before="0" w:line="240"/>
      </w:pPr>
      <w:r>
        <w:rPr>
          <w:rFonts w:ascii="Times New Roman" w:cs="Times New Roman" w:eastAsia="Times New Roman" w:hAnsi="Times New Roman"/>
          <w:sz w:val="24"/>
          <w:szCs w:val="24"/>
        </w:rPr>
        <w:t xml:space="preserve"/>
      </w:r>
    </w:p>
    <w:p>
      <w:pPr>
        <w:pStyle w:val="Heading1"/>
        <w:spacing w:after="200" w:before="480"/>
      </w:pPr>
      <w:r>
        <w:rPr>
          <w:rFonts w:ascii="Times New Roman" w:cs="Times New Roman" w:eastAsia="Times New Roman" w:hAnsi="Times New Roman"/>
          <w:b/>
          <w:bCs/>
          <w:caps/>
          <w:sz w:val="28"/>
          <w:szCs w:val="28"/>
        </w:rPr>
        <w:t xml:space="preserve">III. Theoretical Foundations: The Three Constitutive Constructs</w:t>
      </w:r>
    </w:p>
    <w:p>
      <w:pPr>
        <w:pStyle w:val="Heading2"/>
        <w:spacing w:after="140" w:before="360"/>
      </w:pPr>
      <w:r>
        <w:rPr>
          <w:rFonts w:ascii="Times New Roman" w:cs="Times New Roman" w:eastAsia="Times New Roman" w:hAnsi="Times New Roman"/>
          <w:b/>
          <w:bCs/>
          <w:i/>
          <w:iCs/>
          <w:sz w:val="26"/>
          <w:szCs w:val="26"/>
        </w:rPr>
        <w:t xml:space="preserve">3.1 Epistemic Closure</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first and most foundational construct of the Epistemic Infrastructure Theory is epistemic closure: the process through which a taxonomy stabilizes a contested definitional boundary by encoding a particular resolution of that contestation in technical language, institutional procedures, and regulatory authority in ways that progressively disable further contestation. Epistemic closure is not a one-time event but a process with distinct phases, each of which contributes to the naturalization of the classification and the suppression of alternatives.</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In the opening phase — what we call definitional contestation — the boundaries of green are genuinely open, multiple definitions circulate, and diverse actors (scientists, regulators, industry associations, civil society, international organizations) compete to have their definitional preferences institutionalized. This phase is characterized by high epistemic pluralism: competing definitions are treated as legitimate alternatives, and the choice among them is acknowledged as requiring normative justification. The EU Taxonomy's Technical Expert Group deliberations, the ASEAN Taxonomy's multi-stakeholder process, and the debates surrounding the ISSB's climate disclosure standards all exhibit the characteristics of this phase — intense definitional contestation among actors with genuinely different understandings of what green means and what it should require.</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In the second phase — institutional codification — a particular set of definitional choices is encoded in a formal instrument (a regulation, a standard, a recognized methodology), acquiring legal or quasi-legal authority and triggering widespread adoption by market actors seeking to comply with or benefit from the new classification. This codification simultaneously stabilizes the definition for practical purposes and begins the process of naturalizing it: actors who have organized their disclosures, strategies, and investment mandates around the taxonomy's categories develop increasing institutional commitments to those categories, raising the costs of subsequent revision.</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In the third and most consequential phase — infrastructural naturalization — the taxonomy's definitional choices become so deeply embedded in market infrastructure (index methodologies, lending covenants, investment mandates, regulatory reporting frameworks, data provider databases) that they acquire a taken-for-granted quality: the definition is treated not as a contested normative choice but as a technical fact about what green activities are. At this phase, epistemic closure is substantially complete: the boundaries between green and non-green have been stabilized, alternatives have been excluded not through explicit refutation but through institutional marginalization, and the challenge to those boundaries requires actors to contest not merely a definitional preference but an entire institutional infrastructure — a task whose organizational and political costs are prohibitively high for most actors.</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Epistemic closure, we argue, is not intrinsically dysfunctional. The stability it provides is, in fact, a precondition for the functioning of green capital markets: investors and issuers need definitional stability to make long-term commitments, and constant definitional revision would generate the very uncertainty that taxonomies are designed to reduce. The theoretical concern is not with closure per se but with the conditions under which it occurs: closure achieved through inclusive, deliberative processes that represent the range of affected interests generates different institutional outcomes — and distributional consequences — than closure achieved through the exercise of market or regulatory power by dominant actors pursuing their own definitional preferences.</w:t>
      </w:r>
    </w:p>
    <w:p>
      <w:pPr>
        <w:pStyle w:val="Heading2"/>
        <w:spacing w:after="140" w:before="360"/>
      </w:pPr>
      <w:r>
        <w:rPr>
          <w:rFonts w:ascii="Times New Roman" w:cs="Times New Roman" w:eastAsia="Times New Roman" w:hAnsi="Times New Roman"/>
          <w:b/>
          <w:bCs/>
          <w:i/>
          <w:iCs/>
          <w:sz w:val="26"/>
          <w:szCs w:val="26"/>
        </w:rPr>
        <w:t xml:space="preserve">3.2 Definitional Sovereignty</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second construct, definitional sovereignty, refers to the field-level power exercised by those actors whose definitional preferences are institutionalized in authoritative taxonomies — and, relatedly, to the structural vulnerability of actors whose sustainability activities are classified by taxonomies designed without their meaningful participation. Definitional sovereignty is, in essence, the capacity to determine what counts as green for purposes of capital allocation in a given institutional domain, with all the material consequences that follow from that determination.</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concept draws on the political science literature on regulatory power [CITE VERIFY: Braithwaite &amp; Drahos (2000), Global Business Regulation] and on institutional theory's analysis of field-level authority [CITE VERIFY: Fligstein &amp; McAdam (2012)]. In neo-institutional terms, the actors who design authoritative taxonomies function as what we term definitional sovereigns: they occupy a structural position in the organizational field analogous to that of rule-setters in other institutional domains, with the capacity to determine the criteria by which other actors' sustainability performance is evaluated, and to benefit — directly and indirectly — from the institutionalization of their preferred definitions.</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Definitional sovereignty operates through three distinct channels. The first is direct institutional authority: in regulatory contexts, the taxonomy-setting body (the European Commission, a national securities regulator, an international standard-setter) has the legal authority to determine criteria and to attach regulatory consequences to compliance or non-compliance. The second is market authority: in voluntary contexts, large institutional investors, index providers, or dominant data platforms can exercise definitional sovereignty by adopting particular taxonomies in their investment mandates, index methodologies, or scoring frameworks, effectively making those taxonomies the standard of practice regardless of formal regulatory status. The third, and most analytically interesting, is epistemic authority: actors who are perceived as technically expert and institutionally legitimate can shape definitional debates through their participation in consultative processes, publication of analytical frameworks, and development of assessment methodologies, without formal regulatory authority.</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distributional implications of definitional sovereignty are substantial. Actors who exercise definitional sovereignty can, intentionally or not, design taxonomies that advantage their existing industries, institutional practices, and technological trajectories. The EU Taxonomy's emphasis on best-in-class performance thresholds based on European technological norms, for instance, systematically disadvantages emerging-market firms whose carbon intensity reflects a different stage of industrial development rather than a different level of environmental commitment. When the taxonomy becomes the standard reference for green bond issuance and sustainable fund classification in global capital markets, this definitional advantage translates into systematic capital allocation consequences: European firms face lower costs of green capital, while firms in developing economies face higher barriers to green classification regardless of their actual environmental trajectories.</w:t>
      </w:r>
    </w:p>
    <w:p>
      <w:pPr>
        <w:pStyle w:val="Heading2"/>
        <w:spacing w:after="140" w:before="360"/>
      </w:pPr>
      <w:r>
        <w:rPr>
          <w:rFonts w:ascii="Times New Roman" w:cs="Times New Roman" w:eastAsia="Times New Roman" w:hAnsi="Times New Roman"/>
          <w:b/>
          <w:bCs/>
          <w:i/>
          <w:iCs/>
          <w:sz w:val="26"/>
          <w:szCs w:val="26"/>
        </w:rPr>
        <w:t xml:space="preserve">3.3 Taxonomy Arbitrage</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third construct, taxonomy arbitrage, refers to the strategic behavior of issuers, investors, and intermediaries who exploit definitional differences across competing taxonomies to optimize their sustainability classifications independently of — and potentially in opposition to — genuine improvements in environmental performance. Taxonomy arbitrage is the green finance analogue of regulatory arbitrage in financial regulation: it is not the incidental consequence of competing standards but a structural feature of any governance system in which authoritative taxonomies compete for market adoption without an overarching harmonization mechanism.</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Taxonomy arbitrage takes several distinct forms. The most elementary is jurisdiction shopping: issuers structure their financing instruments to comply with the taxonomy of the jurisdiction offering the most favorable classification for their activities, regardless of where those activities are conducted or what regulatory framework governs their environmental performance. A coal-adjacent energy project that cannot qualify under the EU Taxonomy may qualify under a national taxonomy with lower transition thresholds; a natural gas project may qualify as transitional under one framework and be excluded as stranded under another. When green bond premiums — the yield advantage commanded by green-labeled debt — differ across taxonomy frameworks, jurisdiction shopping generates direct financial incentives for definitional arbitrage.</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More sophisticated forms of taxonomy arbitrage involve what we term disclosure arbitrage: the strategic construction of firm-level sustainability disclosures to satisfy the formal criteria of multiple competing taxonomies simultaneously, without the underlying activities satisfying the substantive environmental intent of any of them. This form of arbitrage exploits the gap between the letter and the spirit of taxonomy criteria — a gap that tends to widen as criteria become more complex, as compliance verification relies increasingly on self-reported data, and as the algorithmic processing of disclosure data creates distance between reported figures and assessed compliance. Disclosure arbitrage is, in this sense, a form of greenwashing that is enabled, rather than prevented, by the proliferation of competing taxonomies — a perverse consequence that the information-architecture tradition does not theorize because it assumes that more classification systems means more information, when in fact it may mean more definitional ambiguity exploitable for strategic purposes.</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A third form, which we term standards migration, involves the movement of financial instruments or investment vehicles across taxonomic frameworks in response to revisions in criteria, enforcement capacity, or market treatment. When the EU Taxonomy revised its criteria for bioenergy in 2022, a significant volume of investment that had been classified under earlier draft criteria faced reclassification, prompting some issuers to shift their labeling to voluntary frameworks with less demanding criteria. Standards migration reduces the taxonomic population of demanding frameworks and increases that of permissive ones — a mechanism that, if widespread, generates a systematic race to the bottom in taxonomy stringency.</w:t>
      </w:r>
    </w:p>
    <w:p>
      <w:pPr>
        <w:spacing w:after="0" w:before="0" w:line="240"/>
      </w:pPr>
      <w:r>
        <w:rPr>
          <w:rFonts w:ascii="Times New Roman" w:cs="Times New Roman" w:eastAsia="Times New Roman" w:hAnsi="Times New Roman"/>
          <w:sz w:val="24"/>
          <w:szCs w:val="24"/>
        </w:rPr>
        <w:t xml:space="preserve"/>
      </w:r>
    </w:p>
    <w:p>
      <w:pPr>
        <w:pStyle w:val="Heading1"/>
        <w:spacing w:after="200" w:before="480"/>
      </w:pPr>
      <w:r>
        <w:rPr>
          <w:rFonts w:ascii="Times New Roman" w:cs="Times New Roman" w:eastAsia="Times New Roman" w:hAnsi="Times New Roman"/>
          <w:b/>
          <w:bCs/>
          <w:caps/>
          <w:sz w:val="28"/>
          <w:szCs w:val="28"/>
        </w:rPr>
        <w:t xml:space="preserve">IV. A Typological Theory of Green Taxonomy Architectures</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three constructs developed in the preceding section provide the theoretical foundations for a typological analysis of green taxonomy architectures. We argue that green taxonomies can be systematically differentiated along two analytically independent axes that together determine their epistemic and governance properties: epistemic openness and political inclusivity.</w:t>
      </w:r>
    </w:p>
    <w:p>
      <w:pPr>
        <w:pStyle w:val="Heading2"/>
        <w:spacing w:after="140" w:before="360"/>
      </w:pPr>
      <w:r>
        <w:rPr>
          <w:rFonts w:ascii="Times New Roman" w:cs="Times New Roman" w:eastAsia="Times New Roman" w:hAnsi="Times New Roman"/>
          <w:b/>
          <w:bCs/>
          <w:i/>
          <w:iCs/>
          <w:sz w:val="26"/>
          <w:szCs w:val="26"/>
        </w:rPr>
        <w:t xml:space="preserve">4.1 The Two Analytical Axes</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first axis, epistemic openness, refers to the degree to which a taxonomy architecture allows for the contestation, revision, and pluralization of its definitional categories. Taxonomies high on epistemic openness maintain formal processes for challenging criteria, incorporate diverse methodological inputs, provide for regular evidence-based revision, and acknowledge the provisional character of their classifications. Taxonomies low on epistemic openness embed criteria in legally binding instruments with high revision costs, rely on single methodological traditions, and represent their classifications as technically determined rather than normatively chosen. Epistemic openness is not the same as definitional instability: a taxonomy can be epistemically open — maintaining genuine revision processes — while providing the market with sufficient definitional stability for long-term investment planning.</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second axis, political inclusivity, refers to the degree to which the processes through which taxonomy criteria are designed and revised incorporate the interests, knowledge, and priorities of the full range of actors materially affected by the taxonomy's classifications — including, critically, actors in developing economies, small and medium-sized enterprises, civil society organizations, and communities whose livelihoods depend on the economic activities being classified. Taxonomies high on political inclusivity maintain multi-stakeholder governance mechanisms with meaningful participation rights, provide for the representation of non-dominant institutional interests, and produce criteria that reflect a broad range of development priorities and sustainability understandings. Taxonomies low on political inclusivity are governed through processes dominated by a small number of technically expert actors whose institutional interests and knowledge frameworks are not representative of the affected population.</w:t>
      </w:r>
    </w:p>
    <w:p>
      <w:pPr>
        <w:pStyle w:val="Heading2"/>
        <w:spacing w:after="140" w:before="360"/>
      </w:pPr>
      <w:r>
        <w:rPr>
          <w:rFonts w:ascii="Times New Roman" w:cs="Times New Roman" w:eastAsia="Times New Roman" w:hAnsi="Times New Roman"/>
          <w:b/>
          <w:bCs/>
          <w:i/>
          <w:iCs/>
          <w:sz w:val="26"/>
          <w:szCs w:val="26"/>
        </w:rPr>
        <w:t xml:space="preserve">4.2 The Four Taxonomy Archetypes</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intersection of these two axes generates four ideal-typical taxonomy architectures, each with distinctive epistemic, governance, and distributional properties. We designate these archetypes: Deliberative, Technocratic, Pluralist, and Hegemonic.</w:t>
      </w:r>
    </w:p>
    <w:p>
      <w:pPr>
        <w:spacing w:after="0" w:before="0" w:line="240"/>
      </w:pPr>
      <w:r>
        <w:rPr>
          <w:rFonts w:ascii="Times New Roman" w:cs="Times New Roman" w:eastAsia="Times New Roman" w:hAnsi="Times New Roman"/>
          <w:sz w:val="24"/>
          <w:szCs w:val="24"/>
        </w:rPr>
        <w:t xml:space="preserve"/>
      </w:r>
    </w:p>
    <w:p>
      <w:pPr>
        <w:spacing w:after="80" w:before="120" w:line="320"/>
        <w:jc w:val="center"/>
      </w:pPr>
      <w:r>
        <w:rPr>
          <w:rFonts w:ascii="Times New Roman" w:cs="Times New Roman" w:eastAsia="Times New Roman" w:hAnsi="Times New Roman"/>
          <w:b/>
          <w:bCs/>
          <w:sz w:val="22"/>
          <w:szCs w:val="22"/>
        </w:rPr>
        <w:t xml:space="preserve">Table 1: Typology of Green Taxonomy Architectures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200"/>
            <w:tcBorders>
              <w:top w:val="single" w:color="1F5C2E" w:sz="2"/>
              <w:left w:val="single" w:color="1F5C2E" w:sz="2"/>
              <w:bottom w:val="single" w:color="1F5C2E" w:sz="2"/>
              <w:right w:val="single" w:color="1F5C2E" w:sz="2"/>
            </w:tcBorders>
            <w:shd w:fill="1F5C2E"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Archetype</w:t>
            </w:r>
          </w:p>
        </w:tc>
        <w:tc>
          <w:tcPr>
            <w:tcW w:type="dxa" w:w="1800"/>
            <w:tcBorders>
              <w:top w:val="single" w:color="1F5C2E" w:sz="2"/>
              <w:left w:val="single" w:color="1F5C2E" w:sz="2"/>
              <w:bottom w:val="single" w:color="1F5C2E" w:sz="2"/>
              <w:right w:val="single" w:color="1F5C2E" w:sz="2"/>
            </w:tcBorders>
            <w:shd w:fill="1F5C2E"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Epistemic Openness</w:t>
            </w:r>
          </w:p>
        </w:tc>
        <w:tc>
          <w:tcPr>
            <w:tcW w:type="dxa" w:w="1800"/>
            <w:tcBorders>
              <w:top w:val="single" w:color="1F5C2E" w:sz="2"/>
              <w:left w:val="single" w:color="1F5C2E" w:sz="2"/>
              <w:bottom w:val="single" w:color="1F5C2E" w:sz="2"/>
              <w:right w:val="single" w:color="1F5C2E" w:sz="2"/>
            </w:tcBorders>
            <w:shd w:fill="1F5C2E"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Political Inclusivity</w:t>
            </w:r>
          </w:p>
        </w:tc>
        <w:tc>
          <w:tcPr>
            <w:tcW w:type="dxa" w:w="1760"/>
            <w:tcBorders>
              <w:top w:val="single" w:color="1F5C2E" w:sz="2"/>
              <w:left w:val="single" w:color="1F5C2E" w:sz="2"/>
              <w:bottom w:val="single" w:color="1F5C2E" w:sz="2"/>
              <w:right w:val="single" w:color="1F5C2E" w:sz="2"/>
            </w:tcBorders>
            <w:shd w:fill="1F5C2E"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Dominant Risk</w:t>
            </w:r>
          </w:p>
        </w:tc>
        <w:tc>
          <w:tcPr>
            <w:tcW w:type="dxa" w:w="1800"/>
            <w:tcBorders>
              <w:top w:val="single" w:color="1F5C2E" w:sz="2"/>
              <w:left w:val="single" w:color="1F5C2E" w:sz="2"/>
              <w:bottom w:val="single" w:color="1F5C2E" w:sz="2"/>
              <w:right w:val="single" w:color="1F5C2E" w:sz="2"/>
            </w:tcBorders>
            <w:shd w:fill="1F5C2E"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Example Tendency</w:t>
            </w:r>
          </w:p>
        </w:tc>
      </w:tr>
      <w:tr>
        <w:tc>
          <w:tcPr>
            <w:tcW w:type="dxa" w:w="22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Deliberative</w:t>
            </w:r>
          </w:p>
        </w:tc>
        <w:tc>
          <w:tcPr>
            <w:tcW w:type="dxa" w:w="18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High</w:t>
            </w:r>
          </w:p>
        </w:tc>
        <w:tc>
          <w:tcPr>
            <w:tcW w:type="dxa" w:w="18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High</w:t>
            </w:r>
          </w:p>
        </w:tc>
        <w:tc>
          <w:tcPr>
            <w:tcW w:type="dxa" w:w="176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Definitional instability; revision gridlock under pluralist pressure</w:t>
            </w:r>
          </w:p>
        </w:tc>
        <w:tc>
          <w:tcPr>
            <w:tcW w:type="dxa" w:w="18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ASEAN Taxonomy (aspirationally); some multi-stakeholder voluntary frameworks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Technocratic</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High</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Low</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Epistemic capture by technical expert communities; exclusion of non-expert affected interests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Early IPCC-aligned national taxonomies; scientifically rigorous but politically narrow instruments</w:t>
            </w:r>
          </w:p>
        </w:tc>
      </w:tr>
      <w:tr>
        <w:tc>
          <w:tcPr>
            <w:tcW w:type="dxa" w:w="22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Pluralist</w:t>
            </w:r>
          </w:p>
        </w:tc>
        <w:tc>
          <w:tcPr>
            <w:tcW w:type="dxa" w:w="18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Low</w:t>
            </w:r>
          </w:p>
        </w:tc>
        <w:tc>
          <w:tcPr>
            <w:tcW w:type="dxa" w:w="18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High</w:t>
            </w:r>
          </w:p>
        </w:tc>
        <w:tc>
          <w:tcPr>
            <w:tcW w:type="dxa" w:w="176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Taxonomy arbitrage; race-to-the-bottom in criteria stringency under competitive pressure</w:t>
            </w:r>
          </w:p>
        </w:tc>
        <w:tc>
          <w:tcPr>
            <w:tcW w:type="dxa" w:w="18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Competing national taxonomies under inter-jurisdictional regulatory competition without harmonization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Hegemonic</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Low</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Low</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Definitional sovereignty concentration; systematic exclusion of non-dominant development models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EU Taxonomy in its current operational form; dominant private standard-setter frameworks</w:t>
            </w:r>
          </w:p>
        </w:tc>
      </w:tr>
    </w:tbl>
    <w:p>
      <w:pPr>
        <w:spacing w:after="200" w:before="80" w:line="320"/>
        <w:jc w:val="both"/>
      </w:pPr>
      <w:r>
        <w:rPr>
          <w:rFonts w:ascii="Times New Roman" w:cs="Times New Roman" w:eastAsia="Times New Roman" w:hAnsi="Times New Roman"/>
          <w:i/>
          <w:iCs/>
          <w:sz w:val="20"/>
          <w:szCs w:val="20"/>
        </w:rPr>
        <w:t xml:space="preserve">Note: Archetype assignments of specific taxonomies are ideal-typical characterizations for analytical purposes, not definitive evaluations. Real-world taxonomies exhibit mixed properties along both axes and may shift archetype over time as governance arrangements evolve.</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Deliberative archetype combines high epistemic openness with high political inclusivity, representing the normative ideal of sustainable finance governance: a taxonomy that is simultaneously intellectually rigorous and democratically legitimate. The principal governance challenge for deliberative taxonomies is maintaining the balance between epistemic quality and political inclusivity under conditions of definitional pressure: inclusive processes can be slow, contentious, and susceptible to capture by well-organized interest groups, while open revision mechanisms can generate the definitional instability that undermines market confidence. The challenge of institutional design for deliberative taxonomies is, fundamentally, the challenge of democratic governance applied to a technical regulatory domain.</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Technocratic archetype represents a different governance model, one that prioritizes epistemic quality — scientific rigor, methodological consistency, alignment with best available evidence — over political inclusivity. Technocratic taxonomies are characteristically designed by small, technically expert bodies (scientific advisory panels, specialist regulatory staff, academic expert groups) whose authority rests on epistemic legitimacy rather than democratic representation. Their principal advantage is methodological coherence and resistance to the interest-group pressures that can erode criteria stringency in more open governance processes. Their principal liability is the exclusion of knowledge systems, development priorities, and sustainability understandings that fall outside the dominant scientific and methodological traditions — a form of epistemic injustice that can generate legitimacy crises when affected communities recognize that their priorities have been classified out of existence.</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Pluralist archetype — high political inclusivity but low epistemic openness — represents the condition of maximum taxonomy proliferation without harmonization: multiple competing taxonomies, each reflecting the genuine political priorities of different constituencies, coexist without a mechanism for integrating or reconciling their definitional choices. The pluralist condition is in some respects politically attractive — no single set of definitional preferences is imposed on all actors — but it generates structural incentives for taxonomy arbitrage, enables race-to-the-bottom dynamics in criteria stringency, and ultimately undermines the market function that taxonomies are supposed to serve by creating precisely the definitional ambiguity they were designed to resolve.</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Hegemonic archetype — low epistemic openness combined with low political inclusivity — represents the condition that most closely characterizes the current global taxonomy landscape. Hegemonic taxonomies achieve high epistemic closure through the combination of regulatory authority, market adoption, and technical complexity, while maintaining governance processes that disproportionately represent the definitional preferences of developed-economy institutional actors. The EU Taxonomy is the paradigmatic case: its technical screening criteria are developed through processes that, while formally consultative, are dominated by technical expertise drawn primarily from European regulatory and industry contexts, and its definitional choices embed assumptions about technological feasibility, energy system design, and transition pathways that reflect European institutional realities rather than the full diversity of global sustainability challenges.</w:t>
      </w:r>
    </w:p>
    <w:p>
      <w:pPr>
        <w:spacing w:after="0" w:before="0" w:line="240"/>
      </w:pPr>
      <w:r>
        <w:rPr>
          <w:rFonts w:ascii="Times New Roman" w:cs="Times New Roman" w:eastAsia="Times New Roman" w:hAnsi="Times New Roman"/>
          <w:sz w:val="24"/>
          <w:szCs w:val="24"/>
        </w:rPr>
        <w:t xml:space="preserve"/>
      </w:r>
    </w:p>
    <w:p>
      <w:pPr>
        <w:pStyle w:val="Heading1"/>
        <w:spacing w:after="200" w:before="480"/>
      </w:pPr>
      <w:r>
        <w:rPr>
          <w:rFonts w:ascii="Times New Roman" w:cs="Times New Roman" w:eastAsia="Times New Roman" w:hAnsi="Times New Roman"/>
          <w:b/>
          <w:bCs/>
          <w:caps/>
          <w:sz w:val="28"/>
          <w:szCs w:val="28"/>
        </w:rPr>
        <w:t xml:space="preserve">V. Theoretical Propositions</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typological framework developed in Section IV, combined with the three foundational constructs of Section III, generates a set of theoretically grounded propositions about taxonomy governance, competition, and reform. These propositions are intended to be both analytically precise and empirically testable, providing the foundation for a research programme that can connect the theoretical framework to observable institutional phenomena.</w:t>
      </w:r>
    </w:p>
    <w:p>
      <w:pPr>
        <w:pStyle w:val="Heading2"/>
        <w:spacing w:after="140" w:before="360"/>
      </w:pPr>
      <w:r>
        <w:rPr>
          <w:rFonts w:ascii="Times New Roman" w:cs="Times New Roman" w:eastAsia="Times New Roman" w:hAnsi="Times New Roman"/>
          <w:b/>
          <w:bCs/>
          <w:i/>
          <w:iCs/>
          <w:sz w:val="26"/>
          <w:szCs w:val="26"/>
        </w:rPr>
        <w:t xml:space="preserve">5.1 Propositions on Epistemic Closure and Market Dynamics</w:t>
      </w:r>
    </w:p>
    <w:p>
      <w:pPr>
        <w:pStyle w:val="Heading2"/>
        <w:spacing w:after="140" w:before="360"/>
      </w:pPr>
      <w:r>
        <w:rPr>
          <w:rFonts w:ascii="Times New Roman" w:cs="Times New Roman" w:eastAsia="Times New Roman" w:hAnsi="Times New Roman"/>
          <w:b/>
          <w:bCs/>
          <w:i/>
          <w:iCs/>
          <w:sz w:val="26"/>
          <w:szCs w:val="26"/>
        </w:rPr>
        <w:t xml:space="preserve">5.2 Propositions on Taxonomy Competition and Arbitrage</w:t>
      </w:r>
    </w:p>
    <w:p>
      <w:pPr>
        <w:pStyle w:val="Heading2"/>
        <w:spacing w:after="140" w:before="360"/>
      </w:pPr>
      <w:r>
        <w:rPr>
          <w:rFonts w:ascii="Times New Roman" w:cs="Times New Roman" w:eastAsia="Times New Roman" w:hAnsi="Times New Roman"/>
          <w:b/>
          <w:bCs/>
          <w:i/>
          <w:iCs/>
          <w:sz w:val="26"/>
          <w:szCs w:val="26"/>
        </w:rPr>
        <w:t xml:space="preserve">5.3 Propositions on Distributional Consequences</w:t>
      </w:r>
    </w:p>
    <w:p>
      <w:pPr>
        <w:pStyle w:val="Heading2"/>
        <w:spacing w:after="140" w:before="360"/>
      </w:pPr>
      <w:r>
        <w:rPr>
          <w:rFonts w:ascii="Times New Roman" w:cs="Times New Roman" w:eastAsia="Times New Roman" w:hAnsi="Times New Roman"/>
          <w:b/>
          <w:bCs/>
          <w:i/>
          <w:iCs/>
          <w:sz w:val="26"/>
          <w:szCs w:val="26"/>
        </w:rPr>
        <w:t xml:space="preserve">5.4 Propositions on Governance Reform</w:t>
      </w:r>
    </w:p>
    <w:p>
      <w:pPr>
        <w:spacing w:after="0" w:before="0" w:line="240"/>
      </w:pPr>
      <w:r>
        <w:rPr>
          <w:rFonts w:ascii="Times New Roman" w:cs="Times New Roman" w:eastAsia="Times New Roman" w:hAnsi="Times New Roman"/>
          <w:sz w:val="24"/>
          <w:szCs w:val="24"/>
        </w:rPr>
        <w:t xml:space="preserve"/>
      </w:r>
    </w:p>
    <w:p>
      <w:pPr>
        <w:pStyle w:val="Heading1"/>
        <w:spacing w:after="200" w:before="480"/>
      </w:pPr>
      <w:r>
        <w:rPr>
          <w:rFonts w:ascii="Times New Roman" w:cs="Times New Roman" w:eastAsia="Times New Roman" w:hAnsi="Times New Roman"/>
          <w:b/>
          <w:bCs/>
          <w:caps/>
          <w:sz w:val="28"/>
          <w:szCs w:val="28"/>
        </w:rPr>
        <w:t xml:space="preserve">VI. Governance Implications: Towards an Epistemic Justice Framework for Green Taxonomies</w:t>
      </w:r>
    </w:p>
    <w:p>
      <w:pPr>
        <w:pStyle w:val="Heading2"/>
        <w:spacing w:after="140" w:before="360"/>
      </w:pPr>
      <w:r>
        <w:rPr>
          <w:rFonts w:ascii="Times New Roman" w:cs="Times New Roman" w:eastAsia="Times New Roman" w:hAnsi="Times New Roman"/>
          <w:b/>
          <w:bCs/>
          <w:i/>
          <w:iCs/>
          <w:sz w:val="26"/>
          <w:szCs w:val="26"/>
        </w:rPr>
        <w:t xml:space="preserve">6.1 The Concept of Epistemic Justice in Taxonomy Governance</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theoretical framework developed in this paper implies that the governance challenge of green taxonomies is, fundamentally, a challenge of epistemic justice: ensuring that the definitional work of constructing the green economy is done in ways that are fair, inclusive, and accountable, not only in the technical sense of maximizing environmental effectiveness, but in the institutional sense of respecting the epistemic and political rights of the full range of actors whose sustainability activities and development trajectories are at stake.</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concept of epistemic justice, developed in philosophical contexts by Fricker [CITE VERIFY: Fricker (2007), Epistemic Injustice], refers to justice with respect to persons as knowers and as subjects of knowledge claims. Applied to taxonomy governance, epistemic justice requires that the knowledge systems, development priorities, and sustainability understandings of developing-economy actors, indigenous communities, and other non-dominant groups are incorporated into taxonomy design processes on terms of genuine epistemic equality — not merely tolerated as political input to be overridden by technical expertise, but recognized as legitimate sources of knowledge about what sustainability means and requires in different institutional contexts.</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Epistemic injustice in taxonomy governance takes two principal forms, both of which map directly onto the constructs developed in Section III. Testimonial injustice occurs when the sustainability knowledge and experience of actors excluded from dominant taxonomy governance processes is systematically discounted because of their institutional position rather than the quality of their evidence — a structural dynamic generated by the concentration of definitional sovereignty in established developed-economy regulatory bodies and their technical expert communities. Hermeneutical injustice occurs when the conceptual frameworks available in taxonomy governance are inadequate to capture the sustainability experiences and priorities of excluded actors — when, for instance, the binary green/non-green classification of transition activities fails to accommodate the reality that the optimal transition pathway for a coal-dependent economy in the Global South is categorically different from the optimal pathway for a gas-dependent economy in Northern Europe, and that both can be genuinely committed to decarbonization on different timelines and through different technological routes.</w:t>
      </w:r>
    </w:p>
    <w:p>
      <w:pPr>
        <w:pStyle w:val="Heading2"/>
        <w:spacing w:after="140" w:before="360"/>
      </w:pPr>
      <w:r>
        <w:rPr>
          <w:rFonts w:ascii="Times New Roman" w:cs="Times New Roman" w:eastAsia="Times New Roman" w:hAnsi="Times New Roman"/>
          <w:b/>
          <w:bCs/>
          <w:i/>
          <w:iCs/>
          <w:sz w:val="26"/>
          <w:szCs w:val="26"/>
        </w:rPr>
        <w:t xml:space="preserve">6.2 Institutional Design Principles for Deliberative Taxonomy Governance</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Epistemic Infrastructure Theory generates five institutional design principles for green taxonomy governance that embody the requirements of epistemic justice while maintaining the definitional stability and criteria quality that effective green capital markets require.</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First, the principle of structured pluralism holds that the global green taxonomy architecture should not aim for a single universal taxonomy but for a structured plurality of taxonomies — coordinated by multi-lateral minimum standards, connected by mutual recognition agreements based on environmental equivalence assessments, and differentiated by the legitimate development priorities and institutional contexts of different jurisdictions. Structured pluralism preserves the definitional diversity needed for epistemic justice while preventing the taxonomy arbitrage generated by uncoordinated plurality.</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Second, the principle of epistemic transparency requires that taxonomy architects make visible — rather than concealing — the normative choices embedded in their definitional criteria: the choice of scientific reference frame, the selection of threshold levels, the treatment of transitional activities, and the weighting of different environmental objectives. Epistemic transparency does not require definitional paralysis; it requires that the criteria that govern green classification can be understood and contested by non-expert actors who are materially affected by them.</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Third, the principle of participatory parity, drawing on Fraser's theory of participatory parity in justice [CITE VERIFY: Fraser (2003), Redistribution or Recognition?], requires that the governance processes of authoritative green taxonomies provide institutional arrangements through which developing-economy governments, civil society organizations, and affected communities can participate in criteria design and revision on terms of genuine parity — not merely submitting comments to processes dominated by regulatory and industry experts, but having their definitional priorities accorded genuine epistemic authority.</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Fourth, the principle of dynamic criteria governance holds that taxonomy criteria should be subject to regular, evidence-based revision processes that can respond to new scientific knowledge, changing technological conditions, and emerging distributional evidence, without generating the definitional instability that undermines long-term investment planning. This requires institutional innovations such as criteria review cycles tied to specific evidence triggers (IPCC assessment reports, major technological shifts, documented distributional impact evidence), rather than ad hoc political revision under industry pressure.</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Fifth, the principle of distributional impact assessment requires that taxonomy architects systematically evaluate and publicly disclose the distributional consequences of their definitional choices — across geographies, sectors, firm sizes, and development stages — as a condition of taxonomic authority. Distributional impact assessment does not require that all distributional consequences be eliminated (this would be impossible) but that they be made visible, justified against the taxonomy's stated objectives, and incorporated into the ongoing revision process.</w:t>
      </w:r>
    </w:p>
    <w:p>
      <w:pPr>
        <w:pStyle w:val="Heading2"/>
        <w:spacing w:after="140" w:before="360"/>
      </w:pPr>
      <w:r>
        <w:rPr>
          <w:rFonts w:ascii="Times New Roman" w:cs="Times New Roman" w:eastAsia="Times New Roman" w:hAnsi="Times New Roman"/>
          <w:b/>
          <w:bCs/>
          <w:i/>
          <w:iCs/>
          <w:sz w:val="26"/>
          <w:szCs w:val="26"/>
        </w:rPr>
        <w:t xml:space="preserve">6.3 The Global Taxonomy Governance Architecture: A Theoretical Specification</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institutional design principles outlined above, taken together, specify the theoretical requirements for a global taxonomy governance architecture that can achieve both environmental effectiveness and epistemic justice. Such an architecture would operate across four institutional levels.</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At the global level, a multi-lateral taxonomy standards body — housed within or closely coordinated with the International Sustainability Standards Board (ISSB), the UN Environment Programme Finance Initiative (UNEP FI), or a new specialized institution — would establish minimum environmental standards floors, maintain mutual recognition protocols, and conduct distributional impact assessments of major taxonomy revisions. This body's authority would need to rest on a governance model significantly more inclusive than existing international financial standard-setting bodies, incorporating developing-economy governments and civil society organizations in its decision-making structures.</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At the regional and jurisdictional level, national and regional taxonomies would operate within the minimum standards floors established at the global level, with the flexibility to incorporate additional criteria, higher thresholds, and differentiated treatment of transitional activities consistent with their development contexts and sustainability priorities. Mutual recognition agreements based on equivalence assessments — not identity assessments — would allow green instruments issued under different jurisdictional taxonomies to access each other's markets without requiring definitional harmonization.</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At the sectoral level, industry-specific taxonomies and certification schemes would operate within jurisdictional frameworks, providing the technical specificity that general taxonomies cannot achieve at the asset or technology level. These sectoral instruments would be subject to the epistemic transparency and distributional impact assessment requirements established at higher governance levels.</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At the firm and instrument level, issuers would operate under disclosure obligations calibrated to the taxonomy framework under which they seek classification, with standardized reporting on the alignment methodology, the specific criteria applied, the verification process used, and the known limitations of the compliance assessment. Disclosure obligations at this level would be designed to make taxonomy arbitrage visible rather than to prevent all definitional flexibility.</w:t>
      </w:r>
    </w:p>
    <w:p>
      <w:pPr>
        <w:spacing w:after="0" w:before="0" w:line="240"/>
      </w:pPr>
      <w:r>
        <w:rPr>
          <w:rFonts w:ascii="Times New Roman" w:cs="Times New Roman" w:eastAsia="Times New Roman" w:hAnsi="Times New Roman"/>
          <w:sz w:val="24"/>
          <w:szCs w:val="24"/>
        </w:rPr>
        <w:t xml:space="preserve"/>
      </w:r>
    </w:p>
    <w:p>
      <w:pPr>
        <w:pStyle w:val="Heading1"/>
        <w:spacing w:after="200" w:before="480"/>
      </w:pPr>
      <w:r>
        <w:rPr>
          <w:rFonts w:ascii="Times New Roman" w:cs="Times New Roman" w:eastAsia="Times New Roman" w:hAnsi="Times New Roman"/>
          <w:b/>
          <w:bCs/>
          <w:caps/>
          <w:sz w:val="28"/>
          <w:szCs w:val="28"/>
        </w:rPr>
        <w:t xml:space="preserve">VII. Limitations and Future Research Agenda</w:t>
      </w:r>
    </w:p>
    <w:p>
      <w:pPr>
        <w:pStyle w:val="Heading2"/>
        <w:spacing w:after="140" w:before="360"/>
      </w:pPr>
      <w:r>
        <w:rPr>
          <w:rFonts w:ascii="Times New Roman" w:cs="Times New Roman" w:eastAsia="Times New Roman" w:hAnsi="Times New Roman"/>
          <w:b/>
          <w:bCs/>
          <w:i/>
          <w:iCs/>
          <w:sz w:val="26"/>
          <w:szCs w:val="26"/>
        </w:rPr>
        <w:t xml:space="preserve">7.1 Limitations of the Theoretical Framework</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Epistemic Infrastructure Theory developed in this paper rests on a set of analytical choices and abstractions that require explicit acknowledgment. The most significant limitation concerns the ideal-typical character of the four taxonomy archetypes. Real-world taxonomies are complex institutional phenomena that resist clean classification along the axes of epistemic openness and political inclusivity; the EU Taxonomy, for instance, exhibits elements of both Technocratic and Hegemonic governance depending on the specific policy domain and revision process under examination. The typology should be understood as an analytical framework for identifying governance tendencies rather than as a definitive characterization of specific instruments.</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A second limitation concerns the implicit assumption of rationality in the theory of taxonomy arbitrage. The framework treats issuers and intermediaries as strategic actors who respond systematically to definitional differences across competing taxonomies, but in practice, taxonomy compliance behavior is shaped by organizational inertia, reputational risk aversion, and the limited attention of sustainability practitioners who cannot monitor the full range of competing classificatory frameworks. A behavioral extension of the framework would enrich its explanatory power.</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Third, the framework's treatment of scientific knowledge as a resource mobilized in definitional contestation, rather than as an independent determinant of what green activities are, reflects the STS tradition's constructivist epistemological commitments in ways that may be contested by economists and environmental scientists who maintain a realist account of environmental performance. The framework does not deny the existence of environmental facts; it argues that the translation of those facts into financial classification criteria always involves normative choices that cannot be resolved by scientific evidence alone. This epistemological position should be made explicit in any application of the framework.</w:t>
      </w:r>
    </w:p>
    <w:p>
      <w:pPr>
        <w:pStyle w:val="Heading2"/>
        <w:spacing w:after="140" w:before="360"/>
      </w:pPr>
      <w:r>
        <w:rPr>
          <w:rFonts w:ascii="Times New Roman" w:cs="Times New Roman" w:eastAsia="Times New Roman" w:hAnsi="Times New Roman"/>
          <w:b/>
          <w:bCs/>
          <w:i/>
          <w:iCs/>
          <w:sz w:val="26"/>
          <w:szCs w:val="26"/>
        </w:rPr>
        <w:t xml:space="preserve">7.2 Future Research Agenda</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Epistemic Infrastructure Theory generates a rich and differentiated future research agenda across several methodological traditions. At the theoretical level, the framework invites extension through evolutionary game-theoretic modeling of taxonomy competition — analyzing the conditions under which competing taxonomies converge toward or diverge from environmental equivalence under different institutional incentive structures. The interaction between taxonomy governance and the broader political economy of green industrial policy — the EU Green Deal, the US Inflation Reduction Act, China's carbon neutrality strategy — represents a particularly fruitful theoretical frontier, as industrial policy provides both the political context for taxonomy design and the sectoral transformation that taxonomies are designed to finance.</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At the empirical level, the eight propositions derived in Section V constitute a programme of testable hypotheses for quantitative and qualitative research. The Closure-Adoption Spiral (Proposition 1) could be tested through event study analysis of index adoptions and their effects on taxonomy revision probabilities. The Arbitrage Amplification proposition (Proposition 3) could be tested through analysis of green bond structuring decisions in jurisdictions with multiple competing taxonomy frameworks. The Definitional Sovereignty and Capital Allocation proposition (Proposition 5) could be tested through comparative analysis of green capital flows to emerging-market firms under different taxonomy coverage regimes.</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Methodologically, the framework calls for interdisciplinary research designs that combine the textual analysis tools of STS with the quantitative methods of financial economics. Natural language processing techniques applied to taxonomy documents, consultation submissions, and regulatory correspondence could illuminate the discursive processes through which definitional contestation occurs and resolves. Network analysis of citation patterns among taxonomy documents could trace the diffusion of definitional choices across jurisdictions and reveal the structural positions of dominant taxonomy architects in the global taxonomy governance network. Computational analysis of green bond offering documents across multiple taxonomy frameworks could quantify the scope of taxonomy arbitrage and identify the structural features of taxonomies most susceptible to strategic exploitation.</w:t>
      </w:r>
    </w:p>
    <w:p>
      <w:pPr>
        <w:spacing w:after="0" w:before="0" w:line="240"/>
      </w:pPr>
      <w:r>
        <w:rPr>
          <w:rFonts w:ascii="Times New Roman" w:cs="Times New Roman" w:eastAsia="Times New Roman" w:hAnsi="Times New Roman"/>
          <w:sz w:val="24"/>
          <w:szCs w:val="24"/>
        </w:rPr>
        <w:t xml:space="preserve"/>
      </w:r>
    </w:p>
    <w:p>
      <w:pPr>
        <w:pStyle w:val="Heading1"/>
        <w:spacing w:after="200" w:before="480"/>
      </w:pPr>
      <w:r>
        <w:rPr>
          <w:rFonts w:ascii="Times New Roman" w:cs="Times New Roman" w:eastAsia="Times New Roman" w:hAnsi="Times New Roman"/>
          <w:b/>
          <w:bCs/>
          <w:caps/>
          <w:sz w:val="28"/>
          <w:szCs w:val="28"/>
        </w:rPr>
        <w:t xml:space="preserve">VIII. Conclusion</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Green taxonomies are among the most consequential regulatory instruments of the twenty-first-century sustainability transition. They determine which activities attract green capital, which firms can access the premium-priced green bond market, which development pathways are institutionally valorized, and — through the progressive naturalization of their definitional choices — what the green economy ultimately becomes. The theoretical stakes of getting their governance right are, therefore, exceptionally high.</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This paper has argued that getting taxonomy governance right requires a theoretical framework that takes seriously what taxonomies actually are: not neutral classification tools but epistemic infrastructures — arrangements of technical authority, institutional power, and definitional work that actively construct the objects they purport to describe. The Epistemic Infrastructure Theory, developed through the constructs of epistemic closure, definitional sovereignty, and taxonomy arbitrage, and organized through the four-archetype typological framework, provides that theoretical foundation.</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implications are significant for multiple audiences. For taxonomy architects — regulators, standard-setters, technical expert bodies — the framework identifies the governance properties that differentiate deliberative from hegemonic taxonomies and specifies the institutional design requirements for achieving epistemic justice without sacrificing criteria quality or market stability. For researchers in accounting theory, financial economics, and environmental governance, the framework provides the theoretical vocabulary and the propositional architecture for an empirical research programme that can connect the political economy of classification to observable outcomes in green capital markets. For the broader community of sustainability governance practitioners, the framework provides a rigorous conceptual account of why technical harmonization alone cannot resolve the governance challenges posed by competing green taxonomies — and why the deeper questions of definitional sovereignty, epistemic openness, and political inclusivity must be placed at the centre of the global sustainability finance reform agenda.</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green economy is being classified into existence. The question is not whether that classification will be done — it is being done, at this moment, through dozens of competing taxonomies in every major financial jurisdiction in the world. The question is who has the authority to do it, on whose terms, and through what governance arrangements. The Epistemic Infrastructure Theory offers a rigorous and empirically grounded framework for ensuring that these questions receive the theoretical and institutional attention they deserve.</w:t>
      </w:r>
    </w:p>
    <w:p>
      <w:pPr>
        <w:spacing w:after="0" w:before="0" w:line="240"/>
      </w:pPr>
      <w:r>
        <w:rPr>
          <w:rFonts w:ascii="Times New Roman" w:cs="Times New Roman" w:eastAsia="Times New Roman" w:hAnsi="Times New Roman"/>
          <w:sz w:val="24"/>
          <w:szCs w:val="24"/>
        </w:rPr>
        <w:t xml:space="preserve"/>
      </w:r>
    </w:p>
    <w:p>
      <w:pPr>
        <w:pStyle w:val="Heading1"/>
        <w:spacing w:after="200" w:before="480"/>
      </w:pPr>
      <w:r>
        <w:rPr>
          <w:rFonts w:ascii="Times New Roman" w:cs="Times New Roman" w:eastAsia="Times New Roman" w:hAnsi="Times New Roman"/>
          <w:b/>
          <w:bCs/>
          <w:caps/>
          <w:sz w:val="28"/>
          <w:szCs w:val="28"/>
        </w:rPr>
        <w:t xml:space="preserve">References</w:t>
      </w:r>
    </w:p>
    <w:p>
      <w:pPr>
        <w:spacing w:after="120" w:before="0" w:line="360"/>
        <w:ind w:left="720" w:hanging="720"/>
        <w:jc w:val="both"/>
      </w:pPr>
      <w:r>
        <w:rPr>
          <w:rFonts w:ascii="Times New Roman" w:cs="Times New Roman" w:eastAsia="Times New Roman" w:hAnsi="Times New Roman"/>
          <w:sz w:val="22"/>
          <w:szCs w:val="22"/>
        </w:rPr>
        <w:t xml:space="preserve">[CITE VERIFY] Akerlof, G. A. (1970). The market for "lemons": Quality uncertainty and the market mechanism. Quarterly Journal of Economics, 84(3), 488–500.</w:t>
      </w:r>
    </w:p>
    <w:p>
      <w:pPr>
        <w:spacing w:after="120" w:before="0" w:line="360"/>
        <w:ind w:left="720" w:hanging="720"/>
        <w:jc w:val="both"/>
      </w:pPr>
      <w:r>
        <w:rPr>
          <w:rFonts w:ascii="Times New Roman" w:cs="Times New Roman" w:eastAsia="Times New Roman" w:hAnsi="Times New Roman"/>
          <w:sz w:val="22"/>
          <w:szCs w:val="22"/>
        </w:rPr>
        <w:t xml:space="preserve">[CITE VERIFY] Bowker, G. C., &amp; Star, S. L. (1999). Sorting things out: Classification and its consequences. MIT Press.</w:t>
      </w:r>
    </w:p>
    <w:p>
      <w:pPr>
        <w:spacing w:after="120" w:before="0" w:line="360"/>
        <w:ind w:left="720" w:hanging="720"/>
        <w:jc w:val="both"/>
      </w:pPr>
      <w:r>
        <w:rPr>
          <w:rFonts w:ascii="Times New Roman" w:cs="Times New Roman" w:eastAsia="Times New Roman" w:hAnsi="Times New Roman"/>
          <w:sz w:val="22"/>
          <w:szCs w:val="22"/>
        </w:rPr>
        <w:t xml:space="preserve">[CITE VERIFY] Braithwaite, J., &amp; Drahos, P. (2000). Global business regulation. Cambridge University Press.</w:t>
      </w:r>
    </w:p>
    <w:p>
      <w:pPr>
        <w:spacing w:after="120" w:before="0" w:line="360"/>
        <w:ind w:left="720" w:hanging="720"/>
        <w:jc w:val="both"/>
      </w:pPr>
      <w:r>
        <w:rPr>
          <w:rFonts w:ascii="Times New Roman" w:cs="Times New Roman" w:eastAsia="Times New Roman" w:hAnsi="Times New Roman"/>
          <w:sz w:val="22"/>
          <w:szCs w:val="22"/>
        </w:rPr>
        <w:t xml:space="preserve">[CITE VERIFY] Braun, B. (2016). From performativity to political economy: Index investing, ETFs and asset manager capitalism. New Political Economy, 21(3), 257–273.</w:t>
      </w:r>
    </w:p>
    <w:p>
      <w:pPr>
        <w:spacing w:after="120" w:before="0" w:line="360"/>
        <w:ind w:left="720" w:hanging="720"/>
        <w:jc w:val="both"/>
      </w:pPr>
      <w:r>
        <w:rPr>
          <w:rFonts w:ascii="Times New Roman" w:cs="Times New Roman" w:eastAsia="Times New Roman" w:hAnsi="Times New Roman"/>
          <w:sz w:val="22"/>
          <w:szCs w:val="22"/>
        </w:rPr>
        <w:t xml:space="preserve">[CITE VERIFY] Callon, M. (Ed.). (1998). The laws of the markets. Blackwell Publishers.</w:t>
      </w:r>
    </w:p>
    <w:p>
      <w:pPr>
        <w:spacing w:after="120" w:before="0" w:line="360"/>
        <w:ind w:left="720" w:hanging="720"/>
        <w:jc w:val="both"/>
      </w:pPr>
      <w:r>
        <w:rPr>
          <w:rFonts w:ascii="Times New Roman" w:cs="Times New Roman" w:eastAsia="Times New Roman" w:hAnsi="Times New Roman"/>
          <w:sz w:val="22"/>
          <w:szCs w:val="22"/>
        </w:rPr>
        <w:t xml:space="preserve">[CITE VERIFY] Dranove, D., &amp; Gandal, N. (2003). The DVD-vs.-DIVX standard war: Empirical evidence of network effects and preannouncement effects. RAND Journal of Economics, 34(1), 74–95.</w:t>
      </w:r>
    </w:p>
    <w:p>
      <w:pPr>
        <w:spacing w:after="120" w:before="0" w:line="360"/>
        <w:ind w:left="720" w:hanging="720"/>
        <w:jc w:val="both"/>
      </w:pPr>
      <w:r>
        <w:rPr>
          <w:rFonts w:ascii="Times New Roman" w:cs="Times New Roman" w:eastAsia="Times New Roman" w:hAnsi="Times New Roman"/>
          <w:sz w:val="22"/>
          <w:szCs w:val="22"/>
        </w:rPr>
        <w:t xml:space="preserve">[CITE VERIFY] Ehlers, T., &amp; Packer, F. (2017). Green bond finance and certification. BIS Quarterly Review, September 2017, 89–104.</w:t>
      </w:r>
    </w:p>
    <w:p>
      <w:pPr>
        <w:spacing w:after="120" w:before="0" w:line="360"/>
        <w:ind w:left="720" w:hanging="720"/>
        <w:jc w:val="both"/>
      </w:pPr>
      <w:r>
        <w:rPr>
          <w:rFonts w:ascii="Times New Roman" w:cs="Times New Roman" w:eastAsia="Times New Roman" w:hAnsi="Times New Roman"/>
          <w:sz w:val="22"/>
          <w:szCs w:val="22"/>
        </w:rPr>
        <w:t xml:space="preserve">[CITE VERIFY] Flammer, C. (2021). Corporate green bonds. Journal of Financial Economics, 142(2), 499–516.</w:t>
      </w:r>
    </w:p>
    <w:p>
      <w:pPr>
        <w:spacing w:after="120" w:before="0" w:line="360"/>
        <w:ind w:left="720" w:hanging="720"/>
        <w:jc w:val="both"/>
      </w:pPr>
      <w:r>
        <w:rPr>
          <w:rFonts w:ascii="Times New Roman" w:cs="Times New Roman" w:eastAsia="Times New Roman" w:hAnsi="Times New Roman"/>
          <w:sz w:val="22"/>
          <w:szCs w:val="22"/>
        </w:rPr>
        <w:t xml:space="preserve">[CITE VERIFY] Fligstein, N., &amp; McAdam, D. (2012). A theory of fields. Oxford University Press.</w:t>
      </w:r>
    </w:p>
    <w:p>
      <w:pPr>
        <w:spacing w:after="120" w:before="0" w:line="360"/>
        <w:ind w:left="720" w:hanging="720"/>
        <w:jc w:val="both"/>
      </w:pPr>
      <w:r>
        <w:rPr>
          <w:rFonts w:ascii="Times New Roman" w:cs="Times New Roman" w:eastAsia="Times New Roman" w:hAnsi="Times New Roman"/>
          <w:sz w:val="22"/>
          <w:szCs w:val="22"/>
        </w:rPr>
        <w:t xml:space="preserve">[CITE VERIFY] Fraser, N. (2003). Social justice in the age of identity politics: Redistribution, recognition, and participation. In N. Fraser &amp; A. Honneth (Eds.), Redistribution or recognition? A political-philosophical exchange (pp. 7–109). Verso.</w:t>
      </w:r>
    </w:p>
    <w:p>
      <w:pPr>
        <w:spacing w:after="120" w:before="0" w:line="360"/>
        <w:ind w:left="720" w:hanging="720"/>
        <w:jc w:val="both"/>
      </w:pPr>
      <w:r>
        <w:rPr>
          <w:rFonts w:ascii="Times New Roman" w:cs="Times New Roman" w:eastAsia="Times New Roman" w:hAnsi="Times New Roman"/>
          <w:sz w:val="22"/>
          <w:szCs w:val="22"/>
        </w:rPr>
        <w:t xml:space="preserve">[CITE VERIFY] Fricker, M. (2007). Epistemic injustice: Power and the ethics of knowing. Oxford University Press.</w:t>
      </w:r>
    </w:p>
    <w:p>
      <w:pPr>
        <w:spacing w:after="120" w:before="0" w:line="360"/>
        <w:ind w:left="720" w:hanging="720"/>
        <w:jc w:val="both"/>
      </w:pPr>
      <w:r>
        <w:rPr>
          <w:rFonts w:ascii="Times New Roman" w:cs="Times New Roman" w:eastAsia="Times New Roman" w:hAnsi="Times New Roman"/>
          <w:sz w:val="22"/>
          <w:szCs w:val="22"/>
        </w:rPr>
        <w:t xml:space="preserve">[CITE VERIFY] Krüger, P., Sautner, Z., &amp; Starks, L. T. (2020). The importance of climate risks for institutional investors. Review of Financial Studies, 33(3), 1067–1111.</w:t>
      </w:r>
    </w:p>
    <w:p>
      <w:pPr>
        <w:spacing w:after="120" w:before="0" w:line="360"/>
        <w:ind w:left="720" w:hanging="720"/>
        <w:jc w:val="both"/>
      </w:pPr>
      <w:r>
        <w:rPr>
          <w:rFonts w:ascii="Times New Roman" w:cs="Times New Roman" w:eastAsia="Times New Roman" w:hAnsi="Times New Roman"/>
          <w:sz w:val="22"/>
          <w:szCs w:val="22"/>
        </w:rPr>
        <w:t xml:space="preserve">[CITE VERIFY] Mackenzie, D. (2006). An engine, not a camera: How financial models shape markets. MIT Press.</w:t>
      </w:r>
    </w:p>
    <w:p>
      <w:pPr>
        <w:spacing w:after="120" w:before="0" w:line="360"/>
        <w:ind w:left="720" w:hanging="720"/>
        <w:jc w:val="both"/>
      </w:pPr>
      <w:r>
        <w:rPr>
          <w:rFonts w:ascii="Times New Roman" w:cs="Times New Roman" w:eastAsia="Times New Roman" w:hAnsi="Times New Roman"/>
          <w:sz w:val="22"/>
          <w:szCs w:val="22"/>
        </w:rPr>
        <w:t xml:space="preserve">[CITE VERIFY] Mattli, W., &amp; Büthe, T. (2003). Setting international standards: Technological rationality or primacy of power? World Politics, 56(1), 1–42.</w:t>
      </w:r>
    </w:p>
    <w:p>
      <w:pPr>
        <w:spacing w:after="120" w:before="0" w:line="360"/>
        <w:ind w:left="720" w:hanging="720"/>
        <w:jc w:val="both"/>
      </w:pPr>
      <w:r>
        <w:rPr>
          <w:rFonts w:ascii="Times New Roman" w:cs="Times New Roman" w:eastAsia="Times New Roman" w:hAnsi="Times New Roman"/>
          <w:sz w:val="22"/>
          <w:szCs w:val="22"/>
        </w:rPr>
        <w:t xml:space="preserve">[CITE VERIFY] Scott, W. R. (2014). Institutions and organizations: Ideas, interests, and identities (4th ed.). SAGE Publications.</w:t>
      </w:r>
    </w:p>
    <w:p>
      <w:pPr>
        <w:spacing w:after="120" w:before="0" w:line="360"/>
        <w:ind w:left="720" w:hanging="720"/>
        <w:jc w:val="both"/>
      </w:pPr>
      <w:r>
        <w:rPr>
          <w:rFonts w:ascii="Times New Roman" w:cs="Times New Roman" w:eastAsia="Times New Roman" w:hAnsi="Times New Roman"/>
          <w:sz w:val="22"/>
          <w:szCs w:val="22"/>
        </w:rPr>
        <w:t xml:space="preserve">[CITE VERIFY] Star, S. L., &amp; Ruhleder, K. (1996). Steps toward an ecology of infrastructure: Design and access for large information spaces. Information Systems Research, 7(1), 111–134.</w:t>
      </w:r>
    </w:p>
    <w:p>
      <w:pPr>
        <w:spacing w:after="120" w:before="0" w:line="360"/>
        <w:ind w:left="720" w:hanging="720"/>
        <w:jc w:val="both"/>
      </w:pPr>
      <w:r>
        <w:rPr>
          <w:rFonts w:ascii="Times New Roman" w:cs="Times New Roman" w:eastAsia="Times New Roman" w:hAnsi="Times New Roman"/>
          <w:sz w:val="22"/>
          <w:szCs w:val="22"/>
        </w:rPr>
        <w:t xml:space="preserve">[CITE VERIFY] Zerbib, O. D. (2019). The effect of pro-environmental preferences on bond prices: Evidence from green bonds. Journal of Banking and Finance, 98, 39–60.</w:t>
      </w:r>
    </w:p>
    <w:p>
      <w:pPr>
        <w:spacing w:after="120" w:before="0" w:line="360"/>
        <w:ind w:left="720" w:hanging="720"/>
        <w:jc w:val="both"/>
      </w:pPr>
      <w:r>
        <w:rPr>
          <w:rFonts w:ascii="Times New Roman" w:cs="Times New Roman" w:eastAsia="Times New Roman" w:hAnsi="Times New Roman"/>
          <w:sz w:val="22"/>
          <w:szCs w:val="22"/>
        </w:rPr>
        <w:t xml:space="preserve">[CITE NEEDED] European Commission. (2022). EU Taxonomy Delegated Act — Climate Criteria. European Commission Official Journal. [Full citation to be verified by author prior to submission.]</w:t>
      </w:r>
    </w:p>
    <w:p>
      <w:pPr>
        <w:spacing w:after="120" w:before="0" w:line="360"/>
        <w:ind w:left="720" w:hanging="720"/>
        <w:jc w:val="both"/>
      </w:pPr>
      <w:r>
        <w:rPr>
          <w:rFonts w:ascii="Times New Roman" w:cs="Times New Roman" w:eastAsia="Times New Roman" w:hAnsi="Times New Roman"/>
          <w:sz w:val="22"/>
          <w:szCs w:val="22"/>
        </w:rPr>
        <w:t xml:space="preserve">[CITE NEEDED] Literature on EU Taxonomy impacts on developing country firms and emerging market access to green capital markets (2021–2024). To be identified by author prior to submission.</w:t>
      </w:r>
    </w:p>
    <w:p>
      <w:pPr>
        <w:spacing w:after="120" w:before="0" w:line="360"/>
        <w:ind w:left="720" w:hanging="720"/>
        <w:jc w:val="both"/>
      </w:pPr>
      <w:r>
        <w:rPr>
          <w:rFonts w:ascii="Times New Roman" w:cs="Times New Roman" w:eastAsia="Times New Roman" w:hAnsi="Times New Roman"/>
          <w:sz w:val="22"/>
          <w:szCs w:val="22"/>
        </w:rPr>
        <w:t xml:space="preserve">[CITE NEEDED] Comparative analysis of China Green Bond Catalogue versus EU Taxonomy definitional frameworks (2019–2024). To be identified by author prior to submission.</w:t>
      </w:r>
    </w:p>
    <w:p>
      <w:pPr>
        <w:spacing w:after="120" w:before="0" w:line="360"/>
        <w:ind w:left="720" w:hanging="720"/>
        <w:jc w:val="both"/>
      </w:pPr>
      <w:r>
        <w:rPr>
          <w:rFonts w:ascii="Times New Roman" w:cs="Times New Roman" w:eastAsia="Times New Roman" w:hAnsi="Times New Roman"/>
          <w:sz w:val="22"/>
          <w:szCs w:val="22"/>
        </w:rPr>
        <w:t xml:space="preserve">[CITE NEEDED] Literature on green taxonomy convergence and harmonization challenges in global capital markets (2021–2024). To be identified by author prior to submission.</w:t>
      </w:r>
    </w:p>
    <w:p>
      <w:pPr>
        <w:spacing w:after="120" w:before="0" w:line="360"/>
        <w:ind w:left="720" w:hanging="720"/>
        <w:jc w:val="both"/>
      </w:pPr>
      <w:r>
        <w:rPr>
          <w:rFonts w:ascii="Times New Roman" w:cs="Times New Roman" w:eastAsia="Times New Roman" w:hAnsi="Times New Roman"/>
          <w:sz w:val="22"/>
          <w:szCs w:val="22"/>
        </w:rPr>
        <w:t xml:space="preserve">[CITE NEEDED] Literature on taxonomy design properties — specificity, activity-based versus entity-based approaches, verification, and enforcement (2019–2024). To be identified by author prior to submission.</w:t>
      </w:r>
    </w:p>
    <w:p>
      <w:pPr>
        <w:spacing w:after="120" w:before="0" w:line="360"/>
        <w:ind w:left="720" w:hanging="720"/>
        <w:jc w:val="both"/>
      </w:pPr>
      <w:r>
        <w:rPr>
          <w:rFonts w:ascii="Times New Roman" w:cs="Times New Roman" w:eastAsia="Times New Roman" w:hAnsi="Times New Roman"/>
          <w:sz w:val="22"/>
          <w:szCs w:val="22"/>
        </w:rPr>
        <w:t xml:space="preserve">[CITE NEEDED] Literature on green bond pricing premiums and taxonomy alignment effects (2020–2024). To be identified by author prior to submission.</w:t>
      </w:r>
    </w:p>
    <w:p>
      <w:pPr>
        <w:spacing w:after="120" w:before="0" w:line="360"/>
        <w:ind w:left="720" w:hanging="720"/>
        <w:jc w:val="both"/>
      </w:pPr>
      <w:r>
        <w:rPr>
          <w:rFonts w:ascii="Times New Roman" w:cs="Times New Roman" w:eastAsia="Times New Roman" w:hAnsi="Times New Roman"/>
          <w:sz w:val="22"/>
          <w:szCs w:val="22"/>
        </w:rPr>
        <w:t xml:space="preserve">[CITE NEEDED] Empirical literature on green capital allocation and firm-level cost of capital under different taxonomy frameworks (2020–2024). To be identified by author prior to submission.</w:t>
      </w:r>
    </w:p>
    <w:p>
      <w:pPr>
        <w:spacing w:after="0" w:before="0" w:line="240"/>
      </w:pPr>
      <w:r>
        <w:rPr>
          <w:rFonts w:ascii="Times New Roman" w:cs="Times New Roman" w:eastAsia="Times New Roman" w:hAnsi="Times New Roman"/>
          <w:sz w:val="24"/>
          <w:szCs w:val="24"/>
        </w:rPr>
        <w:t xml:space="preserve"/>
      </w:r>
    </w:p>
    <w:p>
      <w:pPr>
        <w:pageBreakBefore/>
      </w:pPr>
      <w:r>
        <w:rPr>
          <w:rFonts w:ascii="Times New Roman" w:cs="Times New Roman" w:eastAsia="Times New Roman" w:hAnsi="Times New Roman"/>
          <w:sz w:val="24"/>
          <w:szCs w:val="24"/>
        </w:rPr>
        <w:t xml:space="preserve"/>
      </w:r>
    </w:p>
    <w:p>
      <w:pPr>
        <w:pStyle w:val="Heading1"/>
        <w:spacing w:after="200" w:before="480"/>
      </w:pPr>
      <w:r>
        <w:rPr>
          <w:rFonts w:ascii="Times New Roman" w:cs="Times New Roman" w:eastAsia="Times New Roman" w:hAnsi="Times New Roman"/>
          <w:b/>
          <w:bCs/>
          <w:caps/>
          <w:sz w:val="28"/>
          <w:szCs w:val="28"/>
        </w:rPr>
        <w:t xml:space="preserve">Appendix: Referee Report Simulation</w:t>
      </w:r>
    </w:p>
    <w:p>
      <w:pPr>
        <w:spacing w:after="120" w:before="0" w:line="400"/>
      </w:pPr>
      <w:r>
        <w:rPr>
          <w:rFonts w:ascii="Times New Roman" w:cs="Times New Roman" w:eastAsia="Times New Roman" w:hAnsi="Times New Roman"/>
          <w:b/>
          <w:bCs/>
          <w:sz w:val="24"/>
          <w:szCs w:val="24"/>
        </w:rPr>
        <w:t xml:space="preserve">REFEREE REPORT SIMULATION</w:t>
      </w:r>
    </w:p>
    <w:p>
      <w:pPr>
        <w:spacing w:after="120" w:before="0" w:line="400"/>
      </w:pPr>
      <w:r>
        <w:rPr>
          <w:rFonts w:ascii="Times New Roman" w:cs="Times New Roman" w:eastAsia="Times New Roman" w:hAnsi="Times New Roman"/>
          <w:i/>
          <w:iCs/>
          <w:sz w:val="24"/>
          <w:szCs w:val="24"/>
        </w:rPr>
        <w:t xml:space="preserve">Paper: "Classifying the Green Economy: A Theory of Environmental Taxonomies as Epistemic Infrastructures in Sustainable Finance"</w:t>
      </w:r>
    </w:p>
    <w:p>
      <w:pPr>
        <w:spacing w:after="120" w:before="0" w:line="400"/>
      </w:pPr>
      <w:r>
        <w:rPr>
          <w:rFonts w:ascii="Times New Roman" w:cs="Times New Roman" w:eastAsia="Times New Roman" w:hAnsi="Times New Roman"/>
          <w:i/>
          <w:iCs/>
          <w:sz w:val="24"/>
          <w:szCs w:val="24"/>
        </w:rPr>
        <w:t xml:space="preserve">Target Journal: Accounting, Organizations and Society / Ecological Economics (Primary); Journal of Business Ethics (Secondary)</w:t>
      </w:r>
    </w:p>
    <w:p>
      <w:pPr>
        <w:spacing w:after="200" w:before="0" w:line="400"/>
      </w:pPr>
      <w:r>
        <w:rPr>
          <w:rFonts w:ascii="Times New Roman" w:cs="Times New Roman" w:eastAsia="Times New Roman" w:hAnsi="Times New Roman"/>
          <w:b/>
          <w:bCs/>
          <w:sz w:val="24"/>
          <w:szCs w:val="24"/>
        </w:rPr>
        <w:t xml:space="preserve">Recommendation: Major Revision — Significant original theoretical contribution warranting revision; key concerns relate to typology operationalization and engagement with the broader political science literature on regulatory competition.</w:t>
      </w:r>
    </w:p>
    <w:p>
      <w:pPr>
        <w:pStyle w:val="Heading2"/>
        <w:spacing w:after="140" w:before="360"/>
      </w:pPr>
      <w:r>
        <w:rPr>
          <w:rFonts w:ascii="Times New Roman" w:cs="Times New Roman" w:eastAsia="Times New Roman" w:hAnsi="Times New Roman"/>
          <w:b/>
          <w:bCs/>
          <w:i/>
          <w:iCs/>
          <w:sz w:val="26"/>
          <w:szCs w:val="26"/>
        </w:rPr>
        <w:t xml:space="preserve">Summary of Contribution</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This paper makes a substantial and largely original theoretical contribution by developing the Epistemic Infrastructure Theory of green taxonomies, a framework that reframes taxonomies from technical classification instruments to power-laden epistemic infrastructures. The three core constructs — epistemic closure, definitional sovereignty, and taxonomy arbitrage — are well-developed, analytically distinct, and collectively advance the theoretical frontier of sustainable finance governance scholarship. The four-archetype typology is elegant and has genuine analytical purchase. The eight propositions are largely testable and represent a valuable empirical research programme. The paper clearly belongs in a top-tier journal.</w:t>
      </w:r>
    </w:p>
    <w:p>
      <w:pPr>
        <w:pStyle w:val="Heading2"/>
        <w:spacing w:after="140" w:before="360"/>
      </w:pPr>
      <w:r>
        <w:rPr>
          <w:rFonts w:ascii="Times New Roman" w:cs="Times New Roman" w:eastAsia="Times New Roman" w:hAnsi="Times New Roman"/>
          <w:b/>
          <w:bCs/>
          <w:i/>
          <w:iCs/>
          <w:sz w:val="26"/>
          <w:szCs w:val="26"/>
        </w:rPr>
        <w:t xml:space="preserve">Major Concerns</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1. Typology operationalization: The two-dimensional typology (epistemic openness × political inclusivity) is theoretically appealing, but the axes are not operationalized in ways that would enable systematic classification of real-world taxonomies. The note acknowledging ideal-typical status is necessary but insufficient — the paper should provide more explicit criteria for locating specific taxonomies along each axis. Suggested fix: Develop a structured assessment framework specifying observable indicators for each axis (e.g., governance body composition, consultation process design, revision procedure formalization, participation rights for non-OECD actors), and apply it illustratively to at least three real-world taxonomies.</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2. Engagement with regulatory competition literature: The paper develops the concept of taxonomy arbitrage in ways that parallel the regulatory arbitrage literature in international political economy and financial regulation, but engagement with that literature is currently superficial. The dynamics described in Propositions 3 and 4 are well-studied in adjacent domains; the paper should more explicitly differentiate its contribution from existing race-to-the-bottom theory and identify what is genuinely novel in the taxonomy context. Suggested fix: Add a subsection in the literature review engaging with the regulatory competition and race-to-the-bottom literature, specifying the theoretical differences generated by the epistemic infrastructure framing.</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3. The concept of epistemic justice and its operationalization: The introduction of epistemic justice in Section VI is theoretically productive but arrives somewhat abruptly. The connection between the EIT framework and Fricker's philosophical concept of epistemic justice requires more careful theoretical mediation. Suggested fix: Develop a brief theoretical bridge in Section VI.1 that explicitly maps the three EIT constructs onto the two forms of epistemic injustice identified (testimonial and hermeneutical), before applying the justice framework to governance implications.</w:t>
      </w:r>
    </w:p>
    <w:p>
      <w:pPr>
        <w:pStyle w:val="Heading2"/>
        <w:spacing w:after="140" w:before="360"/>
      </w:pPr>
      <w:r>
        <w:rPr>
          <w:rFonts w:ascii="Times New Roman" w:cs="Times New Roman" w:eastAsia="Times New Roman" w:hAnsi="Times New Roman"/>
          <w:b/>
          <w:bCs/>
          <w:i/>
          <w:iCs/>
          <w:sz w:val="26"/>
          <w:szCs w:val="26"/>
        </w:rPr>
        <w:t xml:space="preserve">Minor Concerns</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1. The paper's treatment of the ASEAN Taxonomy as a "deliberative" tendency is questionable; the ASEAN framework's traffic-light system arguably reflects negotiated political compromise rather than genuine deliberative governance. This characterization should be more carefully qualified.</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2. The discussion of China's Green Bond Catalogue in Section 2.2 would benefit from more recent sources — the Catalogue has undergone significant revision since its earlier iterations.</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3. Several [CITE NEEDED] flags in the references section require resolution before submission, particularly those in Sections II and III where empirical claims are made without citations.</w:t>
      </w:r>
    </w:p>
    <w:p>
      <w:pPr>
        <w:pStyle w:val="Heading2"/>
        <w:spacing w:after="140" w:before="360"/>
      </w:pPr>
      <w:r>
        <w:rPr>
          <w:rFonts w:ascii="Times New Roman" w:cs="Times New Roman" w:eastAsia="Times New Roman" w:hAnsi="Times New Roman"/>
          <w:b/>
          <w:bCs/>
          <w:i/>
          <w:iCs/>
          <w:sz w:val="26"/>
          <w:szCs w:val="26"/>
        </w:rPr>
        <w:t xml:space="preserve">Questions for Authors</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1. The Orchestrated Pluralism Condition (Proposition 8) depends critically on the existence of a multi-lateral standards body with the specified properties. Given the difficulties of establishing legitimate multi-lateral governance in financial standard-setting (as evidenced by the prolonged contestation over IOSCO and ISSB authority), what is the theory of change through which such a body would acquire the necessary authority? Is the framework's governance prescription realistic, or is it more usefully understood as a normative benchmark against which existing arrangements should be evaluated?</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2. The Closure-Adoption Spiral (Proposition 1) implies that the EU Taxonomy's definitional choices are becoming progressively harder to revise. How does the framework account for the fact that the EU Taxonomy has in fact been revised (e.g., the nuclear and gas inclusion in 2022), apparently without the costs of revision being prohibitive? Does this revision represent a failure of the theory, or does it suggest that the spiral operates primarily at the level of core activity categories rather than threshold criteria?</w:t>
      </w:r>
    </w:p>
    <w:p>
      <w:pPr>
        <w:pStyle w:val="Heading2"/>
        <w:spacing w:after="140" w:before="360"/>
      </w:pPr>
      <w:r>
        <w:rPr>
          <w:rFonts w:ascii="Times New Roman" w:cs="Times New Roman" w:eastAsia="Times New Roman" w:hAnsi="Times New Roman"/>
          <w:b/>
          <w:bCs/>
          <w:i/>
          <w:iCs/>
          <w:sz w:val="26"/>
          <w:szCs w:val="26"/>
        </w:rPr>
        <w:t xml:space="preserve">Overall Assessment</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This is among the more theoretically ambitious papers submitted to this journal in recent years. The synthesis of STS classification theory, institutional political economy, and sustainable finance governance is genuinely novel and represents a significant intellectual contribution. The framework has the potential to reshape how the field thinks about taxonomy governance, and the propositions provide a tractable research programme for empirical follow-up. With careful attention to the operationalization concerns and the regulatory competition literature engagement, this paper should be accepted for publication following major revision.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Times New Roman" w:cs="Times New Roman" w:eastAsia="Times New Roman" w:hAnsi="Times New Roman"/>
      <w:b/>
      <w:bCs/>
      <w:caps/>
      <w:sz w:val="28"/>
      <w:szCs w:val="28"/>
    </w:rPr>
  </w:style>
  <w:style w:type="paragraph" w:styleId="Heading2">
    <w:name w:val="Heading 2"/>
    <w:basedOn w:val="Normal"/>
    <w:next w:val="Normal"/>
    <w:qFormat/>
    <w:pPr>
      <w:spacing w:after="140" w:before="360"/>
      <w:outlineLvl w:val="1"/>
    </w:pPr>
    <w:rPr>
      <w:rFonts w:ascii="Times New Roman" w:cs="Times New Roman" w:eastAsia="Times New Roman" w:hAnsi="Times New Roman"/>
      <w:b/>
      <w:bCs/>
      <w:i/>
      <w:iCs/>
      <w:sz w:val="26"/>
      <w:szCs w:val="26"/>
    </w:rPr>
  </w:style>
  <w:style w:type="paragraph" w:styleId="Heading3">
    <w:name w:val="Heading 3"/>
    <w:basedOn w:val="Normal"/>
    <w:next w:val="Normal"/>
    <w:qFormat/>
    <w:pPr>
      <w:spacing w:after="100" w:before="28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2026-05-25T05:43:14.748Z</dcterms:created>
  <dcterms:modified xsi:type="dcterms:W3CDTF">2026-05-25T05:43:14.762Z</dcterms:modified>
</cp:coreProperties>
</file>

<file path=docProps/custom.xml><?xml version="1.0" encoding="utf-8"?>
<Properties xmlns="http://schemas.openxmlformats.org/officeDocument/2006/custom-properties" xmlns:vt="http://schemas.openxmlformats.org/officeDocument/2006/docPropsVTypes"/>
</file>