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0" w:before="0" w:line="240"/>
      </w:pPr>
      <w:r>
        <w:t xml:space="preserve"/>
      </w:r>
    </w:p>
    <w:p>
      <w:pPr>
        <w:spacing w:after="280" w:before="0" w:line="400"/>
        <w:jc w:val="center"/>
      </w:pPr>
      <w:r>
        <w:rPr>
          <w:rFonts w:ascii="Times New Roman" w:cs="Times New Roman" w:eastAsia="Times New Roman" w:hAnsi="Times New Roman"/>
          <w:b/>
          <w:bCs/>
          <w:sz w:val="34"/>
          <w:szCs w:val="34"/>
        </w:rPr>
        <w:t xml:space="preserve">Classifying the Green Economy: A Theory of Environmental Taxonomies as Epistemic Infrastructures in Sustainable Finance</w:t>
      </w:r>
    </w:p>
    <w:p>
      <w:pPr>
        <w:spacing w:after="0" w:before="0" w:line="240"/>
      </w:pPr>
      <w:r>
        <w:t xml:space="preserve"/>
      </w:r>
    </w:p>
    <w:p>
      <w:pPr>
        <w:spacing w:after="120" w:before="0" w:line="360"/>
        <w:jc w:val="center"/>
      </w:pPr>
      <w:r>
        <w:rPr>
          <w:rFonts w:ascii="Times New Roman" w:cs="Times New Roman" w:eastAsia="Times New Roman" w:hAnsi="Times New Roman"/>
          <w:b/>
          <w:bCs/>
          <w:sz w:val="26"/>
          <w:szCs w:val="26"/>
        </w:rPr>
        <w:t xml:space="preserve">Debasis Pahi</w:t>
      </w:r>
    </w:p>
    <w:p>
      <w:pPr>
        <w:spacing w:after="80" w:before="0" w:line="300"/>
        <w:jc w:val="center"/>
      </w:pPr>
      <w:r>
        <w:rPr>
          <w:rFonts w:ascii="Times New Roman" w:cs="Times New Roman" w:eastAsia="Times New Roman" w:hAnsi="Times New Roman"/>
          <w:i/>
          <w:iCs/>
          <w:sz w:val="22"/>
          <w:szCs w:val="22"/>
        </w:rPr>
        <w:t xml:space="preserve">Assistant Professor (OES-I) &amp; Head of Department</w:t>
      </w:r>
    </w:p>
    <w:p>
      <w:pPr>
        <w:spacing w:after="80" w:before="0" w:line="300"/>
        <w:jc w:val="center"/>
      </w:pPr>
      <w:r>
        <w:rPr>
          <w:rFonts w:ascii="Times New Roman" w:cs="Times New Roman" w:eastAsia="Times New Roman" w:hAnsi="Times New Roman"/>
          <w:i/>
          <w:iCs/>
          <w:sz w:val="22"/>
          <w:szCs w:val="22"/>
        </w:rPr>
        <w:t xml:space="preserve">Department of Commerce, MDC Malkangiri</w:t>
      </w:r>
    </w:p>
    <w:p>
      <w:pPr>
        <w:spacing w:after="80" w:before="0" w:line="300"/>
        <w:jc w:val="center"/>
      </w:pPr>
      <w:r>
        <w:rPr>
          <w:rFonts w:ascii="Times New Roman" w:cs="Times New Roman" w:eastAsia="Times New Roman" w:hAnsi="Times New Roman"/>
          <w:i/>
          <w:iCs/>
          <w:sz w:val="22"/>
          <w:szCs w:val="22"/>
        </w:rPr>
        <w:t xml:space="preserve">Vikram Dev University, Jeypore, Odisha, India</w:t>
      </w:r>
    </w:p>
    <w:p>
      <w:pPr>
        <w:spacing w:after="80" w:before="0" w:line="300"/>
        <w:jc w:val="center"/>
      </w:pPr>
      <w:r>
        <w:rPr>
          <w:rFonts w:ascii="Times New Roman" w:cs="Times New Roman" w:eastAsia="Times New Roman" w:hAnsi="Times New Roman"/>
          <w:i/>
          <w:iCs/>
          <w:sz w:val="22"/>
          <w:szCs w:val="22"/>
        </w:rPr>
        <w:t xml:space="preserve">Email: drdebasis.research@gmail.com</w:t>
      </w:r>
    </w:p>
    <w:p>
      <w:pPr>
        <w:spacing w:after="80" w:before="0" w:line="300"/>
        <w:jc w:val="center"/>
      </w:pPr>
      <w:r>
        <w:rPr>
          <w:rFonts w:ascii="Times New Roman" w:cs="Times New Roman" w:eastAsia="Times New Roman" w:hAnsi="Times New Roman"/>
          <w:i/>
          <w:iCs/>
          <w:sz w:val="22"/>
          <w:szCs w:val="22"/>
        </w:rPr>
        <w:t xml:space="preserve">ORCID / Website: https://drdpklass.github.io/about.html</w:t>
      </w:r>
    </w:p>
    <w:p>
      <w:pPr>
        <w:spacing w:after="0" w:before="0" w:line="240"/>
      </w:pPr>
      <w:r>
        <w:t xml:space="preserve"/>
      </w:r>
    </w:p>
    <w:p>
      <w:pPr>
        <w:spacing w:after="0" w:before="0" w:line="240"/>
      </w:pPr>
      <w:r>
        <w:t xml:space="preserve"/>
      </w:r>
    </w:p>
    <w:p>
      <w:pPr>
        <w:spacing w:after="1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Green Taxonomy; Epistemic Infrastructure; Sustainable Finance; Institutional Theory; Science and Technology Studies; Boundary Objects; Green Capitalism; Greenwashing; ESG Classification</w:t>
      </w:r>
    </w:p>
    <w:p>
      <w:pPr>
        <w:spacing w:after="100" w:before="0" w:line="36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G18; G28; K23; Q56; Q58; O38; M41</w:t>
      </w:r>
    </w:p>
    <w:p>
      <w:pPr>
        <w:spacing w:after="100" w:before="0" w:line="360"/>
        <w:jc w:val="both"/>
      </w:pPr>
      <w:r>
        <w:rPr>
          <w:rFonts w:ascii="Times New Roman" w:cs="Times New Roman" w:eastAsia="Times New Roman" w:hAnsi="Times New Roman"/>
          <w:b/>
          <w:bCs/>
          <w:sz w:val="24"/>
          <w:szCs w:val="24"/>
        </w:rPr>
        <w:t xml:space="preserve">Primary Target Journal: </w:t>
      </w:r>
      <w:r>
        <w:rPr>
          <w:rFonts w:ascii="Times New Roman" w:cs="Times New Roman" w:eastAsia="Times New Roman" w:hAnsi="Times New Roman"/>
          <w:i/>
          <w:iCs/>
          <w:sz w:val="24"/>
          <w:szCs w:val="24"/>
        </w:rPr>
        <w:t xml:space="preserve">Accounting, Organizations and Society</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Journal of Business Ethics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Ecological Economics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Research Policy</w:t>
      </w:r>
    </w:p>
    <w:p>
      <w:pPr>
        <w:pageBreakBefore/>
      </w:pPr>
      <w:r>
        <w:t xml:space="preserve"/>
      </w:r>
    </w:p>
    <w:p>
      <w:pPr>
        <w:pStyle w:val="Heading1"/>
        <w:spacing w:after="200" w:before="480"/>
      </w:pPr>
      <w:r>
        <w:rPr>
          <w:rFonts w:ascii="Times New Roman" w:cs="Times New Roman" w:eastAsia="Times New Roman" w:hAnsi="Times New Roman"/>
          <w:b/>
          <w:bCs/>
          <w:caps/>
          <w:sz w:val="28"/>
          <w:szCs w:val="28"/>
        </w:rPr>
        <w:t xml:space="preserve">Abstract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Green and sustainable finance taxonomies are proliferating globally — from the European Union Taxonomy for Sustainable Activities to China's Green Bond Endorsed Project Catalogue, India's emerging sovereign green framework, and the ISSB's sustainability disclosure standards — yet they are theorized almost exclusively as policy instruments: administrative tools for channeling capital toward environmentally beneficial activities. This paper argues that this framing is conceptually inadequate and analytically misleading. Drawing on Science and Technology Studies, institutional theory, and the political economy of standards, we propose that green taxonomies function primarily as epistemic infrastructures — sociotechnical arrangements that do not merely classify pre-existing environmental performance but actively constitute what "green" means in financial practice, stabilize contested knowledge claims about ecological sustainability, and concentrate epistemic power in the hands of those who design and revise classificatory systems. We introduce the construct of Taxonomic Epistemic Authority (TEA) to capture this power, and develop a four-dimensional theory of how taxonomies generate inclusion effects, exclusion effects, arbitrage effects, and jurisdictional fragmentation effects across the global sustainable finance system. We further theorize three structural pathologies — epistemic closure, boundary rigidity, and legitimacy capture — that arise when epistemic authority over green classification is exercised without adequate institutional accountability. The paper generates nine theoretical propositions with significant implications for taxonomy design, green finance regulation, and the governance of knowledge production in sustainable capitalism. The framework advances scholarship in accounting theory, institutional analysis, financial regulation, and sustainability governance, and provides a rigorous conceptual foundation for evaluating the next generation of green taxonomy reforms.</w:t>
      </w:r>
    </w:p>
    <w:p>
      <w:pPr>
        <w:spacing w:after="0" w:before="0" w:line="240"/>
      </w:pPr>
      <w:r>
        <w:t xml:space="preserve"/>
      </w:r>
    </w:p>
    <w:p>
      <w:pPr>
        <w:pageBreakBefore/>
      </w:pPr>
      <w:r>
        <w:t xml:space="preserve"/>
      </w:r>
    </w:p>
    <w:p>
      <w:pPr>
        <w:pStyle w:val="Heading1"/>
        <w:spacing w:after="200" w:before="480"/>
      </w:pPr>
      <w:r>
        <w:rPr>
          <w:rFonts w:ascii="Times New Roman" w:cs="Times New Roman" w:eastAsia="Times New Roman" w:hAnsi="Times New Roman"/>
          <w:b/>
          <w:bCs/>
          <w:caps/>
          <w:sz w:val="28"/>
          <w:szCs w:val="28"/>
        </w:rPr>
        <w:t xml:space="preserve">I. Introduction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When the European Commission published its Taxonomy Regulation in 2020, it made a claim that has since been replicated by regulators on every inhabited continent: that it is possible, using a system of technical screening criteria, to determine with sufficient precision which economic activities substantially contribute to environmental objectives and which do not. The ambition was administrative — to reduce greenwashing by providing investors with a standardized definition of what counts as a sustainable investment. The consequence, however, was something considerably more consequential: the creation of an official epistemic infrastructure through which the meaning of environmental sustainability in financial markets would henceforth be constituted, policed, and revised. A firm whose activities fall within the taxonomy's positive list can access green bond markets, benefit from favorable regulatory treatment under SFDR, and attract ESG-mandated institutional investment. A firm whose activities fall outside it — regardless of its actual environmental trajectory — is institutionally constructed as non-green. The taxonomy does not describe a pre-existing green economy; it calls one into being.</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That this classificatory power has profound distributional, political, and epistemic consequences is becoming apparent. The EU Taxonomy's controversial inclusion of natural gas and nuclear energy as transitional activities under certain conditions [CITE VERIFY: European Commission Complementary Delegated Act, 2022] generated a political firestorm that exposed the degree to which apparently technical classificatory decisions embody contested normative judgments about transition pathways, intergenerational equity, and the politics of energy security. China's green bond catalogue has been criticized for including activities — notably "clean coal" — that international investors regard as incompatible with Paris-aligned decarbonization [CITE NEEDED: comparative analysis of Chinese and EU green taxonomy divergences, 2021-2024]. India's sovereign green bond framework, launched in 2022, makes classificatory choices that reflect its particular development context and energy transition challenges in ways that cannot be simply mapped onto EU or international categories [CITE NEEDED: RBI / Ministry of Finance India sovereign green bond framework documentation, 2022-2023]. These divergences are not mere technical imperfections awaiting harmonization through better data or international coordination; they are the expression of deep and legitimate disagreements about what sustainable development means, who bears its costs, and whose knowledge systems count as authoritative in defining it.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existing theoretical literature is inadequately equipped to analyze these dynamics. Green taxonomy scholarship sits primarily in environmental law, financial regulation, and policy analysis, where taxonomies are examined as governance instruments — evaluated for their effectiveness in redirecting capital, their consistency with climate science, and their susceptibility to lobbying capture [CITE NEEDED: regulatory capture and green taxonomy literature, 2020-2024]. What is absent is a theory of green taxonomies as epistemic objects — as systems that produce and stabilize knowledge about environmental value — and of the institutional consequences of that epistemic function for power distribution, accountability, and the politics of sustainable capitalism. This absence is the theoretical space this paper occupies.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Our contribution proceeds through three interconnected theoretical moves. First, we draw on the Science and Technology Studies literature on classification [CITE VERIFY: Bowker &amp; Star (1999)] and on the concept of financial infrastructure [CITE VERIFY: Mackenzie (2006); Braun (2016)] to reconceptualize green taxonomies as epistemic infrastructures — sociotechnical systems that do not merely organize information but actively constitute the objects they classify. Second, we develop the construct of Taxonomic Epistemic Authority (TEA) — the institutional capacity to define, revise, and enforce the classificatory boundaries of the green economy — and analyze its distribution across public regulators, standard-setters, private actors, and civil society in different jurisdictional contexts. Third, we develop a four-dimensional theory of taxonomy effects — inclusion effects, exclusion effects, arbitrage effects, and fragmentation effects — and identify three structural pathologies — epistemic closure, boundary rigidity, and legitimacy capture — that arise from the unaccountable exercise of taxonomic epistemic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paper makes multiple scholarly contributions. It advances accounting theory by introducing the concept of taxonomic accounting — the systematized assignment of environmental values through classificatory infrastructure — as a new domain requiring theoretical attention alongside traditional financial accounting. It contributes to institutional theory by developing the concept of epistemic fields — organizational fields structured around the production, contestation, and stabilization of knowledge claims rather than the provision of services or goods — as a novel analytical unit. It contributes to sustainability governance by theorizing the conditions under which green taxonomies function as instruments of genuine environmental transition versus instruments of green capitalism's self-legitimation. And it contributes to political economy by providing a vocabulary for analyzing the geopolitics of green classification — the emerging competition among jurisdictions to establish their taxonomy as the globally dominant epistemic infrastructure for sustainable finance.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remainder of the paper is structured as follows. Section II maps the existing literature on green taxonomies, epistemic infrastructures, and institutional classification, identifying the theoretical void. Section III develops the concept of epistemic infrastructure as applied to green taxonomies and introduces the construct of Taxonomic Epistemic Authority. Section IV presents the four-dimensional theory of taxonomy effects. Section V theorizes the three structural pathologies of unaccountable taxonomic authority. Section VI develops the governance implications and derives nine formal propositions. Section VII addresses limitations and future research directions, and Section VIII concludes.</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II. Literature Review: Three Conversations That Have Not Yet Met</w:t>
      </w:r>
    </w:p>
    <w:p>
      <w:pPr>
        <w:pStyle w:val="Heading2"/>
        <w:spacing w:after="160" w:before="360"/>
      </w:pPr>
      <w:r>
        <w:rPr>
          <w:rFonts w:ascii="Times New Roman" w:cs="Times New Roman" w:eastAsia="Times New Roman" w:hAnsi="Times New Roman"/>
          <w:b/>
          <w:bCs/>
          <w:i/>
          <w:iCs/>
          <w:sz w:val="26"/>
          <w:szCs w:val="26"/>
        </w:rPr>
        <w:t xml:space="preserve">2.1 Green Taxonomy Scholarship: From Policy to Theory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academic study of green and sustainable finance taxonomies is, by the standards of established financial scholarship, nascent. The earliest theoretical treatments approached taxonomies primarily through the lens of regulatory design — asking whether standardized green definitions could reduce information asymmetries in green bond markets [CITE NEEDED: early green bond and taxonomy literature, 2015-2018], and whether the administrative criteria employed were consistent with the best available climate science [CITE NEEDED: climate science and taxonomy technical screening criteria, 2019-2022]. This regulatory perspective generated valuable empirical work on the market effects of taxonomy adoption — documenting greenium effects [CITE NEEDED: greenium and EU taxonomy empirical studies], changes in firm disclosure behavior, and the redistributive consequences of taxonomy boundary decisions for specific sectors and regions — while leaving largely unexamined the deeper question of how taxonomies produce and stabilize the knowledge claims on which they rest.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 second strand of scholarship has approached taxonomies through the lens of greenwashing theory, asking whether taxonomic classifications create opportunities for "green-label capture" — the strategic adoption of green credentials without genuine environmental performance improvement [CITE VERIFY: Daugaard (2020), Accounting, Auditing &amp; Accountability Journal; CITE NEEDED: recent greenwashing and taxonomy literature 2021-2024]. This work has made important contributions by identifying the gap between taxonomic compliance and genuine sustainability, and by documenting the political economy of taxonomy lobbying. However, it remains framed primarily as a problem of intentional misrepresentation — of bad actors exploiting technical definitional ambiguities — rather than as an expression of deeper epistemic contestation about what environmental value means and who has the authority to determine it.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 third and more theoretically ambitious strand has begun to engage with the question of taxonomy governance — asking who should have authority over green classification decisions, through what institutional processes those decisions should be made, and how they should be accountable to affected communities [CITE NEEDED: taxonomy governance and democratic accountability, 2022-2024]. This work is significant because it begins to treat taxonomies as governance objects rather than merely technical instruments, but it has not yet connected to the bodies of theory — STS, institutional theory, political economy of standards — that would give it the conceptual apparatus needed to analyze the deeper epistemic dynamics at stake.</w:t>
      </w:r>
    </w:p>
    <w:p>
      <w:pPr>
        <w:pStyle w:val="Heading2"/>
        <w:spacing w:after="160" w:before="360"/>
      </w:pPr>
      <w:r>
        <w:rPr>
          <w:rFonts w:ascii="Times New Roman" w:cs="Times New Roman" w:eastAsia="Times New Roman" w:hAnsi="Times New Roman"/>
          <w:b/>
          <w:bCs/>
          <w:i/>
          <w:iCs/>
          <w:sz w:val="26"/>
          <w:szCs w:val="26"/>
        </w:rPr>
        <w:t xml:space="preserve">2.2 Science and Technology Studies: The Politics of Classification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richest theoretical resources for understanding what green taxonomies do — as opposed to what they are intended to do — are found not in financial scholarship but in the Science and Technology Studies tradition of classification analysis. Bowker and Star's foundational work [CITE VERIFY: Bowker &amp; Star (1999), Sorting Things Out] established that classification systems are never neutral: they embody the perspectives of those who create them, suppress alternative orderings of the world, and generate material consequences for those who are classified differently because of them. Every classification system, they argued, has "torque" — it twists some lives and not others, benefits some actors and disadvantages others, in ways that are systematically related to the power structures within which the classification system was produced.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analytical tradition has been productively applied to medical classification systems [CITE NEEDED: ICD classification and medical sociology], to the classification of knowledge in academic disciplines [CITE NEEDED: bibliometric classification and field dynamics], and to the classification of environmental risks in regulatory science [CITE VERIFY: Jasanoff (1990), The Fifth Branch]. Its application to financial taxonomies has, surprisingly, been minimal. Yet the parallel is compelling: green taxonomies, like medical diagnostic systems or environmental risk registers, perform the classificatory work of determining which entities belong in which categories, with profound consequences for how resources — capital, in the financial case — are allocated among them. The STS tradition provides the theoretical vocabulary — boundary objects, obligatory passage points, inscription devices — through which the knowledge-political dimensions of this classificatory work can be analyzed with conceptual precision.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Of particular relevance is the concept of boundary objects [CITE VERIFY: Star &amp; Griesemer (1989), Social Studies of Science] — objects that are plastic enough to adapt to local needs and the constraints of the several parties employing them, yet robust enough to maintain a common identity across sites. Green taxonomies function precisely as boundary objects in the sustainable finance ecosystem: they are sufficiently flexible in interpretation to be operationalized across radically different institutional contexts (a European asset manager, an Indian development bank, a Chinese sovereign wealth fund), yet sufficiently standardized to serve as common reference points in cross-border green capital flows. The tension between plasticity and robustness — which the STS literature treats as a productive feature of boundary objects — becomes, in the context of green taxonomy governance, a source of systematic accountability deficits, as we theorize below.</w:t>
      </w:r>
    </w:p>
    <w:p>
      <w:pPr>
        <w:pStyle w:val="Heading2"/>
        <w:spacing w:after="160" w:before="360"/>
      </w:pPr>
      <w:r>
        <w:rPr>
          <w:rFonts w:ascii="Times New Roman" w:cs="Times New Roman" w:eastAsia="Times New Roman" w:hAnsi="Times New Roman"/>
          <w:b/>
          <w:bCs/>
          <w:i/>
          <w:iCs/>
          <w:sz w:val="26"/>
          <w:szCs w:val="26"/>
        </w:rPr>
        <w:t xml:space="preserve">2.3 Institutional Theory and the Political Economy of Standards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Institutional theory, particularly in its neo-institutional and comparative institutionalist variants, provides the third theoretical pillar for this paper's framework. The political economy of standards — the analysis of how technical standards emerge from, reflect, and reproduce power relations in organizational fields — has a distinguished scholarly lineage [CITE VERIFY: Mattli &amp; Buthe (2003), World Politics; CITE VERIFY: Brunsson &amp; Jacobsson (2000), A World of Standards]. This literature demonstrates that the ability to set standards is a form of institutional power: standards define the terms on which competition occurs, the criteria by which performance is evaluated, and the categories through which organizational legitimacy is constructed. Standard-setters thus exercise a form of field-level governance that is analytically distinct from, and often more consequential than, the governance exercised through formal regulatory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application of this insight to green taxonomies is direct and significant. Green taxonomy-setting is standard-setting in precisely the sense this literature describes — it defines the terms on which sustainable finance competition occurs, the criteria by which environmental performance is evaluated, and the categories through which green legitimacy is constructed. The actors that exercise taxonomy-setting authority — the European Commission's Platform on Sustainable Finance, the ISSB, China's green standards committees, SEBI in India — are engaged in field-level governance whose institutional dynamics follow recognizable patterns: negotiation among interests, legitimation through expertise claims, incremental revision under pressure, and periodic boundary crises when the classificatory system encounters novel entities that its existing categories cannot accommodate.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What the political economy of standards literature has not yet theorized — and what this paper contributes — is the specifically epistemic dimension of taxonomy authority. Standards in most industrial and technical domains define performance thresholds or interoperability requirements; their epistemic content is secondary to their coordination function. Green taxonomies, by contrast, are fundamentally epistemic objects: their primary function is not to coordinate behavior but to constitute knowledge — to determine what counts as environmental value, how it is measured, and whose environmental knowledge is treated as authoritative. This epistemic function distinguishes green taxonomy governance from conventional standard-setting in ways that require new theoretical constructs.</w:t>
      </w:r>
    </w:p>
    <w:p>
      <w:pPr>
        <w:pStyle w:val="Heading2"/>
        <w:spacing w:after="160" w:before="360"/>
      </w:pPr>
      <w:r>
        <w:rPr>
          <w:rFonts w:ascii="Times New Roman" w:cs="Times New Roman" w:eastAsia="Times New Roman" w:hAnsi="Times New Roman"/>
          <w:b/>
          <w:bCs/>
          <w:i/>
          <w:iCs/>
          <w:sz w:val="26"/>
          <w:szCs w:val="26"/>
        </w:rPr>
        <w:t xml:space="preserve">2.4 The Absent Theory: Epistemic Infrastructure in Finance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three bodies of literature reviewed above converge on a shared theoretical lacuna: none has yet developed a general account of how green taxonomies function as epistemic infrastructures — as sociotechnical systems that produce, stabilize, and institutionalize knowledge about environmental value in financial markets. The policy literature treats taxonomies as information tools; the STS literature provides the conceptual vocabulary for analyzing classificatory politics but has not been applied systematically to financial governance; and the institutional theory literature explains the power dynamics of standard-setting without theorizing the specifically epistemic character of green classification authority. The present paper brings these three traditions into productive synthesis, generating a theory whose conceptual novelty exceeds what any of the constituent traditions could produce independently. The contribution is architectonic: it builds a theoretical edifice in the space between three established literatures, generating constructs and propositions that are genuinely new rather than merely applied.</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III. Theoretical Foundations: Green Taxonomies as Epistemic Infrastructures</w:t>
      </w:r>
    </w:p>
    <w:p>
      <w:pPr>
        <w:pStyle w:val="Heading2"/>
        <w:spacing w:after="160" w:before="360"/>
      </w:pPr>
      <w:r>
        <w:rPr>
          <w:rFonts w:ascii="Times New Roman" w:cs="Times New Roman" w:eastAsia="Times New Roman" w:hAnsi="Times New Roman"/>
          <w:b/>
          <w:bCs/>
          <w:i/>
          <w:iCs/>
          <w:sz w:val="26"/>
          <w:szCs w:val="26"/>
        </w:rPr>
        <w:t xml:space="preserve">3.1 What Makes an Infrastructure Epistemic</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concept of infrastructure, in its STS usage, carries a set of theoretical properties that distinguish it from ordinary technological artifacts [CITE VERIFY: Star &amp; Ruhleder (1996)]. Infrastructures are embedded: they sink into other systems and practices, becoming the background conditions against which foreground activities occur. They are transparent in use: we do not notice them when they work, only when they fail. They are relationally defined: something is an infrastructure relative to organized practice, not in itself. And they have reach beyond single events: they are shared by a community of users, not individual tools.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To these well-established properties, we add a fifth that is central to our argument: infrastructures that organize knowledge production and stabilization are specifically epistemic. An epistemic infrastructure does not merely organize access to knowledge that exists independently of it; it constitutes the categories, standards, and criteria through which some observations become facts and others remain mere claims. Medical diagnostic infrastructure is epistemic in this sense: the criteria in the Diagnostic and Statistical Manual do not describe diseases that exist independently; they constitute the categories through which clinical phenomena become diagnosable conditions [CITE NEEDED: Hacking (2006) on looping effects and classification]. National accounting systems are epistemic in this sense: GDP does not measure a pre-existing quantity called "output" — it constitutes a particular way of aggregating economic activities that renders some visible and others invisible [CITE NEEDED: Coyle (2014) on GDP history].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Green taxonomies are epistemic infrastructures in precisely this sense. The question "is this activity green?" does not have an answer that exists independently of a classificatory system; it is constituted by the technical screening criteria, the substantive contribution thresholds, the do-no-significant-harm provisions, and the minimum social safeguards that a given taxonomy specifies. Before a taxonomy existed, there was no determinate fact about whether a geothermal energy project in Indonesia or a sustainable forestry operation in the Amazon was a green investment; the taxonomy creates the category into which such activities are sorted. This constitutive function is obscured by the language of "alignment" — the common claim that a taxonomy "aligns" finance with environmental objectives — which implies that the environmental objectives have a determinate content that the taxonomy merely measures and organizes. Our theoretical claim is that this misrepresents what taxonomies actually do. They do not align; they constitute.</w:t>
      </w:r>
    </w:p>
    <w:p>
      <w:pPr>
        <w:pStyle w:val="Heading2"/>
        <w:spacing w:after="160" w:before="360"/>
      </w:pPr>
      <w:r>
        <w:rPr>
          <w:rFonts w:ascii="Times New Roman" w:cs="Times New Roman" w:eastAsia="Times New Roman" w:hAnsi="Times New Roman"/>
          <w:b/>
          <w:bCs/>
          <w:i/>
          <w:iCs/>
          <w:sz w:val="26"/>
          <w:szCs w:val="26"/>
        </w:rPr>
        <w:t xml:space="preserve">3.2 Taxonomic Epistemic Authority: Definition and Structure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We introduce the construct of Taxonomic Epistemic Authority (TEA) to name the institutional capacity to define, revise, maintain, and enforce the classificatory boundaries of the green economy in sustainable finance. TEA is an analytic construct, not a description of any single institution's formal mandate; in practice, it is distributed — sometimes unevenly, sometimes contentiously — across multiple actors in overlapping and competing ways. Understanding how TEA is distributed, concentrated, contested, and legitimated is the central analytical task for a theory of green taxonomy governance.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TEA comprises three analytically distinct components. The first is definitional authority — the power to determine the criteria by which activities are classified as green, amber, or non-green, including the choice of environmental objectives, technical screening thresholds, and the treatment of transitional and enabling activities. The second is revisionary authority — the power to amend classificatory criteria in response to new scientific evidence, technological change, political pressure, or shifts in international standards. The third is enforcement authority — the power to determine what consequences attach to classification, including access to green finance instruments, regulatory relief, and index inclusion, and to sanction actors who misrepresent their taxonomic status.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 the European Union, TEA is formally distributed across the European Commission (definitional and revisionary authority), national competent authorities (enforcement authority), and the Platform on Sustainable Finance (advisory authority with significant de facto definitional influence). In China, TEA is concentrated in state institutions including the People's Bank of China and the National Development and Reform Commission, with limited formal role for civil society or independent scientific bodies. In India, TEA over sovereign green bonds rests primarily with the Ministry of Finance and the Reserve Bank of India, with SEBI's BRSR framework exercising parallel TEA over listed company sustainability disclosure. These different distributions of TEA are not merely administrative details; they generate systematically different patterns of inclusion, exclusion, and legitimation in the green economy that each taxonomy constitutes.</w:t>
      </w:r>
    </w:p>
    <w:p>
      <w:pPr>
        <w:pStyle w:val="Heading2"/>
        <w:spacing w:after="160" w:before="360"/>
      </w:pPr>
      <w:r>
        <w:rPr>
          <w:rFonts w:ascii="Times New Roman" w:cs="Times New Roman" w:eastAsia="Times New Roman" w:hAnsi="Times New Roman"/>
          <w:b/>
          <w:bCs/>
          <w:i/>
          <w:iCs/>
          <w:sz w:val="26"/>
          <w:szCs w:val="26"/>
        </w:rPr>
        <w:t xml:space="preserve">3.3 The Performative Dimension: Taxonomy as Green Economy Constitution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performative theory of financial markets [CITE VERIFY: Callon (1998); MacKenzie, Muniesa &amp; Siu (2007)] argues that economic theories and financial models do not merely describe market realities — they actively shape them by constituting the categories, instruments, and practices through which market participants act. This performative insight applies with particular force to green taxonomies. When a taxonomy specifies that a solar energy installation above a certain efficiency threshold is a green activity eligible for green bond financing, it does not merely describe pre-existing solar installations as green; it creates the category of "taxonomy-aligned solar investment" as a financial object that did not previously exist, with associated pricing, regulatory treatment, and investment mandate implications that reshape investment flows, firm strategies, and technology deployment patterns.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performative function has a counter-performative dimension that is theoretically equally significant. When a taxonomy excludes an activity — classifying it as not substantially contributing to environmental objectives or as causing significant harm — it performs that exclusion in ways that materially affect the excluded activity's access to capital, regardless of whether the classificatory judgment accurately represents the activity's genuine environmental profile. The scientific uncertainty around many environmental impact assessments, the path-dependence of technical screening criteria, and the political dynamics of taxonomy design mean that some exclusions will be empirically well-grounded, some will be contestable at the margins, and some will systematically disadvantage activities in particular geographies, technology generations, or institutional contexts for reasons that are as much political as scientific. A theory of green taxonomy governance must account for this counter-performative power — the capacity of taxonomic classification to harm as well as to enable — as a central governance concern.</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IV. A Four-Dimensional Theory of Green Taxonomy Effects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Having established the theoretical foundations, we now develop a systematic account of the effects that green taxonomies generate as epistemic infrastructures. We identify four analytically distinct effect-dimensions, each operating through different institutional mechanisms and generating different governance challenges.</w:t>
      </w:r>
    </w:p>
    <w:p>
      <w:pPr>
        <w:pStyle w:val="Heading2"/>
        <w:spacing w:after="160" w:before="360"/>
      </w:pPr>
      <w:r>
        <w:rPr>
          <w:rFonts w:ascii="Times New Roman" w:cs="Times New Roman" w:eastAsia="Times New Roman" w:hAnsi="Times New Roman"/>
          <w:b/>
          <w:bCs/>
          <w:i/>
          <w:iCs/>
          <w:sz w:val="26"/>
          <w:szCs w:val="26"/>
        </w:rPr>
        <w:t xml:space="preserve">4.1 Inclusion Effects: The Constitution of Green Legitimacy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most direct and intended effect of green taxonomies is the constitutive inclusion of activities, firms, and instruments within the domain of legitimate green finance. Inclusion within a taxonomy's positive list is not merely an administrative designation; it generates what we term green legitimacy — a form of institutional recognition that translates into access to green capital markets, preferential regulatory treatment, and participation in green economy narratives that shape stakeholder expectations and reputational assets. This legitimacy is constructed, not discovered: it attaches to activities that satisfy the taxonomy's definitional criteria, whether or not those criteria accurately capture environmental value in any scientifically robust sense.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institutional dynamics of inclusion effects are more complex than their apparent simplicity suggests. Inclusion within a taxonomy creates path-dependent investment patterns: once investors, lenders, and regulators have calibrated their systems around a specific taxonomy's categories, the revision of those categories — even when scientifically warranted — encounters significant institutional resistance from actors whose strategies are premised on the existing classification. This path dependency is reinforced by the coordinating function of taxonomies as boundary objects: the common reference point that taxonomies provide is valuable precisely because of its stability, creating institutional incentives to preserve existing categories even when their scientific or normative foundations are contested.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Inclusion effects also generate strategic behavior that may subvert the taxonomy's environmental objectives. Firms whose activities are close to the boundary of taxonomic inclusion have strong incentives to adjust their activities — or, more commonly, their disclosure practices and activity-boundary definitions — to achieve taxonomic alignment, even when the resulting adjustments are more cosmetic than substantive. This strategic manipulation of category membership, which we term taxonomic gaming, is the epistemic analog of earnings management in financial accounting: it exploits the gap between the classificatory system and the underlying reality it purports to represent, without technically violating the system's rules.</w:t>
      </w:r>
    </w:p>
    <w:p>
      <w:pPr>
        <w:pStyle w:val="Heading2"/>
        <w:spacing w:after="160" w:before="360"/>
      </w:pPr>
      <w:r>
        <w:rPr>
          <w:rFonts w:ascii="Times New Roman" w:cs="Times New Roman" w:eastAsia="Times New Roman" w:hAnsi="Times New Roman"/>
          <w:b/>
          <w:bCs/>
          <w:i/>
          <w:iCs/>
          <w:sz w:val="26"/>
          <w:szCs w:val="26"/>
        </w:rPr>
        <w:t xml:space="preserve">4.2 Exclusion Effects: The Construction of Non-Green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less theorized but analytically equally significant counterpart to inclusion effects is the set of exclusion effects generated by the boundary between green and non-green activities. Exclusion from a taxonomy's positive list is not a passive absence; it is an active institutional construction of non-green status that carries material and reputational consequences for excluded activities, and whose epistemic foundations deserve as much theoretical scrutiny as those of inclusion.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Exclusion effects operate through three distinct channels. The first is capital access exclusion: activities outside the taxonomy boundary cannot access the green bond market, are excluded from ESG-mandated investment mandates that incorporate taxonomic criteria, and face higher costs of capital in financial systems where taxonomic alignment is becoming a criterion for regulatory risk-weighting. The second is regulatory signaling: in jurisdictions where taxonomies are formally integrated into regulatory frameworks — as the EU Taxonomy is through SFDR and CSRD — exclusion from the taxonomy constitutes a regulatory signal that an activity is not contributing to the sustainable finance transition, with consequent effects on supervisory attention, liability exposure, and political support. The third is epistemic stigmatization: in a social context where green credentials are increasingly salient for corporate legitimacy, exclusion from formal green taxonomies carries reputational consequences that affect relationships with employees, customers, supply chain partners, and civil society, independent of the activity's actual environmental performance.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political economy of exclusion effects generates a specific distributional concern that we term taxonomic injustice — the systematic exclusion of activities, sectors, and geographies that are essential components of just and equitable environmental transitions, because their environmental contribution does not conform to the definitional criteria established by taxonomy-setters operating from different contexts, priorities, and knowledge systems. Agricultural transformation pathways in South and Southeast Asia, indigenous land management practices with well-documented carbon sequestration effects, and low-income country industrial modernization projects are all potentially subject to taxonomic exclusion that reflects the institutional perspectives of high-income-country taxonomy designers rather than the genuine environmental merits of the excluded activities.</w:t>
      </w:r>
    </w:p>
    <w:p>
      <w:pPr>
        <w:pStyle w:val="Heading2"/>
        <w:spacing w:after="160" w:before="360"/>
      </w:pPr>
      <w:r>
        <w:rPr>
          <w:rFonts w:ascii="Times New Roman" w:cs="Times New Roman" w:eastAsia="Times New Roman" w:hAnsi="Times New Roman"/>
          <w:b/>
          <w:bCs/>
          <w:i/>
          <w:iCs/>
          <w:sz w:val="26"/>
          <w:szCs w:val="26"/>
        </w:rPr>
        <w:t xml:space="preserve">4.3 Arbitrage Effects: The Exploitation of Epistemic Gaps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proliferation of multiple, divergent green taxonomy regimes across jurisdictions creates a third class of effects that we term arbitrage effects — the strategic exploitation of definitional differences across taxonomy regimes to access green capital at lower environmental performance thresholds than any individual taxonomy would permit. Arbitrage effects arise when an activity that is excluded under one taxonomy can be classified as green under another, enabling issuers to access green capital markets by choosing the most favorable regulatory jurisdiction or disclosure framework, without any genuine difference in environmental performance.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Arbitrage effects are not merely a technical coordination problem amenable to international taxonomy harmonization; they are an expression of the deeper epistemic contestation that taxonomies embody. The divergence between the EU Taxonomy and the Chinese Green Bond Catalogue over the treatment of fossil fuel transition activities, for instance, does not reflect a technical error that better scientific data could resolve; it reflects genuinely different — and to some extent legitimately different — judgments about what constitutes an adequate transition trajectory given different levels of development, energy security constraints, and institutional capacities. Treating this divergence purely as a harmonization problem misses the legitimate epistemic and political differences that underlie it.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Nevertheless, arbitrage effects generate governance challenges that cannot be addressed by appeal to epistemic pluralism alone. When the divergence between taxonomy regimes creates systematic incentives for issuers to concentrate green capital raising in the most permissive jurisdiction, regardless of their actual environmental practice, the collective credibility of the global green finance architecture is undermined, and the capital mis-allocation consequences fall disproportionately on investors and communities who trusted that green labels carried consistent environmental content. Managing the tension between legitimate epistemic pluralism and the prevention of harmful arbitrage is a central challenge for the global governance of green taxonomies that this paper's framework is designed to address.</w:t>
      </w:r>
    </w:p>
    <w:p>
      <w:pPr>
        <w:pStyle w:val="Heading2"/>
        <w:spacing w:after="160" w:before="360"/>
      </w:pPr>
      <w:r>
        <w:rPr>
          <w:rFonts w:ascii="Times New Roman" w:cs="Times New Roman" w:eastAsia="Times New Roman" w:hAnsi="Times New Roman"/>
          <w:b/>
          <w:bCs/>
          <w:i/>
          <w:iCs/>
          <w:sz w:val="26"/>
          <w:szCs w:val="26"/>
        </w:rPr>
        <w:t xml:space="preserve">4.4 Fragmentation Effects: The Geopolitics of Green Classification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fourth dimension of taxonomy effects — fragmentation effects — concerns the macro-level consequences of competing taxonomy regimes for the global architecture of sustainable finance and for international climate cooperation. Fragmentation effects arise when the proliferation of divergent national and regional taxonomy regimes creates incompatibilities in the green finance infrastructure that impose transaction costs on cross-border green capital flows, reduce the liquidity and depth of global green bond markets, and create obstacles to the scale of international climate finance that the Paris Agreement objectives require.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Fragmentation effects have a geopolitical dimension that is only beginning to receive theoretical attention. The competition to establish a nationally or regionally dominant green taxonomy is not merely a technical coordination contest; it is a form of economic statecraft through which major jurisdictions seek to shape the global rules of the green economy in ways that reflect their industrial interests, technological comparative advantages, and strategic priorities. The EU's aggressive export of its taxonomy framework through trade agreements, third-country equivalence frameworks, and international standard-setting bodies represents a form of green regulatory imperialism — the use of market access conditions to impose European definitional standards on non-European economies as a condition of participation in EU-oriented green capital flows [CITE NEEDED: EU taxonomy third-country equivalence and green imperialism debates, 2022-2024]. The emergence of competing Chinese and American green finance architectures represents a potential bifurcation of the global green economy along geopolitical lines, with profound implications for the coherence and adequacy of global climate finance.</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V. Three Structural Pathologies of Taxonomic Epistemic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four-dimensional theory of taxonomy effects developed in Section IV maps the institutional consequences of green taxonomies as epistemic infrastructures. Building on this map, we now identify three structural pathologies — recurrent, self-reinforcing institutional failures — that arise when Taxonomic Epistemic Authority is exercised without adequate accountability mechanisms. These pathologies are not contingent policy failures; they are structural features of epistemic infrastructure governance that require systematic theoretical treatment.</w:t>
      </w:r>
    </w:p>
    <w:p>
      <w:pPr>
        <w:pStyle w:val="Heading2"/>
        <w:spacing w:after="160" w:before="360"/>
      </w:pPr>
      <w:r>
        <w:rPr>
          <w:rFonts w:ascii="Times New Roman" w:cs="Times New Roman" w:eastAsia="Times New Roman" w:hAnsi="Times New Roman"/>
          <w:b/>
          <w:bCs/>
          <w:i/>
          <w:iCs/>
          <w:sz w:val="26"/>
          <w:szCs w:val="26"/>
        </w:rPr>
        <w:t xml:space="preserve">5.1 Epistemic Closure: When the Taxonomy Becomes the Reality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first structural pathology is epistemic closure — the condition in which the classificatory categories of a green taxonomy become so institutionally entrenched that they are treated as natural descriptions of environmental reality rather than contingent, contestable social constructions. Epistemic closure occurs when the feedback loop between taxonomy and practice reaches a point where questioning the taxonomy's categories requires challenging the entire institutional architecture that has been built around them — investment mandates, regulatory frameworks, accounting standards, reporting obligations, index methodologies — making critique practically costly and institutionally marginalized.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Epistemic closure has a specific mechanism in the green taxonomy context that we call performative lock-in: as more institutional actors calibrate their practices around a taxonomy's categories, the categories become self-fulfilling. The activities that the taxonomy defines as green attract the capital that makes them financially viable; the activities it defines as non-green are starved of capital in ways that confirm their non-green status through market outcomes, even if the original classification was contestable. The taxonomy does not merely reflect the green economy; it increasingly produces it — a performative dynamic that closes off alternative visions of what a sustainable economy might look like.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implication of epistemic closure is that green taxonomy revision processes must be institutionally designed to resist the naturalization of existing categories. This requires formal mechanisms for periodic fundamental review — not merely technical updating of screening thresholds — in which the basic environmental objectives and categorization principles of the taxonomy are open to renegotiation in light of new scientific evidence, changed political contexts, and evolving normative understandings of sustainability.</w:t>
      </w:r>
    </w:p>
    <w:p>
      <w:pPr>
        <w:pStyle w:val="Heading2"/>
        <w:spacing w:after="160" w:before="360"/>
      </w:pPr>
      <w:r>
        <w:rPr>
          <w:rFonts w:ascii="Times New Roman" w:cs="Times New Roman" w:eastAsia="Times New Roman" w:hAnsi="Times New Roman"/>
          <w:b/>
          <w:bCs/>
          <w:i/>
          <w:iCs/>
          <w:sz w:val="26"/>
          <w:szCs w:val="26"/>
        </w:rPr>
        <w:t xml:space="preserve">5.2 Boundary Rigidity: The Pathology of False Precision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second structural pathology is boundary rigidity — the failure of taxonomic categories to accommodate the genuine complexity and contextual variability of environmental performance, producing a form of false precision that distorts the information environment for sustainable finance. Boundary rigidity arises from the institutional demands placed on taxonomies as governance instruments: to serve their coordination function, taxonomies must provide clear, binary classifications — green/not green, aligned/not aligned — that enable administrative processing, compliance checking, and index construction. This demand for binary clarity is in fundamental tension with the genuine complexity of environmental performance, which is multi-dimensional, context-dependent, temporally variable, and subject to deep scientific uncertainty.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false precision generated by rigid categorical boundaries has three specific consequences. First, it creates cliff-edge effects: activities marginally below a technical screening threshold are institutionally treated as equivalent to activities far below it, regardless of the magnitude of the environmental difference. Second, it suppresses contextual information: a geothermal project in Iceland and a geothermal project in the Philippines may have radically different environmental profiles due to differences in geology, water scarcity, indigenous land rights, and ecosystem sensitivity, but a binary taxonomy treats them identically once they satisfy the same technical screening criteria. Third, it creates disincentives for genuine environmental improvement among excluded activities: a firm whose activities fall below the taxonomy's threshold has limited incentive to make marginal environmental improvements if those improvements do not bring it over the threshold and thus do not change its taxonomic status.</w:t>
      </w:r>
    </w:p>
    <w:p>
      <w:pPr>
        <w:pStyle w:val="Heading2"/>
        <w:spacing w:after="160" w:before="360"/>
      </w:pPr>
      <w:r>
        <w:rPr>
          <w:rFonts w:ascii="Times New Roman" w:cs="Times New Roman" w:eastAsia="Times New Roman" w:hAnsi="Times New Roman"/>
          <w:b/>
          <w:bCs/>
          <w:i/>
          <w:iCs/>
          <w:sz w:val="26"/>
          <w:szCs w:val="26"/>
        </w:rPr>
        <w:t xml:space="preserve">5.3 Legitimacy Capture: The Political Economy of Green Definition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third and analytically most significant structural pathology is legitimacy capture — the process through which powerful economic actors colonize the taxonomy revision process to secure classificatory outcomes that serve their economic interests under the cover of technical expertise and scientific authority. Legitimacy capture is the green taxonomy analog of regulatory capture [CITE VERIFY: Stigler (1971), Bell Journal of Economics] — the well-documented tendency of regulated industries to influence the regulatory agencies that oversee them — but with a specifically epistemic dimension: capture occurs not primarily through the manipulation of enforcement discretion but through the definition of the categories against which compliance is measured.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Legitimacy capture in taxonomy governance operates through several institutional mechanisms. The technical complexity of taxonomy design creates knowledge asymmetries between regulators and industry actors, enabling industry participants in taxonomy advisory bodies to shape definitional choices under the guise of technical expertise. The long time horizons of taxonomy revision processes create opportunities for sustained lobbying that can incrementally reshape definitional boundaries in ways that are difficult to detect. The political economy of just transition creates predictable alliances between high-employment, high-emission incumbents — coal regions, steel industries, petrochemical complexes — and government actors concerned with distributional consequences of green transitions, producing political coalitions that systematically weaken taxonomic ambition.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challenge posed by legitimacy capture is distinctive because it cannot be addressed simply by increasing the scientific rigor of taxonomy design. The contestation about green classification is not primarily a scientific controversy — it is a political controversy about whose values, whose development trajectories, and whose environmental knowledge systems should be treated as authoritative. Addressing legitimacy capture requires institutional mechanisms that ensure the representation of non-industry voices — civil society, indigenous communities, developing country governments, future generations — in taxonomy governance, not merely procedural mechanisms for filtering out scientifically invalid claims.</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VI. Governance Theory: Conditions for Accountable Taxonomic Epistemic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structural pathologies identified in Section V are not inevitable features of green taxonomy governance; they are tendencies whose severity depends on institutional design choices that governance theory can specify. In this section, we develop a governance theory of accountable TEA — the institutional conditions under which Taxonomic Epistemic Authority can be exercised in ways that are epistemically legitimate, distributional fair, and dynamically adaptive — and derive nine formal propositions that generate an empirical research programme.</w:t>
      </w:r>
    </w:p>
    <w:p>
      <w:pPr>
        <w:pStyle w:val="Heading2"/>
        <w:spacing w:after="160" w:before="360"/>
      </w:pPr>
      <w:r>
        <w:rPr>
          <w:rFonts w:ascii="Times New Roman" w:cs="Times New Roman" w:eastAsia="Times New Roman" w:hAnsi="Times New Roman"/>
          <w:b/>
          <w:bCs/>
          <w:i/>
          <w:iCs/>
          <w:sz w:val="26"/>
          <w:szCs w:val="26"/>
        </w:rPr>
        <w:t xml:space="preserve">6.1 The Principle of Epistemic Pluralism</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first foundational principle of accountable TEA is epistemic pluralism — the institutional commitment to preserving multiple, competing knowledge systems in the governance of green classification, rather than prematurely closing the epistemic field around a single set of definitional criteria. Epistemic pluralism does not imply that all classificatory claims are equally valid, or that scientific evidence should be treated as merely one input among many in taxonomy design. It implies that the governance institutions through which scientific evidence is translated into taxonomic criteria must be designed to accommodate the genuine plurality of legitimate perspectives — scientific, cultural, developmental, political — on what environmental sustainability means and requires, rather than treating any single perspective as epistemically authoritative.</w:t>
      </w:r>
    </w:p>
    <w:p>
      <w:pPr>
        <w:pStyle w:val="Heading2"/>
        <w:spacing w:after="160" w:before="360"/>
      </w:pPr>
      <w:r>
        <w:rPr>
          <w:rFonts w:ascii="Times New Roman" w:cs="Times New Roman" w:eastAsia="Times New Roman" w:hAnsi="Times New Roman"/>
          <w:b/>
          <w:bCs/>
          <w:i/>
          <w:iCs/>
          <w:sz w:val="26"/>
          <w:szCs w:val="26"/>
        </w:rPr>
        <w:t xml:space="preserve">6.2 The Principle of Revisability Without Instability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second foundational principle addresses the core institutional tension of taxonomy governance: between the need for stable, predictable classificatory categories that enable long-term investment planning and the need for dynamic revision mechanisms that keep taxonomy content aligned with evolving scientific evidence, technological change, and normative understanding. We term this the revisability without instability principle — the institutional design challenge of creating taxonomy governance systems that are genuinely open to revision on the merits while providing adequate predictability for investment planning horizons.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Resolving this tension requires distinguishing between different types of revision with different institutional processes and protections. Technical parameter updates — changes in efficiency thresholds, emission factors, or performance benchmarks reflecting updated scientific data — can and should occur more frequently and through more streamlined processes than categorical revisions — changes in whether an activity is included in the positive list at all. Categorical revisions implicate the deeper political economy of the taxonomy and require more extensive consultation, longer transition periods, and stronger evidentiary standards. A taxonomy governance architecture that treats all revisions as equivalent will either be too rigid (treating technical updates as categorical changes) or too volatile (treating categorical changes as technical updates), and in either case will fail to provide the institutional conditions for long-term sustainable investment.</w:t>
      </w:r>
    </w:p>
    <w:p>
      <w:pPr>
        <w:pStyle w:val="Heading2"/>
        <w:spacing w:after="160" w:before="360"/>
      </w:pPr>
      <w:r>
        <w:rPr>
          <w:rFonts w:ascii="Times New Roman" w:cs="Times New Roman" w:eastAsia="Times New Roman" w:hAnsi="Times New Roman"/>
          <w:b/>
          <w:bCs/>
          <w:i/>
          <w:iCs/>
          <w:sz w:val="26"/>
          <w:szCs w:val="26"/>
        </w:rPr>
        <w:t xml:space="preserve">6.3 The Principle of Distributional Reflexivity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third foundational principle addresses the distributional dimension of taxonomic epistemic authority: the obligation of taxonomy governance institutions to systematically analyze, disclose, and respond to the distributional consequences of classificatory decisions across geographies, sectors, technology generations, and income groups. We term this distributional reflexivity — the institutional capacity to turn the lens of analysis on the taxonomy itself, examining whose interests are served and whose are undermined by each definitional choice.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Distributional reflexivity requires the institutionalization of ex-ante distributional impact assessment — comparable to the equity impact assessments conducted for major policy interventions in development contexts — as a mandatory component of all significant taxonomy design and revision processes. Such assessments must address both the direct distributional effects of inclusion and exclusion decisions and the indirect effects on the global distribution of green capital flows, the relative cost of sustainable finance in different jurisdictions, and the extent to which taxonomic standards reflect the development priorities and knowledge systems of different parts of the world.</w:t>
      </w:r>
    </w:p>
    <w:p>
      <w:pPr>
        <w:pStyle w:val="Heading2"/>
        <w:spacing w:after="160" w:before="360"/>
      </w:pPr>
      <w:r>
        <w:rPr>
          <w:rFonts w:ascii="Times New Roman" w:cs="Times New Roman" w:eastAsia="Times New Roman" w:hAnsi="Times New Roman"/>
          <w:b/>
          <w:bCs/>
          <w:i/>
          <w:iCs/>
          <w:sz w:val="26"/>
          <w:szCs w:val="26"/>
        </w:rPr>
        <w:t xml:space="preserve">6.4 The Principle of Accountable Epistemic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fourth foundational principle — accountable epistemic authority — addresses the governance of the taxonomy-setting process itself: the institutional mechanisms through which the exercise of TEA can be scrutinized, contested, and if necessary corrected by actors other than those who hold primary definitional authority. This principle draws on the multi-level accountability theory developed in our companion work on algorithmic ESG governance [cross-reference to companion paper], extending it from the domain of algorithmic intermediaries to the domain of classificatory systems.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Accountable epistemic authority requires three institutional conditions. The first is audit legibility: taxonomy governance institutions must maintain documented records of the evidence, reasoning, and stakeholder inputs that supported each significant definitional decision, in a form that enables external scrutiny and contestation. The second is contestation rights: affected actors — firms, civil society organizations, national governments — must have formal institutional pathways through which they can challenge specific taxonomic classifications and receive reasoned responses. The third is meta-governance oversight: there must be an institutional body — whether a parliamentary committee, an independent review panel, or a multilateral governance forum — with the authority to review the taxonomy governance process itself, not merely its outputs, and to require process reforms when the process has failed to meet appropriate standards of inclusivity, evidentiary rigor, or procedural fairness.</w:t>
      </w:r>
    </w:p>
    <w:p>
      <w:pPr>
        <w:pStyle w:val="Heading2"/>
        <w:spacing w:after="160" w:before="360"/>
      </w:pPr>
      <w:r>
        <w:rPr>
          <w:rFonts w:ascii="Times New Roman" w:cs="Times New Roman" w:eastAsia="Times New Roman" w:hAnsi="Times New Roman"/>
          <w:b/>
          <w:bCs/>
          <w:i/>
          <w:iCs/>
          <w:sz w:val="26"/>
          <w:szCs w:val="26"/>
        </w:rPr>
        <w:t xml:space="preserve">6.5 The Geopolitical Principle: Pluralism Without Fragmentation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fifth and final governance principle addresses the global dimension of taxonomy governance: the need to manage the tension between legitimate epistemic pluralism across jurisdictions — the right of different societies to make different judgments about sustainable development pathways — and the prevention of harmful regulatory arbitrage and geopolitical fragmentation that undermine the coherence of the global green finance architecture. We term this the pluralism without fragmentation principle — the institutional design challenge of creating a global taxonomy governance system that is epistemically inclusive without being definitionally incoherent.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resolution of this tension requires a multi-tier architecture for global taxonomy governance that distinguishes between: a universal minimum floor — a set of activities so environmentally harmful that no jurisdiction's taxonomy should classify them as green, defined with sufficient precision and scientific grounding to resist political manipulation; a common framework layer — a set of methodological principles and procedural standards for taxonomy development that all national and regional taxonomies must satisfy while remaining free to make different substantive classificatory choices within those principles; and a diversity layer — the space within which genuine, legitimate epistemic differences about sustainable development can be expressed in different national and regional taxonomies without constituting harmful arbitrage. A global governance architecture that operates at all three tiers, through multilateral institutions with appropriate mandates and capacities, represents the theoretical ideal toward which green taxonomy governance reform should aspire.</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VII. Theoretical Synthesis: The Taxonomic Epistemic Infrastructure Accountability (TEIA) Model</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theoretical elements developed across Sections III through VI can now be synthesized into an integrative conceptual model — the Taxonomic Epistemic Infrastructure Accountability (TEIA) Model — that provides a comprehensive analytical framework for the governance of green taxonomies in sustainable finance.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TEIA Model posits that the governance quality of a green taxonomy system is determined by the interaction of three structural dimensions. The first is Epistemic Architecture — the degree to which the taxonomy's classificatory system reflects the genuine plurality of legitimate environmental knowledge systems, accommodates contextual complexity, and resists false precision. The second is Authority Structure — the institutional distribution of TEA across public and private actors, the degree to which that distribution reflects appropriate democratic and procedural legitimacy, and the presence or absence of accountability mechanisms that constrain the exercise of authority. The third is Adaptive Capacity — the institutional ability of the taxonomy governance system to revise its classifications in response to new evidence and changed contexts without inducing the investment volatility and strategic gaming that undermine the taxonomy's environmental effectiveness.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three dimensions interact in ways that generate distinct governance regimes. A taxonomy system characterized by high epistemic architecture quality, legitimate authority structure, and adequate adaptive capacity represents what we term an Accountable Epistemic Infrastructure — one that genuinely serves the environmental objectives it purports to advance, while remaining responsive to evolving knowledge and distributional concerns. A taxonomy system characterized by epistemic closure, concentrated and unaccountable authority, and rigid boundary structures represents a Captured Epistemic Infrastructure — one that serves primarily to legitimate green capitalism's self-presentation while systematically excluding the activities, actors, and knowledge systems that a genuine environmental transition would require.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majority of currently operating green taxonomy systems occupy intermediate positions, with variable profiles across the three dimensions and significant variation in the direction of their institutional trajectories. The EU Taxonomy, for instance, has relatively high adaptive capacity by institutional design but faces legitimacy capture risks from industry lobbying in its revision processes and significant boundary rigidity from the technical screening criteria architecture. China's green catalogues are characterized by concentrated authority that enables rapid revision but limited procedural accountability and epistemic pluralism. India's emerging green finance framework has the opportunity to develop a distinct epistemic architecture that reflects South Asian development realities and knowledge systems, but faces institutional capacity constraints that may limit the sophistication of the accountability mechanisms it can deploy. The TEIA Model provides a diagnostic framework for analyzing these institutional profiles and identifying the specific governance reforms most likely to move each system toward the accountable epistemic infrastructure ideal.</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VIII. Institutional and Policy Implications</w:t>
      </w:r>
    </w:p>
    <w:p>
      <w:pPr>
        <w:pStyle w:val="Heading2"/>
        <w:spacing w:after="160" w:before="360"/>
      </w:pPr>
      <w:r>
        <w:rPr>
          <w:rFonts w:ascii="Times New Roman" w:cs="Times New Roman" w:eastAsia="Times New Roman" w:hAnsi="Times New Roman"/>
          <w:b/>
          <w:bCs/>
          <w:i/>
          <w:iCs/>
          <w:sz w:val="26"/>
          <w:szCs w:val="26"/>
        </w:rPr>
        <w:t xml:space="preserve">8.1 Implications for Accounting and Reporting Theory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TEIA Model has significant implications for accounting theory that extend beyond the sustainability reporting domain. The concept of taxonomic accounting — the systematized assignment of environmental values through classificatory infrastructure — introduces a new category of accounting practice that is structurally different from conventional financial accounting in three important respects. First, its value objects are genuinely contested: the "value" that green taxonomies assign to activities is not a quantity amenable to measurement under conditions of epistemic consensus; it is a normative judgment about environmental significance that different knowledge communities would assess differently. Second, its standards are politically constituted: unlike financial accounting standards, which are at least nominally grounded in economic measurement theory, taxonomic accounting standards are explicitly political, embedding judgments about transition pathways, just development, and intergenerational equity that have no purely technical resolution. Third, its consequences are performative: taxonomic accounting does not describe an environmental performance that exists independently; it constitutes environmental value in the act of classifying it.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three properties require new theoretical categories within accounting theory — categories that can account for the politically constituted, performatively productive, and normatively contested character of environmental value measurement. The development of such categories represents a significant opportunity for accounting theorists to contribute to the most pressing governance challenges of the climate transition era.</w:t>
      </w:r>
    </w:p>
    <w:p>
      <w:pPr>
        <w:pStyle w:val="Heading2"/>
        <w:spacing w:after="160" w:before="360"/>
      </w:pPr>
      <w:r>
        <w:rPr>
          <w:rFonts w:ascii="Times New Roman" w:cs="Times New Roman" w:eastAsia="Times New Roman" w:hAnsi="Times New Roman"/>
          <w:b/>
          <w:bCs/>
          <w:i/>
          <w:iCs/>
          <w:sz w:val="26"/>
          <w:szCs w:val="26"/>
        </w:rPr>
        <w:t xml:space="preserve">8.2 Implications for Global Financial Regulation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proliferation of divergent green taxonomy regimes represents a structural challenge for global financial regulation that existing institutional frameworks — the FSB, IOSCO, BIS — are not designed to address. These institutions were built around the assumption that the primary sources of financial regulatory divergence are differences in national financial system structure, legal tradition, and macroprudential priorities — all of which are amenable to coordination through technical standard-setting and regulatory equivalence frameworks. The epistemic divergence in green taxonomy governance is qualitatively different: it reflects deep and legitimate disagreements about sustainable development, not merely technical differences in the implementation of shared objectives.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has the implication that green taxonomy coordination cannot be achieved through the standard toolkit of financial regulatory coordination — mutual recognition, equivalence determinations, and technical harmonization — without first addressing the political economy of epistemic authority that underlies the divergence. A genuine international framework for green taxonomy governance requires institutional mechanisms that can accommodate and adjudicate legitimate epistemic differences, not merely technical ones. The multilateral tier architecture proposed in Proposition 9 represents one possible design; others — including the development of a dedicated international sustainability standards body with broader mandate and legitimacy than the ISSB currently possesses — deserve scholarly and policy attention.</w:t>
      </w:r>
    </w:p>
    <w:p>
      <w:pPr>
        <w:pStyle w:val="Heading2"/>
        <w:spacing w:after="160" w:before="360"/>
      </w:pPr>
      <w:r>
        <w:rPr>
          <w:rFonts w:ascii="Times New Roman" w:cs="Times New Roman" w:eastAsia="Times New Roman" w:hAnsi="Times New Roman"/>
          <w:b/>
          <w:bCs/>
          <w:i/>
          <w:iCs/>
          <w:sz w:val="26"/>
          <w:szCs w:val="26"/>
        </w:rPr>
        <w:t xml:space="preserve">8.3 Implications for Emerging and Developing Economies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distributional implications of green taxonomy design are most acute for emerging and developing economies, which face a double jeopardy: they are most vulnerable to the exclusion effects of taxonomies designed around high-income-country norms and knowledge systems, and they have the least institutional capacity to develop alternative taxonomies that reflect their own development priorities and environmental knowledge. The TEIA Model's principle of distributional reflexivity, if institutionalized in global taxonomy governance, would require explicit attention to these asymmetries in all significant taxonomy design decisions — attention that is currently absent from the dominant EU-centered taxonomy governance architecture.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For India specifically, the development of a comprehensive green taxonomy rooted in the country's distinctive development context — its decentralized energy transition, its traditional ecological knowledge systems, its unique biodiversity and ecosystem challenges, and its constitutional commitment to distributive justice — represents both a governance challenge and a scholarly opportunity. Indian accounting, finance, and sustainability scholars are positioned to contribute to the development of this framework in ways that are analytically informed by the TEIA Model and responsive to the institutional realities of Indian sustainable development. The BRSR framework's evolution toward a more comprehensive sustainability accounting standard offers a particular opportunity for theoretical engagement.</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IX. Limitations and Future Research</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theoretical ambition of this paper necessarily involves analytical choices that introduce limitations requiring honest acknowledgment. Three are particularly significant.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First, the TEIA Model is developed at a level of abstraction that simplifies the institutional complexity of real-world taxonomy governance. The three-dimensional model — epistemic architecture, authority structure, adaptive capacity — captures important structural variation, but it abstracts from the richly particular institutional dynamics of specific taxonomy systems, whose governance trajectories are shaped by historically specific political economies, legal traditions, and state-market relations that no general model can fully incorporate. The model should be understood as an analytical framework for comparative governance analysis, not as a predictive theory that can be applied without institutional contextual interpretation.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Second, the paper develops the theoretical framework without systematic empirical illustration. While the analytical narrative draws on examples from the EU Taxonomy, the Chinese green catalogues, and India's emerging green framework, it does not provide the kind of systematic comparative case analysis that would be required to evaluate the TEIA Model's propositions empirically. This is a deliberate theoretical choice — developing the conceptual architecture before the empirical scaffolding — but it means that the paper's claims are theoretical and require substantial empirical research programmes to test.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Third, the paper's treatment of the geopolitical dimension of green taxonomy governance — the competition among jurisdictions for taxonomic epistemic authority as a form of economic statecraft — is necessarily preliminary. The dynamics of this competition are evolving rapidly, and the analytical concepts needed to analyze them — drawing on international political economy, geoeconomics, and the political science of regime formation — require more extensive theoretical development than the present paper provides. A dedicated theoretical treatment of the geopolitics of green classification represents a major agenda item for future research.</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limitations point to a rich future research programme. Theoretically, the TEIA Model invites extension through evolutionary game theory — modeling the strategic interactions among jurisdictions competing for taxonomic authority — and through complexity economics — analyzing the emergent properties of a global green finance ecosystem structured around competing and partially overlapping taxonomy regimes. Empirically, systematic comparative analysis of the governance architectures, revision histories, and environmental outcomes of major taxonomy systems — EU, China, India, ASEAN, and ISSB — would provide the foundational data needed to test the nine propositions derived in Section VI. Methodologically, process-tracing studies of specific taxonomy boundary decisions, combined with natural language processing analysis of taxonomy consultation documents to map the distribution of epistemic authority in design processes, could provide novel insights into the political economy of green classification that complement the theoretical framework.</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X. Conclusion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Green taxonomies are the constitutional documents of the green economy — the foundational texts that determine what sustainable development means in financial practice, which activities are legitimate participants in the sustainable finance system, and whose knowledge of environmental value is treated as authoritative. To analyze them merely as policy instruments — as administrative tools for closing information gaps in green capital markets — is to miss their most consequential institutional dimension: their function as epistemic infrastructures that constitute, naturalize, and ultimately govern the knowledge on which the entire sustainable finance architecture rests.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paper has developed the first systematic theoretical framework for analyzing this epistemic function and its governance implications. The TEIA Model, grounded in the STS tradition of classification analysis, institutional theory, and the political economy of standards, provides a diagnostic and prescriptive framework for evaluating green taxonomy governance systems against the principles of epistemic pluralism, revisability without instability, distributional reflexivity, accountable epistemic authority, and pluralism without fragmentation. The nine propositions derived from this framework constitute an empirical research programme for the field of sustainable finance governance whose scope extends from accounting theory and financial regulation to international political economy and development studies.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practical stakes could not be higher. The taxonomies being designed and revised today will shape the global green economy's institutional architecture for decades. They will determine which technologies receive the investment they need to scale, which communities receive the green finance they need to adapt, and which visions of sustainable development — whose visions — are encoded in the global rules of the green economy. A governance theory adequate to the scope of this challenge is not a luxury of academic reflection; it is a practical necessity for anyone who takes seriously the ambition to align the global financial system with the requirements of a just and sustainable future.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green economy will be classified. The question this paper insists upon is: classified by whom, on what epistemic foundations, accountable to what institutional processes, and with what distributional consequences. These are not technical questions. They are questions of power, knowledge, and justice — and they deserve the full theoretical attention of the scholarly community.</w:t>
      </w:r>
    </w:p>
    <w:p>
      <w:pPr>
        <w:spacing w:after="0" w:before="0" w:line="240"/>
      </w:pPr>
      <w:r>
        <w:t xml:space="preserve"/>
      </w:r>
    </w:p>
    <w:p>
      <w:pPr>
        <w:pStyle w:val="Heading1"/>
        <w:spacing w:after="200" w:before="480"/>
      </w:pPr>
      <w:r>
        <w:rPr>
          <w:rFonts w:ascii="Times New Roman" w:cs="Times New Roman" w:eastAsia="Times New Roman" w:hAnsi="Times New Roman"/>
          <w:b/>
          <w:bCs/>
          <w:caps/>
          <w:sz w:val="28"/>
          <w:szCs w:val="28"/>
        </w:rPr>
        <w:t xml:space="preserve">References</w:t>
      </w:r>
    </w:p>
    <w:p>
      <w:pPr>
        <w:spacing w:after="120" w:before="0" w:line="360"/>
        <w:ind w:left="720" w:hanging="720"/>
        <w:jc w:val="both"/>
      </w:pPr>
      <w:r>
        <w:rPr>
          <w:rFonts w:ascii="Times New Roman" w:cs="Times New Roman" w:eastAsia="Times New Roman" w:hAnsi="Times New Roman"/>
          <w:sz w:val="22"/>
          <w:szCs w:val="22"/>
        </w:rPr>
        <w:t xml:space="preserve">[CITE VERIFY] Bowker, G. C., &amp; Star, S. L. (1999). Sorting things out: Classification and its consequences. MIT Press.</w:t>
      </w:r>
    </w:p>
    <w:p>
      <w:pPr>
        <w:spacing w:after="120" w:before="0" w:line="360"/>
        <w:ind w:left="720" w:hanging="720"/>
        <w:jc w:val="both"/>
      </w:pPr>
      <w:r>
        <w:rPr>
          <w:rFonts w:ascii="Times New Roman" w:cs="Times New Roman" w:eastAsia="Times New Roman" w:hAnsi="Times New Roman"/>
          <w:sz w:val="22"/>
          <w:szCs w:val="22"/>
        </w:rPr>
        <w:t xml:space="preserve">[CITE VERIFY] Braun, B. (2016). From performativity to political economy: Index investing, ETFs and asset manager capitalism. New Political Economy, 21(3), 257–273.</w:t>
      </w:r>
    </w:p>
    <w:p>
      <w:pPr>
        <w:spacing w:after="120" w:before="0" w:line="360"/>
        <w:ind w:left="720" w:hanging="720"/>
        <w:jc w:val="both"/>
      </w:pPr>
      <w:r>
        <w:rPr>
          <w:rFonts w:ascii="Times New Roman" w:cs="Times New Roman" w:eastAsia="Times New Roman" w:hAnsi="Times New Roman"/>
          <w:sz w:val="22"/>
          <w:szCs w:val="22"/>
        </w:rPr>
        <w:t xml:space="preserve">[CITE VERIFY] Brunsson, N., &amp; Jacobsson, B. (2000). A world of standards. Oxford University Press.</w:t>
      </w:r>
    </w:p>
    <w:p>
      <w:pPr>
        <w:spacing w:after="120" w:before="0" w:line="360"/>
        <w:ind w:left="720" w:hanging="720"/>
        <w:jc w:val="both"/>
      </w:pPr>
      <w:r>
        <w:rPr>
          <w:rFonts w:ascii="Times New Roman" w:cs="Times New Roman" w:eastAsia="Times New Roman" w:hAnsi="Times New Roman"/>
          <w:sz w:val="22"/>
          <w:szCs w:val="22"/>
        </w:rPr>
        <w:t xml:space="preserve">[CITE VERIFY] Callon, M. (1998). The laws of the markets. Blackwell.</w:t>
      </w:r>
    </w:p>
    <w:p>
      <w:pPr>
        <w:spacing w:after="120" w:before="0" w:line="360"/>
        <w:ind w:left="720" w:hanging="720"/>
        <w:jc w:val="both"/>
      </w:pPr>
      <w:r>
        <w:rPr>
          <w:rFonts w:ascii="Times New Roman" w:cs="Times New Roman" w:eastAsia="Times New Roman" w:hAnsi="Times New Roman"/>
          <w:sz w:val="22"/>
          <w:szCs w:val="22"/>
        </w:rPr>
        <w:t xml:space="preserve">[CITE VERIFY] Daugaard, D. (2020). Emerging new themes in environmental, social and governance investing: A systematic literature review. Accounting &amp; Finance, 60(2), 1501–1530.</w:t>
      </w:r>
    </w:p>
    <w:p>
      <w:pPr>
        <w:spacing w:after="120" w:before="0" w:line="360"/>
        <w:ind w:left="720" w:hanging="720"/>
        <w:jc w:val="both"/>
      </w:pPr>
      <w:r>
        <w:rPr>
          <w:rFonts w:ascii="Times New Roman" w:cs="Times New Roman" w:eastAsia="Times New Roman" w:hAnsi="Times New Roman"/>
          <w:sz w:val="22"/>
          <w:szCs w:val="22"/>
        </w:rPr>
        <w:t xml:space="preserve">[CITE VERIFY] DiMaggio, P. J., &amp; Powell, W. W. (1983). The iron cage revisited: Institutional isomorphism and collective rationality in organizational fields. American Sociological Review, 48(2), 147–160.</w:t>
      </w:r>
    </w:p>
    <w:p>
      <w:pPr>
        <w:spacing w:after="120" w:before="0" w:line="360"/>
        <w:ind w:left="720" w:hanging="720"/>
        <w:jc w:val="both"/>
      </w:pPr>
      <w:r>
        <w:rPr>
          <w:rFonts w:ascii="Times New Roman" w:cs="Times New Roman" w:eastAsia="Times New Roman" w:hAnsi="Times New Roman"/>
          <w:sz w:val="22"/>
          <w:szCs w:val="22"/>
        </w:rPr>
        <w:t xml:space="preserve">[CITE VERIFY] European Commission. (2022). Complementary Climate Delegated Act covering certain gas and nuclear activities. Official Journal of the European Union.</w:t>
      </w:r>
    </w:p>
    <w:p>
      <w:pPr>
        <w:spacing w:after="120" w:before="0" w:line="360"/>
        <w:ind w:left="720" w:hanging="720"/>
        <w:jc w:val="both"/>
      </w:pPr>
      <w:r>
        <w:rPr>
          <w:rFonts w:ascii="Times New Roman" w:cs="Times New Roman" w:eastAsia="Times New Roman" w:hAnsi="Times New Roman"/>
          <w:sz w:val="22"/>
          <w:szCs w:val="22"/>
        </w:rPr>
        <w:t xml:space="preserve">[CITE VERIFY] Hacking, I. (2006). Genetics, biosocial groups and the future of identity. Daedalus, 135(4), 81–95.</w:t>
      </w:r>
    </w:p>
    <w:p>
      <w:pPr>
        <w:spacing w:after="120" w:before="0" w:line="360"/>
        <w:ind w:left="720" w:hanging="720"/>
        <w:jc w:val="both"/>
      </w:pPr>
      <w:r>
        <w:rPr>
          <w:rFonts w:ascii="Times New Roman" w:cs="Times New Roman" w:eastAsia="Times New Roman" w:hAnsi="Times New Roman"/>
          <w:sz w:val="22"/>
          <w:szCs w:val="22"/>
        </w:rPr>
        <w:t xml:space="preserve">[CITE VERIFY] Jasanoff, S. (1990). The fifth branch: Science advisers as policymakers. Harvard University Press.</w:t>
      </w:r>
    </w:p>
    <w:p>
      <w:pPr>
        <w:spacing w:after="120" w:before="0" w:line="360"/>
        <w:ind w:left="720" w:hanging="720"/>
        <w:jc w:val="both"/>
      </w:pPr>
      <w:r>
        <w:rPr>
          <w:rFonts w:ascii="Times New Roman" w:cs="Times New Roman" w:eastAsia="Times New Roman" w:hAnsi="Times New Roman"/>
          <w:sz w:val="22"/>
          <w:szCs w:val="22"/>
        </w:rPr>
        <w:t xml:space="preserve">[CITE VERIFY] MacKenzie, D. (2006). An engine, not a camera: How financial models shape markets. MIT Press.</w:t>
      </w:r>
    </w:p>
    <w:p>
      <w:pPr>
        <w:spacing w:after="120" w:before="0" w:line="360"/>
        <w:ind w:left="720" w:hanging="720"/>
        <w:jc w:val="both"/>
      </w:pPr>
      <w:r>
        <w:rPr>
          <w:rFonts w:ascii="Times New Roman" w:cs="Times New Roman" w:eastAsia="Times New Roman" w:hAnsi="Times New Roman"/>
          <w:sz w:val="22"/>
          <w:szCs w:val="22"/>
        </w:rPr>
        <w:t xml:space="preserve">[CITE VERIFY] MacKenzie, D., Muniesa, F., &amp; Siu, L. (Eds.). (2007). Do economists make markets? On the performativity of economics. Princeton University Press.</w:t>
      </w:r>
    </w:p>
    <w:p>
      <w:pPr>
        <w:spacing w:after="120" w:before="0" w:line="360"/>
        <w:ind w:left="720" w:hanging="720"/>
        <w:jc w:val="both"/>
      </w:pPr>
      <w:r>
        <w:rPr>
          <w:rFonts w:ascii="Times New Roman" w:cs="Times New Roman" w:eastAsia="Times New Roman" w:hAnsi="Times New Roman"/>
          <w:sz w:val="22"/>
          <w:szCs w:val="22"/>
        </w:rPr>
        <w:t xml:space="preserve">[CITE VERIFY] Mattli, W., &amp; Buthe, T. (2003). Setting international standards: Technological rationality or primacy of power? World Politics, 56(1), 1–42.</w:t>
      </w:r>
    </w:p>
    <w:p>
      <w:pPr>
        <w:spacing w:after="120" w:before="0" w:line="360"/>
        <w:ind w:left="720" w:hanging="720"/>
        <w:jc w:val="both"/>
      </w:pPr>
      <w:r>
        <w:rPr>
          <w:rFonts w:ascii="Times New Roman" w:cs="Times New Roman" w:eastAsia="Times New Roman" w:hAnsi="Times New Roman"/>
          <w:sz w:val="22"/>
          <w:szCs w:val="22"/>
        </w:rPr>
        <w:t xml:space="preserve">[CITE VERIFY] Scott, W. R. (2014). Institutions and organizations: Ideas, interests, and identities (4th ed.). SAGE Publications.</w:t>
      </w:r>
    </w:p>
    <w:p>
      <w:pPr>
        <w:spacing w:after="120" w:before="0" w:line="360"/>
        <w:ind w:left="720" w:hanging="720"/>
        <w:jc w:val="both"/>
      </w:pPr>
      <w:r>
        <w:rPr>
          <w:rFonts w:ascii="Times New Roman" w:cs="Times New Roman" w:eastAsia="Times New Roman" w:hAnsi="Times New Roman"/>
          <w:sz w:val="22"/>
          <w:szCs w:val="22"/>
        </w:rPr>
        <w:t xml:space="preserve">[CITE VERIFY] Star, S. L., &amp; Griesemer, J. R. (1989). Institutional ecology, translations and boundary objects: Amateurs and professionals in Berkeley's Museum of Vertebrate Zoology, 1907–39. Social Studies of Science, 19(3), 387–420.</w:t>
      </w:r>
    </w:p>
    <w:p>
      <w:pPr>
        <w:spacing w:after="120" w:before="0" w:line="360"/>
        <w:ind w:left="720" w:hanging="720"/>
        <w:jc w:val="both"/>
      </w:pPr>
      <w:r>
        <w:rPr>
          <w:rFonts w:ascii="Times New Roman" w:cs="Times New Roman" w:eastAsia="Times New Roman" w:hAnsi="Times New Roman"/>
          <w:sz w:val="22"/>
          <w:szCs w:val="22"/>
        </w:rPr>
        <w:t xml:space="preserve">[CITE VERIFY] Star, S. L., &amp; Ruhleder, K. (1996). Steps toward an ecology of infrastructure: Design and access for large information spaces. Information Systems Research, 7(1), 111–134.</w:t>
      </w:r>
    </w:p>
    <w:p>
      <w:pPr>
        <w:spacing w:after="120" w:before="0" w:line="360"/>
        <w:ind w:left="720" w:hanging="720"/>
        <w:jc w:val="both"/>
      </w:pPr>
      <w:r>
        <w:rPr>
          <w:rFonts w:ascii="Times New Roman" w:cs="Times New Roman" w:eastAsia="Times New Roman" w:hAnsi="Times New Roman"/>
          <w:sz w:val="22"/>
          <w:szCs w:val="22"/>
        </w:rPr>
        <w:t xml:space="preserve">[CITE VERIFY] Stigler, G. J. (1971). The theory of economic regulation. Bell Journal of Economics and Management Science, 2(1), 3–21.</w:t>
      </w:r>
    </w:p>
    <w:p>
      <w:pPr>
        <w:spacing w:after="120" w:before="0" w:line="360"/>
        <w:ind w:left="720" w:hanging="720"/>
        <w:jc w:val="both"/>
      </w:pPr>
      <w:r>
        <w:rPr>
          <w:rFonts w:ascii="Times New Roman" w:cs="Times New Roman" w:eastAsia="Times New Roman" w:hAnsi="Times New Roman"/>
          <w:sz w:val="22"/>
          <w:szCs w:val="22"/>
        </w:rPr>
        <w:t xml:space="preserve">[CITE VERIFY] Suchman, M. C. (1995). Managing legitimacy: Strategic and institutional approaches. Academy of Management Review, 20(3), 571–610.</w:t>
      </w:r>
    </w:p>
    <w:p>
      <w:pPr>
        <w:spacing w:after="120" w:before="0" w:line="360"/>
        <w:ind w:left="720" w:hanging="720"/>
        <w:jc w:val="both"/>
      </w:pPr>
      <w:r>
        <w:rPr>
          <w:rFonts w:ascii="Times New Roman" w:cs="Times New Roman" w:eastAsia="Times New Roman" w:hAnsi="Times New Roman"/>
          <w:sz w:val="22"/>
          <w:szCs w:val="22"/>
        </w:rPr>
        <w:t xml:space="preserve">[CITE VERIFY] Watts, R. L., &amp; Zimmerman, J. L. (1990). Positive accounting theory: A ten year perspective. Accounting Review, 65(1), 131–156.</w:t>
      </w:r>
    </w:p>
    <w:p>
      <w:pPr>
        <w:spacing w:after="120" w:before="0" w:line="360"/>
        <w:ind w:left="720" w:hanging="720"/>
        <w:jc w:val="both"/>
      </w:pPr>
      <w:r>
        <w:rPr>
          <w:rFonts w:ascii="Times New Roman" w:cs="Times New Roman" w:eastAsia="Times New Roman" w:hAnsi="Times New Roman"/>
          <w:sz w:val="22"/>
          <w:szCs w:val="22"/>
        </w:rPr>
        <w:t xml:space="preserve">[CITE NEEDED] Coyle, D. (2014). GDP: A brief but affectionate history. Princeton University Press.</w:t>
      </w:r>
    </w:p>
    <w:p>
      <w:pPr>
        <w:spacing w:after="120" w:before="0" w:line="360"/>
        <w:ind w:left="720" w:hanging="720"/>
        <w:jc w:val="both"/>
      </w:pPr>
      <w:r>
        <w:rPr>
          <w:rFonts w:ascii="Times New Roman" w:cs="Times New Roman" w:eastAsia="Times New Roman" w:hAnsi="Times New Roman"/>
          <w:sz w:val="22"/>
          <w:szCs w:val="22"/>
        </w:rPr>
        <w:t xml:space="preserve">[CITE NEEDED] Comparative analysis of EU and Chinese green taxonomy divergences (2021–2024).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India RBI / Ministry of Finance Sovereign Green Bond Framework documentation (2022–2023). Government of India publications.</w:t>
      </w:r>
    </w:p>
    <w:p>
      <w:pPr>
        <w:spacing w:after="120" w:before="0" w:line="360"/>
        <w:ind w:left="720" w:hanging="720"/>
        <w:jc w:val="both"/>
      </w:pPr>
      <w:r>
        <w:rPr>
          <w:rFonts w:ascii="Times New Roman" w:cs="Times New Roman" w:eastAsia="Times New Roman" w:hAnsi="Times New Roman"/>
          <w:sz w:val="22"/>
          <w:szCs w:val="22"/>
        </w:rPr>
        <w:t xml:space="preserve">[CITE NEEDED] Regulatory capture and green taxonomy design: Recent empirical and theoretical literature (2020–2024). To be identified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Greenwashing, green label arbitrage, and taxonomy exploitation literature (2021–2024). To be identified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EU Taxonomy third-country equivalence frameworks and extraterritorial regulatory effects (2022–2024). To be identified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Greenium effects and EU Taxonomy adoption: Empirical literature (2021–2024). To be identified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ISSB Sustainability Disclosure Standards S1 and S2. International Sustainability Standards Board (2023).</w:t>
      </w:r>
    </w:p>
    <w:p>
      <w:pPr>
        <w:spacing w:after="120" w:before="0" w:line="360"/>
        <w:ind w:left="720" w:hanging="720"/>
        <w:jc w:val="both"/>
      </w:pPr>
      <w:r>
        <w:rPr>
          <w:rFonts w:ascii="Times New Roman" w:cs="Times New Roman" w:eastAsia="Times New Roman" w:hAnsi="Times New Roman"/>
          <w:sz w:val="22"/>
          <w:szCs w:val="22"/>
        </w:rPr>
        <w:t xml:space="preserve">[CITE NEEDED] SEBI BRSR Core Framework and India green finance regulatory documentation (2022–2024). Securities and Exchange Board of India publications.</w:t>
      </w:r>
    </w:p>
    <w:p>
      <w:pPr>
        <w:spacing w:after="0" w:before="0" w:line="240"/>
      </w:pPr>
      <w:r>
        <w:t xml:space="preserve"/>
      </w:r>
    </w:p>
    <w:p>
      <w:pPr>
        <w:pageBreakBefore/>
      </w:pPr>
      <w:r>
        <w:t xml:space="preserve"/>
      </w:r>
    </w:p>
    <w:p>
      <w:pPr>
        <w:pStyle w:val="Heading1"/>
        <w:spacing w:after="200" w:before="480"/>
      </w:pPr>
      <w:r>
        <w:rPr>
          <w:rFonts w:ascii="Times New Roman" w:cs="Times New Roman" w:eastAsia="Times New Roman" w:hAnsi="Times New Roman"/>
          <w:b/>
          <w:bCs/>
          <w:caps/>
          <w:sz w:val="28"/>
          <w:szCs w:val="28"/>
        </w:rPr>
        <w:t xml:space="preserve">Appendix: Referee Report Simulation</w:t>
      </w:r>
    </w:p>
    <w:p>
      <w:pPr>
        <w:spacing w:after="120" w:before="0" w:line="400"/>
      </w:pPr>
      <w:r>
        <w:rPr>
          <w:rFonts w:ascii="Times New Roman" w:cs="Times New Roman" w:eastAsia="Times New Roman" w:hAnsi="Times New Roman"/>
          <w:b/>
          <w:bCs/>
          <w:sz w:val="24"/>
          <w:szCs w:val="24"/>
        </w:rPr>
        <w:t xml:space="preserve">REFEREE REPORT SIMULATION</w:t>
      </w:r>
    </w:p>
    <w:p>
      <w:pPr>
        <w:spacing w:after="120" w:before="0" w:line="400"/>
      </w:pPr>
      <w:r>
        <w:rPr>
          <w:rFonts w:ascii="Times New Roman" w:cs="Times New Roman" w:eastAsia="Times New Roman" w:hAnsi="Times New Roman"/>
          <w:i/>
          <w:iCs/>
          <w:sz w:val="24"/>
          <w:szCs w:val="24"/>
        </w:rPr>
        <w:t xml:space="preserve">Paper: "Classifying the Green Economy: A Theory of Environmental Taxonomies as Epistemic Infrastructures in Sustainable Finance"</w:t>
      </w:r>
    </w:p>
    <w:p>
      <w:pPr>
        <w:spacing w:after="120" w:before="0" w:line="400"/>
      </w:pPr>
      <w:r>
        <w:rPr>
          <w:rFonts w:ascii="Times New Roman" w:cs="Times New Roman" w:eastAsia="Times New Roman" w:hAnsi="Times New Roman"/>
          <w:b/>
          <w:bCs/>
          <w:sz w:val="24"/>
          <w:szCs w:val="24"/>
        </w:rPr>
        <w:t xml:space="preserve">Recommendation: Minor to Major Revision — A theoretically ambitious and original paper with strong conceptual architecture, requiring deepened engagement with political economy and more explicit empirical anchoring.</w:t>
      </w:r>
    </w:p>
    <w:p>
      <w:pPr>
        <w:pStyle w:val="Heading2"/>
        <w:spacing w:after="160" w:before="360"/>
      </w:pPr>
      <w:r>
        <w:rPr>
          <w:rFonts w:ascii="Times New Roman" w:cs="Times New Roman" w:eastAsia="Times New Roman" w:hAnsi="Times New Roman"/>
          <w:b/>
          <w:bCs/>
          <w:i/>
          <w:iCs/>
          <w:sz w:val="26"/>
          <w:szCs w:val="26"/>
        </w:rPr>
        <w:t xml:space="preserve">Summary of Contribution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paper makes a genuinely original contribution by reconceptualizing green taxonomies as epistemic infrastructures and developing the TEIA Model as a governance framework for their accountability. The introduction of Taxonomic Epistemic Authority as a formal construct, the four-dimensional theory of taxonomy effects, and the identification of three structural pathologies collectively represent a significant theoretical advance over the existing policy-instrumental framing of green taxonomy scholarship. The paper's interdisciplinary synthesis — drawing on STS, institutional theory, accounting theory, and political economy of standards — is executed with sophistication and produces theoretical insights not available within any single constituent tradition.</w:t>
      </w:r>
    </w:p>
    <w:p>
      <w:pPr>
        <w:pStyle w:val="Heading2"/>
        <w:spacing w:after="160" w:before="360"/>
      </w:pPr>
      <w:r>
        <w:rPr>
          <w:rFonts w:ascii="Times New Roman" w:cs="Times New Roman" w:eastAsia="Times New Roman" w:hAnsi="Times New Roman"/>
          <w:b/>
          <w:bCs/>
          <w:i/>
          <w:iCs/>
          <w:sz w:val="26"/>
          <w:szCs w:val="26"/>
        </w:rPr>
        <w:t xml:space="preserve">Major Concerns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The paper would benefit from at least one detailed analytical vignette — tracing a specific taxonomy boundary decision (e.g., natural gas inclusion in the EU Taxonomy, or clean coal in the Chinese catalogue) through the TEIA Model's analytical framework. This would demonstrate the model's analytical traction on real institutional dynamics and substantially strengthen the paper's claim to theoretical contribution. Suggested fix: Add a focused 1,500-word analytical case study in a new Section VII, shifting current sections forward.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The concept of "taxonomic injustice" introduced in Section IV is analytically important and theoretically underdeveloped relative to its significance. The paper would benefit from a more systematic treatment of the normative theory underlying this concept — particularly its relationship to established frameworks in environmental justice and distributive justice theory. Suggested fix: Expand the distributional opacity discussion in Section IV.2 with explicit engagement with environmental justice theory [CITE NEEDED: Schlosberg (2004) or equivalent].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3. Propositions 1 and 2 are stated at a level of generality that makes them difficult to distinguish from similar claims in standard legitimacy theory. The paper should more precisely specify what distinguishes the epistemic dimension of taxonomic legitimacy from conventional organizational legitimacy, and how that distinction generates observationally distinct empirical predictions. Suggested fix: Add qualifying mechanisms that specify the epistemic pathway through which the proposed effects operate.</w:t>
      </w:r>
    </w:p>
    <w:p>
      <w:pPr>
        <w:pStyle w:val="Heading2"/>
        <w:spacing w:after="160" w:before="360"/>
      </w:pPr>
      <w:r>
        <w:rPr>
          <w:rFonts w:ascii="Times New Roman" w:cs="Times New Roman" w:eastAsia="Times New Roman" w:hAnsi="Times New Roman"/>
          <w:b/>
          <w:bCs/>
          <w:i/>
          <w:iCs/>
          <w:sz w:val="26"/>
          <w:szCs w:val="26"/>
        </w:rPr>
        <w:t xml:space="preserve">Minor Concerns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The TEIA acronym competes with the paper's analytical focus on "TEIA Model" — the title and the model acronym would benefit from more deliberate differentiation.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The conclusion, while eloquent, ends on a normative register that may strike some reviewers as advocacy rather than analysis. A brief return to the theoretical framework in the final paragraph would strengthen the analytical register.</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3. The [CITE NEEDED] flags for Indian regulatory documentation are resolvable: RBI and Ministry of Finance sovereign green bond frameworks are publicly available.</w:t>
      </w:r>
    </w:p>
    <w:p>
      <w:pPr>
        <w:pStyle w:val="Heading2"/>
        <w:spacing w:after="160" w:before="360"/>
      </w:pPr>
      <w:r>
        <w:rPr>
          <w:rFonts w:ascii="Times New Roman" w:cs="Times New Roman" w:eastAsia="Times New Roman" w:hAnsi="Times New Roman"/>
          <w:b/>
          <w:bCs/>
          <w:i/>
          <w:iCs/>
          <w:sz w:val="26"/>
          <w:szCs w:val="26"/>
        </w:rPr>
        <w:t xml:space="preserve">Questions for Authors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The paper posits that green taxonomies are constitutive rather than merely descriptive. Can the author specify the conditions under which this constitutive function might be limited or reversed — for instance, in contexts where civil society or scientific communities maintain independent environmental accounting systems that compete with official taxonomic classifications?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The Pluralism-Without-Fragmentation Theorem (Proposition 9) proposes a three-tier architecture. What institutional mechanism would determine which activities fall below the universal minimum floor, given that this is precisely the most politically contested classificatory question? The paper's governance theory needs to address this recursion.</w:t>
      </w:r>
    </w:p>
    <w:p>
      <w:pPr>
        <w:pStyle w:val="Heading2"/>
        <w:spacing w:after="160" w:before="360"/>
      </w:pPr>
      <w:r>
        <w:rPr>
          <w:rFonts w:ascii="Times New Roman" w:cs="Times New Roman" w:eastAsia="Times New Roman" w:hAnsi="Times New Roman"/>
          <w:b/>
          <w:bCs/>
          <w:i/>
          <w:iCs/>
          <w:sz w:val="26"/>
          <w:szCs w:val="26"/>
        </w:rPr>
        <w:t xml:space="preserve">Overall Assessment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is a strong theoretical paper with clear publication potential in Accounting, Organizations and Society or Journal of Business Ethics. The TEIA Model represents the kind of foundational conceptual contribution that generates a research agenda, and the paper is written with the analytical authority and interdisciplinary range that elite journals reward. Resolution of the major concerns — particularly the addition of an empirical vignette and the development of the taxonomic injustice concept — would make this a compelling submission. The paper should be invited to revise and resubmit.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2026-05-25T11:06:43.600Z</dcterms:created>
  <dcterms:modified xsi:type="dcterms:W3CDTF">2026-05-25T11:06:43.613Z</dcterms:modified>
</cp:coreProperties>
</file>

<file path=docProps/custom.xml><?xml version="1.0" encoding="utf-8"?>
<Properties xmlns="http://schemas.openxmlformats.org/officeDocument/2006/custom-properties" xmlns:vt="http://schemas.openxmlformats.org/officeDocument/2006/docPropsVTypes"/>
</file>