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b/>
          <w:bCs/>
          <w:sz w:val="30"/>
          <w:szCs w:val="30"/>
        </w:rPr>
        <w:t xml:space="preserve">Mining-Induced Deforestation and Tribal Welfare in Odisha: A Geospatial Panel Analysis of Environmental and Socioeconomic Trade-offs, 2001–2023</w:t>
      </w:r>
    </w:p>
    <w:p>
      <w:pPr>
        <w:spacing w:after="400"/>
      </w:pPr>
    </w:p>
    <w:p>
      <w:pPr>
        <w:spacing w:after="80"/>
        <w:jc w:val="center"/>
      </w:pPr>
      <w:r>
        <w:t xml:space="preserve">Running Head: Mining-Driven Deforestation and Tribal Welfare in Odisha</w:t>
      </w:r>
    </w:p>
    <w:p>
      <w:pPr>
        <w:spacing w:after="600"/>
      </w:pPr>
    </w:p>
    <w:p>
      <w:pPr>
        <w:spacing w:after="80"/>
        <w:jc w:val="center"/>
      </w:pPr>
      <w:r>
        <w:rPr>
          <w:b/>
          <w:bCs/>
        </w:rPr>
        <w:t xml:space="preserve">[Author Name Placeholder]</w:t>
      </w:r>
    </w:p>
    <w:p>
      <w:pPr>
        <w:spacing w:after="80"/>
        <w:jc w:val="center"/>
      </w:pPr>
      <w:r>
        <w:t xml:space="preserve">[Institutional Affiliation Placeholder]</w:t>
      </w:r>
    </w:p>
    <w:p>
      <w:pPr>
        <w:spacing w:after="80"/>
        <w:jc w:val="center"/>
      </w:pPr>
      <w:r>
        <w:t xml:space="preserve">[Corresponding Author Email Placeholder]</w:t>
      </w:r>
    </w:p>
    <w:p>
      <w:pPr>
        <w:spacing w:after="800"/>
      </w:pPr>
    </w:p>
    <w:p>
      <w:pPr>
        <w:spacing w:after="80"/>
        <w:jc w:val="center"/>
      </w:pPr>
      <w:r>
        <w:t xml:space="preserve">This Draft: 12 June 2026</w:t>
      </w:r>
    </w:p>
    <w:p>
      <w:pPr>
        <w:spacing w:after="1200"/>
      </w:pPr>
    </w:p>
    <w:p>
      <w:pPr>
        <w:spacing w:after="120" w:line="480"/>
        <w:jc w:val="center"/>
      </w:pPr>
      <w:r>
        <w:t xml:space="preserve">Keywords: Odisha; mining; deforestation; NDVI; tribal welfare; Forest Rights Act; spatial econometrics; resource governance; SDG 15</w:t>
      </w:r>
    </w:p>
    <w:p>
      <w:pPr>
        <w:spacing w:after="120" w:line="480"/>
        <w:jc w:val="center"/>
      </w:pPr>
      <w:r>
        <w:t xml:space="preserve">JEL Classification: Q23, Q56, O13, R11, I32</w:t>
      </w:r>
    </w:p>
    <w:p>
      <w:r>
        <w:br w:type="page"/>
      </w:r>
    </w:p>
    <w:p>
      <w:pPr>
        <w:pStyle w:val="Heading1"/>
      </w:pPr>
      <w:r>
        <w:t xml:space="preserve">Abstract</w:t>
      </w:r>
    </w:p>
    <w:p>
      <w:pPr>
        <w:spacing w:after="120" w:line="480"/>
        <w:jc w:val="both"/>
      </w:pPr>
      <w:r>
        <w:t xml:space="preserve">Odisha holds nearly a third of India's iron ore and chromite reserves, and its mining belt overlaps almost entirely with Schedule V tribal districts whose forest commons are protected, on paper, by the Forest Rights Act of 2006 and the Panchayats (Extension to Scheduled Areas) Act of 1996. Forest cover loss in this belt has been documented at fine spatial resolution, but no study has linked district-level deforestation trajectories causally to the welfare outcomes of the tribal populations who depend on these forests. This paper combines a 2001–2023 panel of satellite-derived forest-loss and vegetation indices for Odisha's mining districts with household- and block-level welfare indicators drawn from the National Family Health Survey, the Census of India, and the SDG India Index to estimate the effect of mining-induced forest-cover loss on a composite Tribal Welfare Index. Identification exploits the staggered timing of mining-lease expansions across districts in a Callaway and Sant'Anna (2021) difference-in-differences design, complemented by a spatial panel specification that accounts for cross-district spillovers in both forest loss and welfare outcomes. We hypothesize that forest-loss intensity is negatively associated with tribal welfare, that this relationship is attenuated where Forest Rights Act title recognition is more complete, and that forest loss in one district spills over into welfare losses in spatially contiguous districts. The paper's contribution is threefold: it is the first to integrate remote-sensing-derived environmental indicators with household-level welfare panels for India's eastern mining belt; it introduces FRA title-recognition as a policy-relevant moderating variable; and it translates the resulting estimates into specific recommendations for the Ministry of Environment, Forest and Climate Change and the Ministry of Tribal Affairs regarding forest-clearance conditionalities and compensatory afforestation targeting under the Viksit Odisha 2047 framework.</w:t>
      </w:r>
    </w:p>
    <w:p>
      <w:r>
        <w:br w:type="page"/>
      </w:r>
    </w:p>
    <w:p>
      <w:pPr>
        <w:pStyle w:val="Heading1"/>
      </w:pPr>
      <w:r>
        <w:t xml:space="preserve">I. Introduction</w:t>
      </w:r>
    </w:p>
    <w:p>
      <w:pPr>
        <w:spacing w:after="120" w:line="480"/>
        <w:jc w:val="both"/>
      </w:pPr>
      <w:r>
        <w:t xml:space="preserve">Between 2001 and 2019, Odisha's mining districts lost forest cover at a pace and spatial concentration rarely documented at this resolution for any Indian state: the highest cumulative forest-cover loss occurred in Rayagada, followed closely by Kalahandi, with Kandhamal not far behind, and the districts recording the most extensive losses were the same districts that witnessed sustained mass protests by indigenous tribal populations against mining expansion (Mishra et al., 2022). A more recent canopy-loss assessment covering 2020–2024 finds that almost half of all canopy loss in the state's mining belt is concentrated in just two districts, Keonjhar and Sundargarh, and that these districts also register the highest overlap with claims filed under the Forest Rights Act, alongside Jajpur as a secondary hotspot [CITE VERIFY: Preprints.org NDVI-based canopy loss assessment, Odisha mining belt, 2020-2024]. These two facts, taken together, frame the empirical puzzle at the centre of this paper: the geography of ecological loss and the geography of unresolved tribal land rights are not independent of one another, yet the economics literature has never tested whether they are causally linked through welfare outcomes.</w:t>
      </w:r>
    </w:p>
    <w:p>
      <w:pPr>
        <w:spacing w:after="120" w:line="480"/>
        <w:jc w:val="both"/>
      </w:pPr>
      <w:r>
        <w:t xml:space="preserve">The research question this paper answers is direct. Does mining-induced forest-cover loss reduce the welfare of tribal populations residing in Odisha's mining districts, and if so, does the strength of statutory forest-rights recognition under the Forest Rights Act moderate that relationship? The question matters for three audiences simultaneously. For development economists, Odisha is a textbook setting in which to test resource-curse mechanisms at sub-national scale: the state's mineral wealth is concentrated almost exactly where its poorest, most forest-dependent populations live, so any net welfare effect of extraction is a direct test of whether resource rents are captured locally or dissipated as environmental externalities borne by the poor. For environmental economists and remote-sensing scientists, the question matters because it converts a well-documented spatial pattern of forest loss into an economically interpretable outcome — a forest hectare lost is not merely a pixel reclassified in a Landsat scene, it is a unit of input into household livelihoods that can be priced in welfare terms. For policymakers, the question matters because India's forest-clearance regime under the Forest (Conservation) Act and the compensatory afforestation mechanism administered through CAMPA are currently calibrated on hectare-for-hectare ecological accounting, with no requirement that clearance decisions account for the welfare exposure of the communities that depend on the forest being cleared.</w:t>
      </w:r>
    </w:p>
    <w:p>
      <w:pPr>
        <w:spacing w:after="120" w:line="480"/>
        <w:jc w:val="both"/>
      </w:pPr>
      <w:r>
        <w:t xml:space="preserve">Mining in Odisha is not a marginal activity confined to a few enclaves. The state's mineral resource base — more than two dozen distinct minerals under active extraction — is concentrated almost entirely in forested tracts that double as the customary livelihood base of its Scheduled Tribe population, and Keonjhar district alone is home to a tribal population share of roughly forty-five percent, including some of the country's most vulnerable particularly vulnerable tribal groups [CITE VERIFY: Keonjhar district mining and tribal demographic profile, Directorate of Mines, Government of Odisha]. The same district, together with Sundargarh, accounts for the largest share of recent canopy loss in the state's mining belt [CITE VERIFY: Preprints.org 2020-2024 canopy loss assessment]. Mining-induced displacement has also generated some of India's most prolonged anti-mining resistance movements, with the contrasting trajectories of the Lanjigarh project in Kalahandi and the Kalinganagar project in Jajpur frequently cited as case studies of how local outcomes diverge even under similar regulatory regimes [CITE VERIFY: comparative study of Lanjigarh and Kalinganagar mining resistance movements, Odisha].</w:t>
      </w:r>
    </w:p>
    <w:p>
      <w:pPr>
        <w:spacing w:after="120" w:line="480"/>
        <w:jc w:val="both"/>
      </w:pPr>
      <w:r>
        <w:t xml:space="preserve">This paper's identification strategy proceeds in two complementary steps. First, we construct a district-by-year panel of forest-loss intensity using the Hansen Global Forest Change dataset and Landsat-derived NDVI trends, following the processing approach validated for Odisha's mining belt by Mishra et al. (2022), who deployed the Hansen dataset on the Google Earth Engine platform to delineate forest-cover loss attributable to mining activity between 2001 and 2019. Second, we exploit the staggered timing of major mining-lease renewals and expansions — which followed the 2014–2015 Supreme Court-mandated auction reforms and the post-2016 transition of several opencast operations to underground working, a transition documented to have temporarily slowed deforestation before forest loss resumed and extended more than ten kilometres beyond original lease boundaries [CITE VERIFY: Journal of Environmental Management 2022, p.5, on post-2016 underground mining transition and extended deforestation footprint] — as a quasi-experiment in a Callaway and Sant'Anna (2021) staggered difference-in-differences framework. The dependent variable is a composite Tribal Welfare Index constructed from National Family Health Survey Round 5 indicators (infant mortality, stunting, anaemia), Census 2011 housing-quality and literacy measures, and the SDG India Index district-level scores published by NITI Aayog.</w:t>
      </w:r>
    </w:p>
    <w:p>
      <w:pPr>
        <w:spacing w:after="120" w:line="480"/>
        <w:jc w:val="both"/>
      </w:pPr>
      <w:r>
        <w:t xml:space="preserve">The paper's preview of findings is necessarily conditional on data not yet assembled, but the direction and plausible magnitude of the central estimate can be bounded by the existing literature. If the relationship between forest-loss intensity and the Tribal Welfare Index follows the pattern implied by the spatial coincidence of high forest-loss districts and high-protest districts documented by Mishra et al. (2022), we expect a negative and economically meaningful coefficient on forest-loss intensity, attenuated in blocks where Forest Rights Act title recognition is more complete — precisely the moderation pattern suggested by the co-location of high canopy loss and high FRA-claim backlogs in Keonjhar and Sundargarh [CITE VERIFY: Preprints.org 2020-2024 canopy loss and FRA overlap statistics]. A null or positive coefficient would itself be informative, implying that mining rents are being captured locally through employment and infrastructure channels at a rate sufficient to offset environmental costs — a finding that would run against the qualitative displacement literature on Odisha [CITE VERIFY: ScienceDirect 2025, mining-induced displacement and tribal resistance in Odisha] and would therefore warrant careful robustness testing before being taken at face value.</w:t>
      </w:r>
    </w:p>
    <w:p>
      <w:pPr>
        <w:spacing w:after="120" w:line="480"/>
        <w:jc w:val="both"/>
      </w:pPr>
      <w:r>
        <w:t xml:space="preserve">This paper contributes to three literatures. First, it extends the remote-sensing literature on Odisha's mining-driven deforestation — represented by Mishra et al. (2022), Ranjan [CITE VERIFY: Ranjan 2019, district-level mining and forest cover loss across India], and subsequent Landsat-based vegetation-dynamics studies of the eastern Indian opencast belt [CITE VERIFY: Science of the Total Environment, opencast mining and vegetation dynamics, eastern India] — by converting its spatial outputs into an economic panel variable rather than leaving forest loss as a purely physical-geography outcome. Second, it contributes to the resource-curse literature in development economics by providing, to our knowledge, the first sub-national causal estimate of the forest-loss-to-welfare channel for an Indian mining region, as distinct from the cross-country resource-curse literature that typically operates at much coarser spatial resolution [CITE NEEDED: cross-country and sub-national resource curse literature, India focus]. Third, it contributes to the literature on forest tenure and conservation outcomes by treating Forest Rights Act recognition not as a binary policy dummy but as a continuously varying block-level moderator, allowing the paper to speak directly to the design of India's forest-governance institutions [CITE NEEDED: literature on Forest Rights Act implementation and conservation/welfare outcomes in India].</w:t>
      </w:r>
    </w:p>
    <w:p>
      <w:pPr>
        <w:spacing w:after="120" w:line="480"/>
        <w:jc w:val="both"/>
      </w:pPr>
      <w:r>
        <w:t xml:space="preserve">The remainder of the paper proceeds as follows. Section II reviews the literature on mining-driven deforestation in Odisha, tribal displacement and resistance, Forest Rights Act implementation, and the broader resource-curse and spatial-econometrics literatures, before developing three formal hypotheses. Section III describes the construction of the geospatial and survey-based panel. Section IV presents the empirical strategy, including the spatial panel specification and the staggered difference-in-differences design. Section V reports baseline results, robustness checks, and heterogeneity analysis. Section VI presents mechanism and cross-sectional tests. Section VII concludes with policy implications for forest-clearance governance in Odisha and avenues for future research.</w:t>
      </w:r>
    </w:p>
    <w:p>
      <w:r>
        <w:br w:type="page"/>
      </w:r>
    </w:p>
    <w:p>
      <w:pPr>
        <w:pStyle w:val="Heading1"/>
      </w:pPr>
      <w:r>
        <w:t xml:space="preserve">II. Literature Review and Hypothesis Development</w:t>
      </w:r>
    </w:p>
    <w:p>
      <w:pPr>
        <w:pStyle w:val="Heading2"/>
      </w:pPr>
      <w:r>
        <w:t xml:space="preserve">II.A What We Know</w:t>
      </w:r>
    </w:p>
    <w:p>
      <w:pPr>
        <w:spacing w:after="120" w:line="480"/>
        <w:jc w:val="both"/>
      </w:pPr>
      <w:r>
        <w:t xml:space="preserve">The remote-sensing literature on Odisha's mining belt is the most empirically advanced component of the relevant evidence base. Mishra et al. (2022) used the Hansen Global Forest Change dataset on Google Earth Engine to construct a cost-effective, spatially explicit accounting of forest-cover loss across Odisha State between 2001 and 2019, finding that the highest cumulative losses occurred in Rayagada, followed by Kalahandi and Kandhamal, and that these districts also experienced the state's most sustained tribal protest movements. Their work builds on Ranjan's [CITE VERIFY: Ranjan 2019] district-level analysis of mining-related forest-cover loss across roughly 300 Indian districts, which found that coal, iron, and limestone extraction were associated with the most severe forest losses nationally, though that study reported only district-aggregate statistics without spatial delineation of the loss footprint relative to lease boundaries. A subsequent Landsat-based study of vegetation dynamics in the eastern Indian opencast belt extended the Hansen-based approach with a regional focus on the Dhamanjodi and Koraput mining clusters [CITE VERIFY: Science of the Total Environment, opencast mining vegetation dynamics, eastern India], while site-level NDVI and land-surface-temperature work in the Joda-Barbil cluster of Keonjhar district documented a measurable rise in surface air temperature alongside the conversion of dense to sparse vegetation cover between 2003 and 2018 [CITE VERIFY: Geospatial Effect on Mining Operation in Joda/Barbil Area of Odisha].</w:t>
      </w:r>
    </w:p>
    <w:p>
      <w:pPr>
        <w:spacing w:after="120" w:line="480"/>
        <w:jc w:val="both"/>
      </w:pPr>
      <w:r>
        <w:t xml:space="preserve">A parallel qualitative and socio-economic literature documents the human dimension of this ecological transformation without quantifying it in panel-econometric terms. Case studies of Keonjhar district describe severe soil-fertility loss, water contamination, and deforestation attributable to mining, with consequences for agricultural productivity and household water access in villages surrounding mining blocks [CITE VERIFY: Impact of Mining on Socio-Economic and Health Status of Indigenous People, Keonjhar case study]. At the political-economy level, a comparative study of the Lanjigarh bauxite project in Kalahandi district and the Kalinganagar steel project in Jajpur district documents how mining-induced displacement generated divergent trajectories of tribal resistance, with the contrast between the two cases used to identify the institutional and social factors that determine whether anti-mining mobilization succeeds or fails [CITE VERIFY: ScienceDirect 2025, mining-induced displacement and tribal resistance, Lanjigarh and Kalinganagar]. Most recently, a 2020–2024 NDVI-based canopy-loss assessment finds that nearly half of total canopy loss in Odisha's mining belt over that period was concentrated in Keonjhar (approximately 4,700 hectares) and Sundargarh (approximately 4,200 hectares), with Jajpur forming a secondary hotspot at roughly 3,100 hectares, and that these same three districts register the highest overlap between canopy loss and areas where Forest Rights Act claims have been filed [CITE VERIFY: Preprints.org 2020-2024 canopy loss and socio-ecological exposure assessment, Odisha].</w:t>
      </w:r>
    </w:p>
    <w:p>
      <w:pPr>
        <w:spacing w:after="120" w:line="480"/>
        <w:jc w:val="both"/>
      </w:pPr>
      <w:r>
        <w:t xml:space="preserve">Beyond Odisha, the broader literatures this paper draws on are well established but have not, to our knowledge, been integrated with the Odisha-specific evidence above. The resource-curse literature in development economics has long examined whether natural-resource abundance translates into local economic benefit or into a development trap characterised by weak institutions, rent-seeking, and environmental degradation [CITE NEEDED: foundational resource curse literature, Sachs and Warner tradition and sub-national extensions]. The spatial econometrics literature provides the toolkit — spatial autoregressive and spatial Durbin models, Moran's I diagnostics for spatial dependence — required to test whether forest loss and welfare outcomes cluster geographically in ways that ordinary panel fixed-effects models would mischaracterise as independent observations [CITE NEEDED: spatial econometrics methodology, LeSage and Pace tradition]. The forest-governance literature on the Forest Rights Act, 2006, documents wide variation across Indian states and districts in the pace and completeness of individual and community forest-rights title recognition, variation that this paper proposes to use as a policy-relevant moderator [CITE NEEDED: Forest Rights Act implementation literature, India].</w:t>
      </w:r>
    </w:p>
    <w:p>
      <w:pPr>
        <w:pStyle w:val="Heading2"/>
      </w:pPr>
      <w:r>
        <w:t xml:space="preserve">II.B What Is Debated</w:t>
      </w:r>
    </w:p>
    <w:p>
      <w:pPr>
        <w:spacing w:after="120" w:line="480"/>
        <w:jc w:val="both"/>
      </w:pPr>
      <w:r>
        <w:t xml:space="preserve">Three points of unresolved disagreement structure this paper's contribution. The first concerns the post-2016 trajectory of mining-driven deforestation in Odisha. Mishra et al. (2022) report that the transition of several major opencast operations to underground working after 2016 was associated with an apparent slowdown in forest destruction, yet the same source notes that deforestation has since resumed and now extends more than ten kilometres beyond original lease boundaries, driven by the combined effects of land-use displacement, urban expansion, supply-chain infrastructure, and the spread of mine waste [CITE VERIFY: Journal of Environmental Management 2022, p.5]. Whether this represents a genuine structural break in the deforestation process, or merely a temporary dip followed by a return to trend with a wider spatial footprint, remains unresolved, and the answer matters directly for how this paper's staggered difference-in-differences design should define treatment timing.</w:t>
      </w:r>
    </w:p>
    <w:p>
      <w:pPr>
        <w:spacing w:after="120" w:line="480"/>
        <w:jc w:val="both"/>
      </w:pPr>
      <w:r>
        <w:t xml:space="preserve">The second debate concerns whether mining-related employment and infrastructure spillovers are sufficient to offset the environmental costs borne by tribal populations — the central empirical question of any resource-curse test applied at sub-national scale. The qualitative displacement literature on Odisha tends to emphasise net welfare losses for displaced and forest-dependent communities [CITE VERIFY: ScienceDirect 2025, mining-induced displacement and tribal resistance], while the broader Indian mining-economics literature has at times emphasised local employment and revenue-sharing benefits under district mineral foundation funds [CITE NEEDED: District Mineral Foundation revenue-sharing literature, India]. No study has tested these competing claims within a single causal framework that allows the net effect to be estimated rather than assumed.</w:t>
      </w:r>
    </w:p>
    <w:p>
      <w:pPr>
        <w:spacing w:after="120" w:line="480"/>
        <w:jc w:val="both"/>
      </w:pPr>
      <w:r>
        <w:t xml:space="preserve">The third debate concerns the role of the Forest Rights Act itself. Some assessments treat FRA title recognition as a protective mechanism that should attenuate the welfare costs of nearby forest loss, by securing tenure and access rights even as forest cover declines; others treat incomplete FRA implementation as itself evidence that the same institutional weaknesses that permit unauthorised forest loss also prevent effective tenure recognition, implying that FRA recognition rates may be endogenous to the same governance quality that determines deforestation pressure [CITE NEEDED: literature on FRA implementation as a governance-quality indicator]. This paper's empirical strategy must therefore treat FRA recognition as a potentially endogenous moderator and test its robustness accordingly, a point developed further in Section IV.</w:t>
      </w:r>
    </w:p>
    <w:p>
      <w:pPr>
        <w:pStyle w:val="Heading2"/>
      </w:pPr>
      <w:r>
        <w:t xml:space="preserve">II.C What Is Missing — The Gap This Paper Fills</w:t>
      </w:r>
    </w:p>
    <w:p>
      <w:pPr>
        <w:spacing w:after="120" w:line="480"/>
        <w:jc w:val="both"/>
      </w:pPr>
      <w:r>
        <w:t xml:space="preserve">No existing study links district- or block-level forest-cover-loss trajectories in Odisha's mining belt to household-level tribal welfare outcomes within a causal panel framework. The remote-sensing literature, exemplified by Mishra et al. (2022), is spatially precise but stops at the ecological outcome: forest hectares lost. The socio-economic and political-economy literature, exemplified by the Keonjhar case study and the Lanjigarh-Kalinganagar comparison, is rich in institutional detail but is cross-sectional or case-based, with no panel structure that would permit a causal estimate of the forest-loss-to-welfare relationship. Neither literature has incorporated Forest Rights Act recognition as a moderating variable, despite the striking spatial coincidence — documented for 2020–2024 — between the districts with the highest canopy loss and the districts with the highest FRA-claim overlap [CITE VERIFY: Preprints.org 2020-2024 canopy loss and FRA overlap]. This paper closes that gap by constructing the first integrated geospatial-welfare panel for Odisha's mining districts and by estimating the forest-loss-to-welfare relationship under an identification strategy that addresses the endogeneity of both mining-lease timing and FRA recognition.</w:t>
      </w:r>
    </w:p>
    <w:p>
      <w:pPr>
        <w:pStyle w:val="Heading2"/>
      </w:pPr>
      <w:r>
        <w:t xml:space="preserve">II.D Hypothesis Development</w:t>
      </w:r>
    </w:p>
    <w:p>
      <w:pPr>
        <w:pStyle w:val="Heading3"/>
      </w:pPr>
      <w:r>
        <w:t xml:space="preserve">Hypothesis 1: Forest-Loss Intensity and Tribal Welfare</w:t>
      </w:r>
    </w:p>
    <w:p>
      <w:pPr>
        <w:spacing w:after="120" w:line="480"/>
        <w:jc w:val="both"/>
      </w:pPr>
      <w:r>
        <w:t xml:space="preserve">Theory. Forest commons provide tribal households in Odisha's mining belt with non-timber forest produce income, fuelwood, grazing land, and water-regulation services that are not fully substitutable through markets, particularly in remote Schedule V blocks with limited road connectivity. Standard household-production models of forest-dependent livelihoods predict that a reduction in accessible forest area raises the shadow price of these non-marketed inputs, reducing effective household income even if cash income from mining employment rises for some households.</w:t>
      </w:r>
    </w:p>
    <w:p>
      <w:pPr>
        <w:spacing w:after="120" w:line="480"/>
        <w:jc w:val="both"/>
      </w:pPr>
      <w:r>
        <w:t xml:space="preserve">Economic mechanism. As forest-loss intensity rises in a district, the area of accessible, undisturbed forest available to surrounding tribal blocks contracts, raising the time and distance cost of collecting forest produce and reducing the reliability of forest-based water sources — channels that operate independently of, and in addition to, any direct displacement from mining leases themselves.</w:t>
      </w:r>
    </w:p>
    <w:p>
      <w:pPr>
        <w:spacing w:after="120" w:line="480"/>
        <w:jc w:val="both"/>
      </w:pPr>
      <w:r>
        <w:t xml:space="preserve">Testable prediction. H1 (null): District-level forest-loss intensity has no association with the block-level Tribal Welfare Index, conditional on district and year fixed effects. H1 (alternative): Forest-loss intensity is negatively associated with the Tribal Welfare Index, with the coefficient economically meaningful — that is, a one-standard-deviation increase in forest-loss intensity is associated with a decline in the Tribal Welfare Index of a magnitude comparable to, or larger than, the welfare gap between adjacent NFHS survey rounds.</w:t>
      </w:r>
    </w:p>
    <w:p>
      <w:pPr>
        <w:pStyle w:val="Heading3"/>
      </w:pPr>
      <w:r>
        <w:t xml:space="preserve">Hypothesis 2: Moderation by Forest Rights Act Recognition</w:t>
      </w:r>
    </w:p>
    <w:p>
      <w:pPr>
        <w:spacing w:after="120" w:line="480"/>
        <w:jc w:val="both"/>
      </w:pPr>
      <w:r>
        <w:t xml:space="preserve">Theory. Property-rights theory predicts that secure tenure changes the incentive structure facing both the household and the local administration: where individual or community forest-rights titles have been formally recognised under the FRA, households retain a legally enforceable claim to specified forest areas and produce even as the surrounding forest landscape changes, and local forest departments face a higher procedural cost of permitting further encroachment on titled areas.</w:t>
      </w:r>
    </w:p>
    <w:p>
      <w:pPr>
        <w:spacing w:after="120" w:line="480"/>
        <w:jc w:val="both"/>
      </w:pPr>
      <w:r>
        <w:t xml:space="preserve">Economic mechanism. In blocks with high FRA title-recognition rates, a given amount of district-level forest loss is more likely to be concentrated outside titled community forest-resource areas, insulating titled households from the full welfare impact; in blocks with low recognition rates, forest loss is more likely to encroach on the de facto — but not de jure protected — forest-use areas on which households depend, transmitting the full welfare cost.</w:t>
      </w:r>
    </w:p>
    <w:p>
      <w:pPr>
        <w:spacing w:after="120" w:line="480"/>
        <w:jc w:val="both"/>
      </w:pPr>
      <w:r>
        <w:t xml:space="preserve">Testable prediction. H2 (null): The interaction between forest-loss intensity and the block-level FRA title-recognition rate is zero. H2 (alternative): The interaction term is positive — that is, higher FRA recognition rates attenuate (make less negative) the welfare cost of forest-loss intensity estimated under H1.</w:t>
      </w:r>
    </w:p>
    <w:p>
      <w:pPr>
        <w:pStyle w:val="Heading3"/>
      </w:pPr>
      <w:r>
        <w:t xml:space="preserve">Hypothesis 3: Spatial Spillovers Across Contiguous Mining Districts</w:t>
      </w:r>
    </w:p>
    <w:p>
      <w:pPr>
        <w:spacing w:after="120" w:line="480"/>
        <w:jc w:val="both"/>
      </w:pPr>
      <w:r>
        <w:t xml:space="preserve">Theory. Forest ecosystems and tribal livelihood networks do not respect district administrative boundaries, particularly in the contiguous mining belt running from Keonjhar and Sundargarh through Jajpur to Kalahandi, Rayagada, Koraput, and Kandhamal. Spatial economic theory predicts that a shock to forest cover in one district affects neighbouring districts both through ecological spillovers (loss of upstream watershed forest affecting downstream water availability) and through economic spillovers (labour migration in response to local mining expansion altering forest-use pressure in adjacent districts).</w:t>
      </w:r>
    </w:p>
    <w:p>
      <w:pPr>
        <w:spacing w:after="120" w:line="480"/>
        <w:jc w:val="both"/>
      </w:pPr>
      <w:r>
        <w:t xml:space="preserve">Economic mechanism. Forest loss in a focal district raises forest-use pressure on contiguous districts as displaced forest-dependent activity relocates, while simultaneously degrading shared watershed services that affect agricultural and water-related welfare components in neighbouring blocks.</w:t>
      </w:r>
    </w:p>
    <w:p>
      <w:pPr>
        <w:spacing w:after="120" w:line="480"/>
        <w:jc w:val="both"/>
      </w:pPr>
      <w:r>
        <w:t xml:space="preserve">Testable prediction. H3 (null): The spatial autoregressive coefficient ρ on the Tribal Welfare Index, and the corresponding Moran's I statistic on model residuals, are not statistically different from zero. H3 (alternative): ρ and Moran's I are positive and statistically significant, indicating that an ordinary non-spatial panel model would understate the standard errors on the H1 coefficient and that forest-loss shocks propagate across the contiguous mining belt rather than remaining confined to the district in which they originate.</w:t>
      </w:r>
    </w:p>
    <w:p>
      <w:r>
        <w:br w:type="page"/>
      </w:r>
    </w:p>
    <w:p>
      <w:pPr>
        <w:pStyle w:val="Heading1"/>
      </w:pPr>
      <w:r>
        <w:t xml:space="preserve">III. Data and Sample Construction</w:t>
      </w:r>
    </w:p>
    <w:p>
      <w:pPr>
        <w:pStyle w:val="Heading2"/>
      </w:pPr>
      <w:r>
        <w:t xml:space="preserve">III.A Data Sources</w:t>
      </w:r>
    </w:p>
    <w:p>
      <w:pPr>
        <w:spacing w:after="120" w:line="480"/>
        <w:jc w:val="both"/>
      </w:pPr>
      <w:r>
        <w:t xml:space="preserve">The panel combines four categories of data, each drawn from a recognised, replicable source. Geospatial environmental data are drawn from the Hansen Global Forest Change dataset (University of Maryland, accessed via Google Earth Engine), which provides annual forest-cover-loss layers at 30-metre resolution from 2001 onward and which forms the basis of the Odisha-specific forest-loss accounting in Mishra et al. (2022); from Landsat 5/7/8/9 surface-reflectance products, used to construct annual median Normalized Difference Vegetation Index (NDVI) composites at 30-metre resolution; from Sentinel-2 imagery (available from 2015) for higher-resolution validation of NDVI trends in the most recent sub-period; and from VIIRS Night-Time Lights composites as a proxy for local economic activity associated with mining and ancillary infrastructure development.</w:t>
      </w:r>
    </w:p>
    <w:p>
      <w:pPr>
        <w:spacing w:after="120" w:line="480"/>
        <w:jc w:val="both"/>
      </w:pPr>
      <w:r>
        <w:t xml:space="preserve">Welfare and demographic data are drawn from three sources: the National Family Health Survey, Rounds 4 and 5 (NFHS-4, 2015–16, and NFHS-5, 2019–21), which provide district-level estimates of infant mortality, child stunting and wasting, anaemia prevalence, and household amenity indicators; the Census of India 2011, which provides block-level Scheduled Tribe population shares, literacy rates, and housing-quality indicators that serve as the pre-period baseline; and the SDG India Index, published periodically by NITI Aayog, which provides district-level composite scores mapped to SDG targets, including SDG 1 (No Poverty), SDG 3 (Good Health), and SDG 15 (Life on Land).</w:t>
      </w:r>
    </w:p>
    <w:p>
      <w:pPr>
        <w:spacing w:after="120" w:line="480"/>
        <w:jc w:val="both"/>
      </w:pPr>
      <w:r>
        <w:t xml:space="preserve">Mining-lease and regulatory data are drawn from the Directorate of Mines, Government of Odisha, which maintains records of lease grant, renewal, and expansion dates required to construct the staggered treatment-timing variable, and from Ministry of Environment, Forest and Climate Change environmental-clearance records (Parivesh portal), which document the dates of forest-clearance approvals associated with lease expansions. Forest Rights Act implementation data are drawn from the Ministry of Tribal Affairs FRA monitoring dashboard, which reports the number of individual and community forest-resource claims filed and titles distributed at block level.</w:t>
      </w:r>
    </w:p>
    <w:p>
      <w:pPr>
        <w:pStyle w:val="Heading2"/>
      </w:pPr>
      <w:r>
        <w:t xml:space="preserve">III.B Sample Period and Unit of Observation</w:t>
      </w:r>
    </w:p>
    <w:p>
      <w:pPr>
        <w:spacing w:after="120" w:line="480"/>
        <w:jc w:val="both"/>
      </w:pPr>
      <w:r>
        <w:t xml:space="preserve">The sample period runs from 2001 to 2023 for the geospatial panel, matching the start of the Hansen Global Forest Change record, and from 2011 to 2021 for the welfare panel, matching the availability of Census 2011 baseline data and NFHS-5 endline data. The unit of observation is the district-year for the baseline specification (eight to ten districts comprising Odisha's principal mining belt: Keonjhar, Sundargarh, Jajpur, Angul, Sambalpur, Kalahandi, Rayagada, Koraput, and Kandhamal), with a block-year panel (approximately 150 Schedule V blocks within these districts) used for the FRA-moderation specification in H2, where block-level variation in title-recognition rates is essential to identifying the interaction effect.</w:t>
      </w:r>
    </w:p>
    <w:p>
      <w:pPr>
        <w:pStyle w:val="Heading2"/>
      </w:pPr>
      <w:r>
        <w:t xml:space="preserve">III.C Sample Filters</w:t>
      </w:r>
    </w:p>
    <w:p>
      <w:pPr>
        <w:pStyle w:val="ListParagraph"/>
        <w:numPr>
          <w:ilvl w:val="0"/>
          <w:numId w:val="2"/>
        </w:numPr>
        <w:spacing w:after="60" w:line="360"/>
      </w:pPr>
      <w:r>
        <w:t xml:space="preserve">Districts are included only if at least one active mining lease was in operation for at least five years within the sample period, ensuring that the forest-loss-intensity variable reflects mining-attributable rather than purely agricultural or urban-expansion-driven loss.</w:t>
      </w:r>
    </w:p>
    <w:p>
      <w:pPr>
        <w:pStyle w:val="ListParagraph"/>
        <w:numPr>
          <w:ilvl w:val="0"/>
          <w:numId w:val="2"/>
        </w:numPr>
        <w:spacing w:after="60" w:line="360"/>
      </w:pPr>
      <w:r>
        <w:t xml:space="preserve">Blocks are excluded from the FRA-moderation sample if FRA claim records are missing for more than two consecutive monitoring periods, to avoid attributing zero-recognition status to administrative non-reporting rather than genuine non-recognition.</w:t>
      </w:r>
    </w:p>
    <w:p>
      <w:pPr>
        <w:pStyle w:val="ListParagraph"/>
        <w:numPr>
          <w:ilvl w:val="0"/>
          <w:numId w:val="2"/>
        </w:numPr>
        <w:spacing w:after="60" w:line="360"/>
      </w:pPr>
      <w:r>
        <w:t xml:space="preserve">NDVI composites are restricted to the dry-season window (November–February) in each year to minimise cloud contamination and monsoon-driven vegetation flush, which would otherwise bias year-to-year comparability.</w:t>
      </w:r>
    </w:p>
    <w:p>
      <w:pPr>
        <w:pStyle w:val="ListParagraph"/>
        <w:numPr>
          <w:ilvl w:val="0"/>
          <w:numId w:val="2"/>
        </w:numPr>
        <w:spacing w:after="60" w:line="360"/>
      </w:pPr>
      <w:r>
        <w:t xml:space="preserve">District-years in which a major administrative boundary change occurred (district bifurcation) are flagged and harmonised to pre-bifurcation boundaries using area-weighted disaggregation, to preserve panel continuity.</w:t>
      </w:r>
    </w:p>
    <w:p>
      <w:pPr>
        <w:pStyle w:val="Heading2"/>
      </w:pPr>
      <w:r>
        <w:t xml:space="preserve">III.D Variable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160"/>
        <w:gridCol w:w="1800"/>
      </w:tblGrid>
      <w:tr>
        <w:tc>
          <w:tcPr>
            <w:tcW w:type="dxa" w:w="18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spacing w:after="0" w:line="240"/>
              <w:jc w:val="left"/>
            </w:pPr>
            <w:r>
              <w:rPr>
                <w:b/>
                <w:bCs/>
                <w:sz w:val="20"/>
                <w:szCs w:val="20"/>
              </w:rPr>
              <w:t xml:space="preserve">Variable</w:t>
            </w:r>
          </w:p>
        </w:tc>
        <w:tc>
          <w:tcPr>
            <w:tcW w:type="dxa" w:w="36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spacing w:after="0" w:line="240"/>
              <w:jc w:val="left"/>
            </w:pPr>
            <w:r>
              <w:rPr>
                <w:b/>
                <w:bCs/>
                <w:sz w:val="20"/>
                <w:szCs w:val="20"/>
              </w:rPr>
              <w:t xml:space="preserve">Definition / Formula</w:t>
            </w:r>
          </w:p>
        </w:tc>
        <w:tc>
          <w:tcPr>
            <w:tcW w:type="dxa" w:w="216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spacing w:after="0" w:line="240"/>
              <w:jc w:val="left"/>
            </w:pPr>
            <w:r>
              <w:rPr>
                <w:b/>
                <w:bCs/>
                <w:sz w:val="20"/>
                <w:szCs w:val="20"/>
              </w:rPr>
              <w:t xml:space="preserve">Source</w:t>
            </w:r>
          </w:p>
        </w:tc>
        <w:tc>
          <w:tcPr>
            <w:tcW w:type="dxa" w:w="18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spacing w:after="0" w:line="240"/>
              <w:jc w:val="left"/>
            </w:pPr>
            <w:r>
              <w:rPr>
                <w:b/>
                <w:bCs/>
                <w:sz w:val="20"/>
                <w:szCs w:val="20"/>
              </w:rPr>
              <w:t xml:space="preserve">Expected Sign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Tribal Welfare Index (TWI)</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Composite z-score of: (i) infant mortality rate (inverted), (ii) child stunting rate (inverted), (iii) literacy rate, (iv) housing-quality index, (v) SDG India Index district score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NFHS-5; Census 2011; SDG India Index</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Dependent variable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Forest Loss Intensity (FLI)</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Annual hectares of forest-cover loss / total forest area in 2000, district-year</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Hansen Global Forest Change (GEE)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Negative (H1)</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NDVI Trend</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Ordinary least squares slope of annual dry-season median NDVI, 2001–2023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Landsat 5/7/8/9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Positive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FRA Recognition Rate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Individual + community forest-resource titles distributed / claims filed, block level</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MoTA FRA Monitoring Dashboard</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Positive; moderator (H2)</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Mining Proximity Index</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Inverse distance (km) from block centroid to nearest active lease centroid</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Directorate of Mines, Odisha (lease GIS layers)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Control</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Night-Light Intensity</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Annual mean radiance, VIIRS composite, district-year</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VIIRS Night-Time Lights (NOAA)</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Control / mechanism</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Treatment Timing (Staggered DiD)</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Year of first major lease expansion (&gt;20% lease-area increase) in district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Directorate of Mines; MoEFCC Parivesh</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sz w:val="20"/>
                <w:szCs w:val="20"/>
              </w:rPr>
              <w:t xml:space="preserve">Defines cohort</w:t>
            </w:r>
          </w:p>
        </w:tc>
      </w:tr>
    </w:tbl>
    <w:p>
      <w:pPr>
        <w:spacing w:after="120" w:line="240"/>
        <w:jc w:val="both"/>
      </w:pPr>
      <w:r>
        <w:t xml:space="preserve"/>
      </w:r>
    </w:p>
    <w:p>
      <w:pPr>
        <w:spacing w:after="120" w:line="480"/>
        <w:jc w:val="both"/>
      </w:pPr>
      <w:r>
        <w:t xml:space="preserve">Table 1 (described). Summary statistics [INSERT DATA] are expected to show forest-loss intensity highest in Keonjhar and Sundargarh, consistent with the 2020–2024 canopy-loss estimates of approximately 4,700 and 4,200 hectares respectively reported for these two districts [CITE VERIFY: Preprints.org 2020-2024 canopy loss assessment]. The Tribal Welfare Index is expected to show its lowest mean values in the same two districts plus Rayagada and Kalahandi, consistent with the protest-intensity pattern documented for 2001–2019 (Mishra et al., 2022). The FRA recognition rate is expected to exhibit substantial block-level variance even within districts, motivating the block-level specification for H2.</w:t>
      </w:r>
    </w:p>
    <w:p>
      <w:pPr>
        <w:spacing w:after="120" w:line="480"/>
        <w:jc w:val="both"/>
      </w:pPr>
      <w:r>
        <w:t xml:space="preserve">Table 2 (described). The correlation matrix [INSERT DATA] is expected to show a negative correlation between forest-loss intensity and the Tribal Welfare Index, a positive correlation between the Mining Proximity Index and forest-loss intensity (consistent with the documented spread of deforestation beyond lease boundaries; Journal of Environmental Management, 2022), and a moderate positive correlation between night-light intensity and forest-loss intensity that motivates the mechanism analysis in Section VI. Variance inflation factors will be computed for all controls; any VIF exceeding 5 will trigger removal or transformation of the offending variable before estimation.</w:t>
      </w:r>
    </w:p>
    <w:p>
      <w:r>
        <w:br w:type="page"/>
      </w:r>
    </w:p>
    <w:p>
      <w:pPr>
        <w:pStyle w:val="Heading1"/>
      </w:pPr>
      <w:r>
        <w:t xml:space="preserve">IV. Empirical Strategy</w:t>
      </w:r>
    </w:p>
    <w:p>
      <w:pPr>
        <w:pStyle w:val="Heading2"/>
      </w:pPr>
      <w:r>
        <w:t xml:space="preserve">IV.A Baseline Spatial Panel Specification</w:t>
      </w:r>
    </w:p>
    <w:p>
      <w:pPr>
        <w:spacing w:after="120" w:line="480"/>
        <w:jc w:val="both"/>
      </w:pPr>
      <w:r>
        <w:t xml:space="preserve">The baseline specification estimates the relationship posited in H1 and H2 using a spatial panel fixed-effects model:</w:t>
      </w:r>
    </w:p>
    <w:p>
      <w:pPr>
        <w:spacing w:after="120"/>
        <w:jc w:val="center"/>
      </w:pPr>
      <w:r>
        <w:rPr>
          <w:i/>
          <w:iCs/>
        </w:rPr>
        <w:t xml:space="preserve">TWI_it = β1 FLI_it + β2 FRA_it + β3 (FLI_it × FRA_it) + γ X_it + ρ W·TWI_it + α_i + τ_t + ε_it    (1)</w:t>
      </w:r>
    </w:p>
    <w:p>
      <w:pPr>
        <w:spacing w:after="120" w:line="480"/>
        <w:jc w:val="both"/>
      </w:pPr>
      <w:r>
        <w:t xml:space="preserve">where TWI_it is the Tribal Welfare Index for block (or district) i in year t; FLI_it is forest-loss intensity; FRA_it is the Forest Rights Act recognition rate; X_it is a vector of controls including the Mining Proximity Index, night-light intensity, NDVI trend, and terrain slope (from SRTM, capturing topographic constraints on both mining and agriculture); W is a spatial weights matrix based on district contiguity; α_i and τ_t are unit and year fixed effects; and ε_it is a cluster-robust error term, clustered at the district level.</w:t>
      </w:r>
    </w:p>
    <w:p>
      <w:pPr>
        <w:spacing w:after="120" w:line="480"/>
        <w:jc w:val="both"/>
      </w:pPr>
      <w:r>
        <w:t xml:space="preserve">The coefficient of primary interest, β1, tests H1. The interaction coefficient β3 tests H2 and is predicted to be positive (attenuating) under the alternative hypothesis. The spatial autoregressive coefficient ρ tests H3: a statistically significant positive ρ indicates that welfare outcomes in spatially contiguous mining districts are correlated beyond what is explained by the included covariates and fixed effects, motivating the spatial specification over a purely panel-fixed-effects alternative.</w:t>
      </w:r>
    </w:p>
    <w:p>
      <w:pPr>
        <w:pStyle w:val="Heading2"/>
      </w:pPr>
      <w:r>
        <w:t xml:space="preserve">IV.B Identification Strategy: Staggered Difference-in-Differences</w:t>
      </w:r>
    </w:p>
    <w:p>
      <w:pPr>
        <w:spacing w:after="120" w:line="480"/>
        <w:jc w:val="both"/>
      </w:pPr>
      <w:r>
        <w:t xml:space="preserve">Equation (1) is estimated by ordinary panel fixed effects as a baseline, but the coefficient β1 is potentially biased by reverse causality — districts with declining tribal welfare may also be those where state administrations face less political resistance to approving mining-lease expansions, generating a spurious negative correlation that runs from welfare to forest loss rather than the reverse. To address this, the paper's primary identification strategy treats major mining-lease expansions (defined as an increase in active lease area exceeding twenty percent within a single year) as a staggered treatment, with treatment timing varying across districts according to the historical record of lease-expansion approvals.</w:t>
      </w:r>
    </w:p>
    <w:p>
      <w:pPr>
        <w:spacing w:after="120" w:line="480"/>
        <w:jc w:val="both"/>
      </w:pPr>
      <w:r>
        <w:t xml:space="preserve">We implement the Callaway and Sant'Anna (2021) estimator for staggered treatment timing, which computes group-time average treatment effects ATT(g,t) for each treatment cohort g and time period t, and aggregates these into an overall average treatment effect on the treated. This estimator is preferred over a standard two-way fixed-effects DiD specification because the latter is known to produce biased estimates under staggered treatment timing when treatment effects are heterogeneous across cohorts — a concern that is first-order in this setting, given that districts treated earlier (pre-2014 lease expansions, prior to the Supreme Court-mandated auction reforms) may exhibit different dynamic responses than districts treated after 2016, when several operations transitioned to underground working and the deforestation footprint is documented to have changed character, extending beyond lease boundaries rather than concentrating within them [CITE VERIFY: Journal of Environmental Management, 2022, p.5].</w:t>
      </w:r>
    </w:p>
    <w:p>
      <w:pPr>
        <w:pStyle w:val="Heading2"/>
      </w:pPr>
      <w:r>
        <w:t xml:space="preserve">IV.C Instrumentation and Endogeneity of Forest-Loss Intensity</w:t>
      </w:r>
    </w:p>
    <w:p>
      <w:pPr>
        <w:spacing w:after="120" w:line="480"/>
        <w:jc w:val="both"/>
      </w:pPr>
      <w:r>
        <w:t xml:space="preserve">As a complementary approach to the staggered DiD design, and to address residual endogeneity in forest-loss intensity itself (districts with more accessible, lower-slope forest may experience both more mining and, independently, more agricultural encroachment), the paper instruments FLI_it with a time-invariant measure of pre-2000 geological mineral endowment — specifically, the density of identified ore-bearing strata within each district as mapped by the Geological Survey of India prior to the sample period — interacted with national-level annual iron-ore and chromite price indices. The exclusion restriction requires that pre-2000 geological endowment, which is fixed by nature and predates the sample period, affects tribal welfare only through its interaction with national mineral prices and the resulting variation in extraction intensity, and not through any direct channel. We will report the first-stage F-statistic and discuss the plausibility of the exclusion restriction explicitly, including the possibility that pre-existing geological endowment is correlated with historical settlement patterns that independently affect welfare — a threat we address by including district fixed effects, which absorb any time-invariant correlation between geology and baseline welfare levels.</w:t>
      </w:r>
    </w:p>
    <w:p>
      <w:pPr>
        <w:pStyle w:val="Heading2"/>
      </w:pPr>
      <w:r>
        <w:t xml:space="preserve">IV.D Fixed Effects, Clustering, and Threats to Identification</w:t>
      </w:r>
    </w:p>
    <w:p>
      <w:pPr>
        <w:spacing w:after="120" w:line="480"/>
        <w:jc w:val="both"/>
      </w:pPr>
      <w:r>
        <w:t xml:space="preserve">All specifications include district (or block) fixed effects, absorbing time-invariant unobserved heterogeneity such as baseline forest endowment, historical settlement patterns, and administrative capacity. Year fixed effects absorb state-wide shocks, including changes in national mining policy following the 2014–2015 Supreme Court auction-reform judgments and the COVID-19-related disruption to both mining activity and NFHS-5 fieldwork timing in 2020–21. Standard errors are clustered at the district level to account for serial correlation in both forest-loss intensity and welfare outcomes within districts over time; given the relatively small number of districts (eight to ten), we additionally report wild-cluster bootstrap p-values as recommended for settings with few clusters.</w:t>
      </w:r>
    </w:p>
    <w:p>
      <w:pPr>
        <w:spacing w:after="120" w:line="480"/>
        <w:jc w:val="both"/>
      </w:pPr>
      <w:r>
        <w:t xml:space="preserve">The most serious remaining threat to identification is the possibility that FRA recognition rates (FRA_it) are themselves endogenous to the same district-level governance quality that determines both forest-loss intensity and welfare outcomes — the concern raised in Section II.B. We address this in two ways: first, by including the interaction term β3 in a specification that also controls for a district-level governance-quality proxy (administrative staffing ratios from district human-development reports); and second, by re-estimating H2 using only the sub-sample of blocks where FRA claim-filing rates (rather than recognition rates) are high, isolating variation in recognition conditional on demand for recognition having been expressed.</w:t>
      </w:r>
    </w:p>
    <w:p>
      <w:r>
        <w:br w:type="page"/>
      </w:r>
    </w:p>
    <w:p>
      <w:pPr>
        <w:pStyle w:val="Heading1"/>
      </w:pPr>
      <w:r>
        <w:t xml:space="preserve">V. Results</w:t>
      </w:r>
    </w:p>
    <w:p>
      <w:pPr>
        <w:spacing w:after="120" w:line="480"/>
        <w:jc w:val="both"/>
      </w:pPr>
      <w:r>
        <w:t xml:space="preserve">This section reports the empirical results in template form. All coefficient values, standard errors, and test statistics are marked [INSERT DATA] pending assembly of the panel described in Section III; the discussion below states the magnitude and direction the literature leads us to expect, so that the completed manuscript requires only the insertion of estimated values rather than a restructuring of the argument.</w:t>
      </w:r>
    </w:p>
    <w:p>
      <w:pPr>
        <w:pStyle w:val="Heading2"/>
      </w:pPr>
      <w:r>
        <w:t xml:space="preserve">V.A Baseline Results</w:t>
      </w:r>
    </w:p>
    <w:p>
      <w:pPr>
        <w:spacing w:after="120" w:line="480"/>
        <w:jc w:val="both"/>
      </w:pPr>
      <w:r>
        <w:t xml:space="preserve">Table 3 [INSERT DATA] reports estimates of equation (1). We expect β1, the coefficient on forest-loss intensity, to be negative and statistically significant at conventional levels, with a magnitude such that a one-standard-deviation increase in forest-loss intensity (calibrated, pending data, to the district-level loss intensities implied by the 4,700-hectare and 4,200-hectare losses reported for Keonjhar and Sundargarh over 2020–2024 [CITE VERIFY: Preprints.org canopy loss assessment]) corresponds to a decline in the Tribal Welfare Index of a magnitude comparable to the gap between the bottom and second-from-bottom district in the SDG India Index health and nutrition sub-indices. This magnitude framing — rather than significance alone — is the standard against which the completed results will be reported: a statistically significant but economically trivial coefficient would not support the strong-form alternative hypothesis even if it rejects the null.</w:t>
      </w:r>
    </w:p>
    <w:p>
      <w:pPr>
        <w:spacing w:after="120" w:line="480"/>
        <w:jc w:val="both"/>
      </w:pPr>
      <w:r>
        <w:t xml:space="preserve">The interaction coefficient β3 is expected to be positive, consistent with H2, and economically large enough that in blocks at the 75th percentile of FRA recognition, the net effect of forest-loss intensity on the Tribal Welfare Index (β1 + β3 × FRA_75) is statistically indistinguishable from zero, while in blocks at the 25th percentile of recognition the net effect remains strongly negative. This pattern — full attenuation at high recognition, no attenuation at low recognition — would be the cleanest possible support for H2 and is the benchmark against which [INSERT DATA] should be compared.</w:t>
      </w:r>
    </w:p>
    <w:p>
      <w:pPr>
        <w:pStyle w:val="Heading2"/>
      </w:pPr>
      <w:r>
        <w:t xml:space="preserve">V.B Spatial Diagnostics</w:t>
      </w:r>
    </w:p>
    <w:p>
      <w:pPr>
        <w:spacing w:after="120" w:line="480"/>
        <w:jc w:val="both"/>
      </w:pPr>
      <w:r>
        <w:t xml:space="preserve">Moran's I statistics computed on the residuals of a non-spatial version of equation (1) [INSERT DATA] are expected to be positive and statistically significant for both forest-loss intensity and the Tribal Welfare Index, given the contiguous geography of the mining belt running from Keonjhar through Sundargarh, Jajpur, and into the southern cluster of Kalahandi, Rayagada, Koraput, and Kandhamal. A significant positive Moran's I would justify the spatial autoregressive term ρ in equation (1) and would itself constitute support for H3. We will additionally report results from a spatial Durbin specification, which allows the controls X_it (not only TWI_it) to exhibit spatial spillovers, as a robustness check on the functional form of the spatial dependence.</w:t>
      </w:r>
    </w:p>
    <w:p>
      <w:pPr>
        <w:pStyle w:val="Heading2"/>
      </w:pPr>
      <w:r>
        <w:t xml:space="preserve">V.C Robustness Checks</w:t>
      </w:r>
    </w:p>
    <w:p>
      <w:pPr>
        <w:pStyle w:val="ListParagraph"/>
        <w:numPr>
          <w:ilvl w:val="0"/>
          <w:numId w:val="2"/>
        </w:numPr>
        <w:spacing w:after="60" w:line="360"/>
      </w:pPr>
      <w:r>
        <w:t xml:space="preserve">Alternative forest-loss windows: re-estimation using five-year and ten-year rolling forest-loss intensities, to test sensitivity to the choice of annual versus cumulative measures.</w:t>
      </w:r>
    </w:p>
    <w:p>
      <w:pPr>
        <w:pStyle w:val="ListParagraph"/>
        <w:numPr>
          <w:ilvl w:val="0"/>
          <w:numId w:val="2"/>
        </w:numPr>
        <w:spacing w:after="60" w:line="360"/>
      </w:pPr>
      <w:r>
        <w:t xml:space="preserve">Alternative TWI construction: re-estimation using principal-component-derived weights for the Tribal Welfare Index in place of equal weighting, to address the arbitrary-weighting concern raised in the referee-report simulation below.</w:t>
      </w:r>
    </w:p>
    <w:p>
      <w:pPr>
        <w:pStyle w:val="ListParagraph"/>
        <w:numPr>
          <w:ilvl w:val="0"/>
          <w:numId w:val="2"/>
        </w:numPr>
        <w:spacing w:after="60" w:line="360"/>
      </w:pPr>
      <w:r>
        <w:t xml:space="preserve">Subsample analysis: re-estimation excluding Jajpur and Angul, the two districts in the sample with the largest non-mining industrial bases, to confirm that results are not driven by industrial activity unrelated to mining-driven deforestation.</w:t>
      </w:r>
    </w:p>
    <w:p>
      <w:pPr>
        <w:pStyle w:val="ListParagraph"/>
        <w:numPr>
          <w:ilvl w:val="0"/>
          <w:numId w:val="2"/>
        </w:numPr>
        <w:spacing w:after="60" w:line="360"/>
      </w:pPr>
      <w:r>
        <w:t xml:space="preserve">Placebo / pre-trend tests: event-study plots of TWI in the periods preceding each treatment cohort's lease-expansion date, to confirm the absence of differential pre-trends that would violate the parallel-trends assumption underlying the Callaway-Sant'Anna estimator.</w:t>
      </w:r>
    </w:p>
    <w:p>
      <w:pPr>
        <w:pStyle w:val="ListParagraph"/>
        <w:numPr>
          <w:ilvl w:val="0"/>
          <w:numId w:val="2"/>
        </w:numPr>
        <w:spacing w:after="60" w:line="360"/>
      </w:pPr>
      <w:r>
        <w:t xml:space="preserve">Falsification test: re-estimation of equation (1) using a placebo outcome — district-level urban (non-tribal) welfare indicators — under the prior that forest-loss intensity should have a substantially smaller effect on urban welfare than on the Tribal Welfare Index, since the hypothesised mechanism operates through forest-dependent livelihoods.</w:t>
      </w:r>
    </w:p>
    <w:p>
      <w:pPr>
        <w:pStyle w:val="Heading2"/>
      </w:pPr>
      <w:r>
        <w:t xml:space="preserve">V.D Heterogeneity Analysis</w:t>
      </w:r>
    </w:p>
    <w:p>
      <w:pPr>
        <w:spacing w:after="120" w:line="480"/>
        <w:jc w:val="both"/>
      </w:pPr>
      <w:r>
        <w:t xml:space="preserve">We split the sample by terciles of the Mining Proximity Index to test whether the forest-loss-to-welfare relationship is concentrated in blocks closest to active leases, consistent with the documented spread of deforestation up to and beyond ten kilometres from lease boundaries [CITE VERIFY: Journal of Environmental Management, 2022, p.5], or whether it is diffuse across the district. We additionally split by pre-period (2011) Scheduled Tribe population share, on the prior that the welfare cost of forest loss should be concentrated in blocks with the highest tribal population shares — most notably Keonjhar, at approximately forty-five percent [CITE VERIFY: Keonjhar tribal population share, Directorate of Mines / Census].</w:t>
      </w:r>
    </w:p>
    <w:p>
      <w:r>
        <w:br w:type="page"/>
      </w:r>
    </w:p>
    <w:p>
      <w:pPr>
        <w:pStyle w:val="Heading1"/>
      </w:pPr>
      <w:r>
        <w:t xml:space="preserve">VI. Additional Analyses: Mechanisms and Cross-Sectional Variation</w:t>
      </w:r>
    </w:p>
    <w:p>
      <w:pPr>
        <w:pStyle w:val="Heading2"/>
      </w:pPr>
      <w:r>
        <w:t xml:space="preserve">VI.A Mechanism Tests</w:t>
      </w:r>
    </w:p>
    <w:p>
      <w:pPr>
        <w:spacing w:after="120" w:line="480"/>
        <w:jc w:val="both"/>
      </w:pPr>
      <w:r>
        <w:t xml:space="preserve">To empirically demonstrate the forest-dependent-livelihood channel posited in H1, we decompose the Tribal Welfare Index into its component indicators and re-estimate equation (1) separately for each component. The theoretical prediction is that forest-loss intensity should load most heavily on components most directly tied to forest-product access and water availability — child stunting and anaemia prevalence, both of which are sensitive to dietary diversity and water quality — and least heavily on components such as literacy, which operate on a longer time horizon and through different channels (school access, administrative investment). A pattern in which [INSERT DATA] confirms this ordering — stunting and anaemia coefficients larger in magnitude than the literacy coefficient — would constitute direct evidence for the livelihood-access mechanism rather than a generic correlation between forest loss and any underlying district-quality factor.</w:t>
      </w:r>
    </w:p>
    <w:p>
      <w:pPr>
        <w:spacing w:after="120" w:line="480"/>
        <w:jc w:val="both"/>
      </w:pPr>
      <w:r>
        <w:t xml:space="preserve">As a second mechanism test, we examine whether night-light intensity (a proxy for mining-related infrastructure and economic activity) rises in districts experiencing forest-loss intensity, and whether districts with the largest night-light increases show smaller (less negative) coefficients on the welfare relationship — direct evidence on the resource-curse debate identified in Section II.B. If night-light growth is positively correlated with forest-loss intensity but the welfare coefficient does not differ across high- and low-night-light districts, this would suggest that mining-related economic activity, as proxied by night lights, accrues to populations other than the tribal households captured in the Tribal Welfare Index — itself a policy-relevant finding regarding the local distribution of mining rents.</w:t>
      </w:r>
    </w:p>
    <w:p>
      <w:pPr>
        <w:pStyle w:val="Heading2"/>
      </w:pPr>
      <w:r>
        <w:t xml:space="preserve">VI.B Cross-Sectional Variation by Mineral Type</w:t>
      </w:r>
    </w:p>
    <w:p>
      <w:pPr>
        <w:spacing w:after="120" w:line="480"/>
        <w:jc w:val="both"/>
      </w:pPr>
      <w:r>
        <w:t xml:space="preserve">Following the finding that coal, iron, and limestone extraction are associated with the most severe forest-cover losses nationally [CITE VERIFY: Ranjan 2019], we test whether the forest-loss-to-welfare coefficient varies by the dominant mineral extracted in each district — iron ore and chromite in Keonjhar and Sundargarh, bauxite in Kalahandi, and coal in Sundargarh and Angul. Differences in extraction technology (opencast versus underground, the latter associated with the post-2016 transition documented for several Odisha operations [CITE VERIFY: Journal of Environmental Management, 2022]) and in the spatial footprint of each mineral's processing infrastructure provide a basis for expecting heterogeneous coefficients across mineral types, which would inform mineral-specific forest-clearance conditionalities rather than a uniform state-wide rule.</w:t>
      </w:r>
    </w:p>
    <w:p>
      <w:r>
        <w:br w:type="page"/>
      </w:r>
    </w:p>
    <w:p>
      <w:pPr>
        <w:pStyle w:val="Heading1"/>
      </w:pPr>
      <w:r>
        <w:t xml:space="preserve">VII. Conclusion</w:t>
      </w:r>
    </w:p>
    <w:p>
      <w:pPr>
        <w:spacing w:after="120" w:line="480"/>
        <w:jc w:val="both"/>
      </w:pPr>
      <w:r>
        <w:t xml:space="preserve">This paper set out to answer a question that the existing literature on Odisha's mining belt has documented the ingredients for but never combined: whether the forest-cover loss so precisely mapped by remote-sensing studies translates into measurable welfare costs for the tribal populations whose customary livelihoods depend on that forest, and whether the Forest Rights Act — the principal statutory instrument intended to protect those livelihoods — moderates that relationship. By constructing a district- and block-level panel that integrates Hansen Global Forest Change and Landsat-derived environmental indicators with NFHS, Census, and SDG India Index welfare measures, and by identifying the relationship using a Callaway-Sant'Anna staggered difference-in-differences design around mining-lease expansions, the paper provides — pending the empirical estimates marked [INSERT DATA] throughout — the first causal evidence on this question for any Indian mining region.</w:t>
      </w:r>
    </w:p>
    <w:p>
      <w:pPr>
        <w:spacing w:after="120" w:line="480"/>
        <w:jc w:val="both"/>
      </w:pPr>
      <w:r>
        <w:t xml:space="preserve">The economic and policy implications of the expected findings are direct. If forest-loss intensity is found to impose a negative and economically meaningful welfare cost on tribal populations, and if that cost is substantially attenuated where Forest Rights Act recognition is more complete, the policy implication is not a blanket restriction on mining in Odisha's mineral belt but a targeted acceleration of FRA title recognition in the specific districts — Keonjhar, Sundargarh, Rayagada, Kalahandi, and Koraput — that combine the highest forest-loss intensity with the highest documented FRA-claim backlogs [CITE VERIFY: Preprints.org 2020-2024 canopy loss and FRA overlap]. Concretely, this would mean that the Ministry of Tribal Affairs treats FRA title-settlement pace in these five districts as a forest-clearance precondition under the Ministry of Environment, Forest and Climate Change's environmental-clearance process administered through the Parivesh portal, and that compensatory afforestation funds disbursed under CAMPA are weighted toward the welfare-cost estimates produced by this paper's framework rather than toward hectare-for-hectare ecological replacement alone. At the state level, this framing aligns directly with the Viksit Odisha 2047 development strategy's stated dual objective of mineral-sector growth and tribal welfare improvement, by providing the quantitative basis on which these two objectives can be jointly evaluated rather than pursued as separate, unweighted policy tracks.</w:t>
      </w:r>
    </w:p>
    <w:p>
      <w:pPr>
        <w:spacing w:after="120" w:line="480"/>
        <w:jc w:val="both"/>
      </w:pPr>
      <w:r>
        <w:t xml:space="preserve">The paper's limitations are acknowledged honestly rather than minimised. The welfare panel's temporal resolution — anchored to NFHS-4 and NFHS-5, roughly four years apart — is coarser than the annual geospatial panel, requiring interpolation that introduces measurement error; the robustness checks in Section V.C address this only partially, through Census-anchored alternative specifications. The exclusion restriction underlying the geological-endowment instrument in Section IV.C, while defensible on the grounds that pre-2000 geology is fixed by nature, cannot be tested directly and rests on the assumption that district fixed effects fully absorb any direct channel from historical geology to welfare via historical settlement patterns — an assumption that future work with finer-grained historical settlement data could test more directly. Finally, the paper's single-state focus, while justified by the unusual richness of Odisha-specific remote-sensing evidence (Mishra et al., 2022; the 2020–2024 canopy-loss assessment), limits external validity to other Indian mining belts — Jharkhand, Chhattisgarh, and the Bastar region of Madhya Pradesh — where similar institutional configurations (Schedule V status, FRA implementation variation, contiguous mining-tribal geography) suggest the framework would transfer, but where the empirical magnitudes may differ substantially given different mineral compositions and extraction histories.</w:t>
      </w:r>
    </w:p>
    <w:p>
      <w:pPr>
        <w:spacing w:after="120" w:line="480"/>
        <w:jc w:val="both"/>
      </w:pPr>
      <w:r>
        <w:t xml:space="preserve">Future research extending this paper falls into four areas. First, firm-level matching of BRSR sustainability disclosures from Odisha-operating mining companies against the satellite-derived forest-loss footprint constructed here would provide a direct test of the greenwashing-risk channel flagged in the ESG literature, asking whether firms' reported restoration and afforestation commitments are visible in the post-disturbance NDVI trajectory at the lease level. Second, extension of the panel to Jharkhand and Chhattisgarh would test the external validity of the FRA-moderation finding across states with different recognition-rate trajectories. Third, a machine-learning early-warning model trained on the NDVI and night-light panels constructed here could be developed to flag blocks at high risk of near-term forest-loss-driven welfare decline, supporting proactive rather than retrospective FRA title prioritisation. Fourth, household-survey data collection in the highest-risk blocks identified by this paper's heterogeneity analysis would allow the composite Tribal Welfare Index to be validated against directly measured forest-product income, closing the gap between the survey-based proxy used here and the household-production-theory mechanism developed in Section II.D.</w:t>
      </w:r>
    </w:p>
    <w:p>
      <w:r>
        <w:br w:type="page"/>
      </w:r>
    </w:p>
    <w:p>
      <w:pPr>
        <w:pStyle w:val="Heading1"/>
      </w:pPr>
      <w:r>
        <w:t xml:space="preserve">References</w:t>
      </w:r>
    </w:p>
    <w:p>
      <w:pPr>
        <w:spacing w:after="120" w:line="240"/>
        <w:jc w:val="both"/>
      </w:pPr>
      <w:r>
        <w:t xml:space="preserve">Callaway, B., &amp; Sant'Anna, P. H. C. (2021). Difference-in-differences with multiple time periods. Journal of Econometrics, 225(2), 200–230.</w:t>
      </w:r>
    </w:p>
    <w:p>
      <w:pPr>
        <w:spacing w:after="120" w:line="240"/>
        <w:jc w:val="both"/>
      </w:pPr>
      <w:r>
        <w:t xml:space="preserve">Mishra, M., Santos, C. A. G., Nascimento, T. V. M., Dash, M. K., da Silva, R. M., Kar, D., &amp; Acharyya, T. (2022). Mining impacts on forest cover change in a tropical forest using remote sensing and spatial information from 2001–2019: A case study of Odisha (India). Journal of Environmental Management, 302, 114067.</w:t>
      </w:r>
    </w:p>
    <w:p>
      <w:pPr>
        <w:spacing w:after="120" w:line="240"/>
        <w:jc w:val="both"/>
      </w:pPr>
      <w:r>
        <w:t xml:space="preserve">[CITE VERIFY: Ranjan, R. (2019). District-level analysis of mining-related forest cover loss across India. — full citation to be confirmed via Scopus/Google Scholar]</w:t>
      </w:r>
    </w:p>
    <w:p>
      <w:pPr>
        <w:spacing w:after="120" w:line="240"/>
        <w:jc w:val="both"/>
      </w:pPr>
      <w:r>
        <w:t xml:space="preserve">[CITE VERIFY: Quantifying the impacts of opencast mining on vegetation dynamics over eastern India using long-term Landsat-series satellite data. Science of the Total Environment (2022 series) — full citation to be confirmed.]</w:t>
      </w:r>
    </w:p>
    <w:p>
      <w:pPr>
        <w:spacing w:after="120" w:line="240"/>
        <w:jc w:val="both"/>
      </w:pPr>
      <w:r>
        <w:t xml:space="preserve">[CITE VERIFY: Mining-induced displacement and tribal resistance: The case of Odisha, India — comparative study of Lanjigarh (Kalahandi) and Kalinganagar (Jajpur), ScienceDirect, 2025 — full citation to be confirmed.]</w:t>
      </w:r>
    </w:p>
    <w:p>
      <w:pPr>
        <w:spacing w:after="120" w:line="240"/>
        <w:jc w:val="both"/>
      </w:pPr>
      <w:r>
        <w:t xml:space="preserve">[CITE VERIFY: Impact of Mining on Socio-Economic and Health Status of Indigenous People — A Case Study of Keonjhar — full citation to be confirmed.]</w:t>
      </w:r>
    </w:p>
    <w:p>
      <w:pPr>
        <w:spacing w:after="120" w:line="240"/>
        <w:jc w:val="both"/>
      </w:pPr>
      <w:r>
        <w:t xml:space="preserve">[CITE VERIFY: Geospatial Effect on the Mining Operation in Joda/Barbil Area of Odisha, India — NDVI and LST analysis, Journal of Cleaner and Sustainable Agriculture Technology or equivalent — full citation to be confirmed.]</w:t>
      </w:r>
    </w:p>
    <w:p>
      <w:pPr>
        <w:spacing w:after="120" w:line="240"/>
        <w:jc w:val="both"/>
      </w:pPr>
      <w:r>
        <w:t xml:space="preserve">[CITE VERIFY: Mining Belt at the Brink: NDVI-Based Assessment of Forest Canopy Loss and Socio-Ecological Exposure in Odisha (2020–2024). Preprints.org, 2025. DOI to be confirmed.]</w:t>
      </w:r>
    </w:p>
    <w:p>
      <w:pPr>
        <w:spacing w:after="120" w:line="240"/>
        <w:jc w:val="both"/>
      </w:pPr>
      <w:r>
        <w:t xml:space="preserve">[CITE NEEDED: Foundational resource-curse literature — Sachs, J. D., &amp; Warner, A. M., and sub-national extensions to Indian mining districts.]</w:t>
      </w:r>
    </w:p>
    <w:p>
      <w:pPr>
        <w:spacing w:after="120" w:line="240"/>
        <w:jc w:val="both"/>
      </w:pPr>
      <w:r>
        <w:t xml:space="preserve">[CITE NEEDED: Spatial econometrics methodology — LeSage, J., &amp; Pace, R. K., spatial autoregressive and spatial Durbin model foundations.]</w:t>
      </w:r>
    </w:p>
    <w:p>
      <w:pPr>
        <w:spacing w:after="120" w:line="240"/>
        <w:jc w:val="both"/>
      </w:pPr>
      <w:r>
        <w:t xml:space="preserve">[CITE NEEDED: Forest Rights Act, 2006, implementation literature — variation in title recognition across Indian states and districts.]</w:t>
      </w:r>
    </w:p>
    <w:p>
      <w:pPr>
        <w:spacing w:after="120" w:line="240"/>
        <w:jc w:val="both"/>
      </w:pPr>
      <w:r>
        <w:t xml:space="preserve">[CITE NEEDED: District Mineral Foundation revenue-sharing literature, India — local capture of mining rents.]</w:t>
      </w:r>
    </w:p>
    <w:p>
      <w:pPr>
        <w:spacing w:after="120" w:line="240"/>
        <w:jc w:val="both"/>
      </w:pPr>
      <w:r>
        <w:t xml:space="preserve">[CITE NEEDED: Literature on FRA implementation as a governance-quality indicator and its endogeneity to conservation/welfare outcomes.]</w:t>
      </w:r>
    </w:p>
    <w:p>
      <w:pPr>
        <w:spacing w:after="200"/>
      </w:pPr>
    </w:p>
    <w:p>
      <w:pPr>
        <w:pStyle w:val="Heading2"/>
      </w:pPr>
      <w:r>
        <w:t xml:space="preserve">Citations Requiring Verification</w:t>
      </w:r>
    </w:p>
    <w:p>
      <w:pPr>
        <w:spacing w:after="120" w:line="240"/>
        <w:jc w:val="both"/>
      </w:pPr>
      <w:r>
        <w:t xml:space="preserve">The following items are flagged per the anti-hallucination protocol and must be resolved via Scopus, Web of Science, or Google Scholar before submission. Items marked [CITE VERIFY] correspond to sources identified via web search during drafting and require full bibliographic confirmation (DOI, volume, page numbers). Items marked [CITE NEEDED] correspond to literatures the manuscript relies on but for which no specific source was identified during drafting and which the author must supply.</w:t>
      </w:r>
    </w:p>
    <w:p>
      <w:pPr>
        <w:pStyle w:val="ListParagraph"/>
        <w:numPr>
          <w:ilvl w:val="0"/>
          <w:numId w:val="2"/>
        </w:numPr>
        <w:spacing w:after="60" w:line="360"/>
      </w:pPr>
      <w:r>
        <w:t xml:space="preserve">[CITE VERIFY] Ranjan (2019) — district-level mining/forest-cover-loss study, India</w:t>
      </w:r>
    </w:p>
    <w:p>
      <w:pPr>
        <w:pStyle w:val="ListParagraph"/>
        <w:numPr>
          <w:ilvl w:val="0"/>
          <w:numId w:val="2"/>
        </w:numPr>
        <w:spacing w:after="60" w:line="360"/>
      </w:pPr>
      <w:r>
        <w:t xml:space="preserve">[CITE VERIFY] Science of the Total Environment — opencast mining vegetation dynamics, eastern India (2022 series)</w:t>
      </w:r>
    </w:p>
    <w:p>
      <w:pPr>
        <w:pStyle w:val="ListParagraph"/>
        <w:numPr>
          <w:ilvl w:val="0"/>
          <w:numId w:val="2"/>
        </w:numPr>
        <w:spacing w:after="60" w:line="360"/>
      </w:pPr>
      <w:r>
        <w:t xml:space="preserve">[CITE VERIFY] ScienceDirect (2025) — mining-induced displacement and tribal resistance, Odisha</w:t>
      </w:r>
    </w:p>
    <w:p>
      <w:pPr>
        <w:pStyle w:val="ListParagraph"/>
        <w:numPr>
          <w:ilvl w:val="0"/>
          <w:numId w:val="2"/>
        </w:numPr>
        <w:spacing w:after="60" w:line="360"/>
      </w:pPr>
      <w:r>
        <w:t xml:space="preserve">[CITE VERIFY] Keonjhar socio-economic and health impact case study</w:t>
      </w:r>
    </w:p>
    <w:p>
      <w:pPr>
        <w:pStyle w:val="ListParagraph"/>
        <w:numPr>
          <w:ilvl w:val="0"/>
          <w:numId w:val="2"/>
        </w:numPr>
        <w:spacing w:after="60" w:line="360"/>
      </w:pPr>
      <w:r>
        <w:t xml:space="preserve">[CITE VERIFY] Geospatial Effect on Mining Operation in Joda/Barbil Area of Odisha</w:t>
      </w:r>
    </w:p>
    <w:p>
      <w:pPr>
        <w:pStyle w:val="ListParagraph"/>
        <w:numPr>
          <w:ilvl w:val="0"/>
          <w:numId w:val="2"/>
        </w:numPr>
        <w:spacing w:after="60" w:line="360"/>
      </w:pPr>
      <w:r>
        <w:t xml:space="preserve">[CITE VERIFY] Preprints.org (2025) — NDVI-based canopy loss and FRA overlap assessment, 2020–2024</w:t>
      </w:r>
    </w:p>
    <w:p>
      <w:pPr>
        <w:pStyle w:val="ListParagraph"/>
        <w:numPr>
          <w:ilvl w:val="0"/>
          <w:numId w:val="2"/>
        </w:numPr>
        <w:spacing w:after="60" w:line="360"/>
      </w:pPr>
      <w:r>
        <w:t xml:space="preserve">[CITE NEEDED] Sachs &amp; Warner-tradition resource curse literature, sub-national India extensions</w:t>
      </w:r>
    </w:p>
    <w:p>
      <w:pPr>
        <w:pStyle w:val="ListParagraph"/>
        <w:numPr>
          <w:ilvl w:val="0"/>
          <w:numId w:val="2"/>
        </w:numPr>
        <w:spacing w:after="60" w:line="360"/>
      </w:pPr>
      <w:r>
        <w:t xml:space="preserve">[CITE NEEDED] LeSage &amp; Pace spatial econometrics foundations</w:t>
      </w:r>
    </w:p>
    <w:p>
      <w:pPr>
        <w:pStyle w:val="ListParagraph"/>
        <w:numPr>
          <w:ilvl w:val="0"/>
          <w:numId w:val="2"/>
        </w:numPr>
        <w:spacing w:after="60" w:line="360"/>
      </w:pPr>
      <w:r>
        <w:t xml:space="preserve">[CITE NEEDED] FRA implementation variation literature, India</w:t>
      </w:r>
    </w:p>
    <w:p>
      <w:pPr>
        <w:pStyle w:val="ListParagraph"/>
        <w:numPr>
          <w:ilvl w:val="0"/>
          <w:numId w:val="2"/>
        </w:numPr>
        <w:spacing w:after="60" w:line="360"/>
      </w:pPr>
      <w:r>
        <w:t xml:space="preserve">[CITE NEEDED] District Mineral Foundation revenue-sharing literature</w:t>
      </w:r>
    </w:p>
    <w:p>
      <w:pPr>
        <w:pStyle w:val="ListParagraph"/>
        <w:numPr>
          <w:ilvl w:val="0"/>
          <w:numId w:val="2"/>
        </w:numPr>
        <w:spacing w:after="60" w:line="360"/>
      </w:pPr>
      <w:r>
        <w:t xml:space="preserve">[CITE NEEDED] FRA-as-governance-quality-indicator / endogeneity literature</w:t>
      </w:r>
    </w:p>
    <w:p>
      <w:r>
        <w:br w:type="page"/>
      </w:r>
    </w:p>
    <w:p>
      <w:pPr>
        <w:pStyle w:val="Heading1"/>
      </w:pPr>
      <w:r>
        <w:t xml:space="preserve">Referee Report Simulation</w:t>
      </w:r>
    </w:p>
    <w:p>
      <w:pPr>
        <w:spacing w:after="120" w:line="240"/>
        <w:jc w:val="both"/>
      </w:pPr>
      <w:r>
        <w:rPr>
          <w:b/>
          <w:bCs/>
        </w:rPr>
        <w:t xml:space="preserve">Manuscript: “Mining-Induced Deforestation and Tribal Welfare in Odisha: A Geospatial Panel Analysis of Environmental and Socioeconomic Trade-offs, 2001–2023”</w:t>
      </w:r>
    </w:p>
    <w:p>
      <w:pPr>
        <w:spacing w:after="120" w:line="240"/>
        <w:jc w:val="both"/>
      </w:pPr>
      <w:r>
        <w:rPr>
          <w:b/>
          <w:bCs/>
        </w:rPr>
        <w:t xml:space="preserve">Recommendation: Major Revision — strong setting and novel data integration, but empirical content is currently a template and the FRA-endogeneity concern requires a sharper identification argument before this could be evaluated for a top-3 finance/economics journal.</w:t>
      </w:r>
    </w:p>
    <w:p>
      <w:pPr>
        <w:pStyle w:val="Heading2"/>
      </w:pPr>
      <w:r>
        <w:t xml:space="preserve">Summary of Contribution</w:t>
      </w:r>
    </w:p>
    <w:p>
      <w:pPr>
        <w:spacing w:after="120" w:line="240"/>
        <w:jc w:val="both"/>
      </w:pPr>
      <w:r>
        <w:t xml:space="preserve">The paper proposes the first integration of remote-sensing-derived forest-loss measures for Odisha's mining belt with household-level tribal welfare panels, using a staggered difference-in-differences design around mining-lease expansions. Its strongest point is the spatial precision inherited from the underlying Hansen/Landsat data and the policy-relevant FRA-moderation variable, which speaks directly to an active debate about forest-tenure security in India.</w:t>
      </w:r>
    </w:p>
    <w:p>
      <w:pPr>
        <w:pStyle w:val="Heading2"/>
      </w:pPr>
      <w:r>
        <w:t xml:space="preserve">Major Concerns</w:t>
      </w:r>
    </w:p>
    <w:p>
      <w:pPr>
        <w:spacing w:after="120" w:line="240"/>
        <w:jc w:val="both"/>
      </w:pPr>
      <w:r>
        <w:t xml:space="preserve">1. Identification — The geological-endowment instrument is plausible but the exclusion restriction (Section IV.C) is asserted rather than tested, and the paper does not discuss whether pre-2000 geological surveys themselves were non-random with respect to tribal settlement history.</w:t>
      </w:r>
    </w:p>
    <w:p>
      <w:pPr>
        <w:spacing w:after="120" w:line="240"/>
        <w:jc w:val="both"/>
      </w:pPr>
      <w:r>
        <w:t xml:space="preserve">Suggested fix: Add a falsification test regressing pre-sample (pre-2001) welfare proxies, where available from Census 1991/2001, on the instrument; a null result would substantially strengthen the exclusion-restriction argument.</w:t>
      </w:r>
    </w:p>
    <w:p>
      <w:pPr>
        <w:spacing w:after="120" w:line="240"/>
        <w:jc w:val="both"/>
      </w:pPr>
      <w:r>
        <w:t xml:space="preserve">2. Endogeneity of the FRA moderator — Section II.B correctly flags that FRA recognition rates may be endogenous to governance quality, but the proposed fix (controlling for administrative staffing ratios) is a weak proxy for the underlying concern.</w:t>
      </w:r>
    </w:p>
    <w:p>
      <w:pPr>
        <w:spacing w:after="120" w:line="240"/>
        <w:jc w:val="both"/>
      </w:pPr>
      <w:r>
        <w:t xml:space="preserve">Suggested fix: Consider an instrument for FRA recognition rates based on the timing of state-level FRA implementation rule notifications, which varied across India for reasons plausibly unrelated to district-specific governance quality, rather than relying on a control variable alone.</w:t>
      </w:r>
    </w:p>
    <w:p>
      <w:pPr>
        <w:spacing w:after="120" w:line="240"/>
        <w:jc w:val="both"/>
      </w:pPr>
      <w:r>
        <w:t xml:space="preserve">3. Contribution relative to Mishra et al. (2022) — The paper leans heavily on a single source for its empirical motivation and spatial-pattern claims. While Mishra et al. (2022) is clearly central, the introduction and literature review would benefit from a wider base of independently sourced forest-loss evidence to avoid over-reliance on one paper's spatial rankings.</w:t>
      </w:r>
    </w:p>
    <w:p>
      <w:pPr>
        <w:spacing w:after="120" w:line="240"/>
        <w:jc w:val="both"/>
      </w:pPr>
      <w:r>
        <w:t xml:space="preserve">Suggested fix: Cross-validate the district-ranking claims (Rayagada, Kalahandi, Kandhamal as highest-loss 2001–2019; Keonjhar, Sundargarh as highest-loss 2020–2024) against an independently constructed Hansen-based extraction by the authors themselves, rather than citing prior papers' rankings only.</w:t>
      </w:r>
    </w:p>
    <w:p>
      <w:pPr>
        <w:pStyle w:val="Heading2"/>
      </w:pPr>
      <w:r>
        <w:t xml:space="preserve">Minor Concerns</w:t>
      </w:r>
    </w:p>
    <w:p>
      <w:pPr>
        <w:spacing w:after="120" w:line="240"/>
        <w:jc w:val="both"/>
      </w:pPr>
      <w:r>
        <w:t xml:space="preserve">1. The Tribal Welfare Index's equal-weighting scheme is introduced without justification in the main text; the PCA-weighting robustness check should be promoted to a co-equal baseline specification rather than a robustness appendix item.</w:t>
      </w:r>
    </w:p>
    <w:p>
      <w:pPr>
        <w:spacing w:after="120" w:line="240"/>
        <w:jc w:val="both"/>
      </w:pPr>
      <w:r>
        <w:t xml:space="preserve">2. Table 1 notation in Section III.D uses “FLI” and “TWI” without a consolidated notation table; add one for reader convenience given the density of acronyms (FRA, FLI, TWI, NDVI, NDBI, VIIRS).</w:t>
      </w:r>
    </w:p>
    <w:p>
      <w:pPr>
        <w:spacing w:after="120" w:line="240"/>
        <w:jc w:val="both"/>
      </w:pPr>
      <w:r>
        <w:t xml:space="preserve">3. The [CITE VERIFY] items for the 2020–2024 Preprints.org canopy-loss assessment should be resolved before submission, as a preprint-stage source for a key empirical motivation claim would draw immediate referee scrutiny at JF/JFE/RFS-adjacent outlets.</w:t>
      </w:r>
    </w:p>
    <w:p>
      <w:pPr>
        <w:spacing w:after="120" w:line="240"/>
        <w:jc w:val="both"/>
      </w:pPr>
      <w:r>
        <w:t xml:space="preserve">4. Section VI.B's mineral-type heterogeneity analysis would benefit from an explicit table mapping each sample district to its dominant mineral, presented earlier in Section III for reader orientation.</w:t>
      </w:r>
    </w:p>
    <w:p>
      <w:pPr>
        <w:pStyle w:val="Heading2"/>
      </w:pPr>
      <w:r>
        <w:t xml:space="preserve">Questions for Authors</w:t>
      </w:r>
    </w:p>
    <w:p>
      <w:pPr>
        <w:spacing w:after="120" w:line="240"/>
        <w:jc w:val="both"/>
      </w:pPr>
      <w:r>
        <w:t xml:space="preserve">1. How does the panel handle the 2018 reorganisation of administrative blocks in several Odisha districts, and does this affect the FRA-recognition-rate denominator (claims filed) consistency over time?</w:t>
      </w:r>
    </w:p>
    <w:p>
      <w:pPr>
        <w:spacing w:after="120" w:line="240"/>
        <w:jc w:val="both"/>
      </w:pPr>
      <w:r>
        <w:t xml:space="preserve">2. Is the Tribal Welfare Index validated against any directly observed forest-product-income measure, even at a single point in time, to support the household-production-theory mechanism claimed in Section II.D?</w:t>
      </w:r>
    </w:p>
    <w:p>
      <w:pPr>
        <w:spacing w:after="120" w:line="240"/>
        <w:jc w:val="both"/>
      </w:pPr>
      <w:r>
        <w:t xml:space="preserve">3. Given that NFHS-5 fieldwork was disrupted by COVID-19 in 2020–21, how does the paper address the possibility that this disruption was non-random across districts in ways correlated with mining activity?</w:t>
      </w:r>
    </w:p>
    <w:p>
      <w:pPr>
        <w:pStyle w:val="Heading2"/>
      </w:pPr>
      <w:r>
        <w:t xml:space="preserve">Overall Assessment</w:t>
      </w:r>
    </w:p>
    <w:p>
      <w:pPr>
        <w:spacing w:after="120" w:line="240"/>
        <w:jc w:val="both"/>
      </w:pPr>
      <w:r>
        <w:t xml:space="preserve">The research design is well-matched to a genuine gap and the data-integration strategy is, to this referee's knowledge, novel for the Odisha setting. The paper is not yet evaluable on its empirical merits because all coefficient estimates remain [INSERT DATA] placeholders, and the identification strategy — while well-motivated — rests on an instrument and a moderator (FRA recognition) that both require sharper endogeneity arguments before the causal claims in H1 and H2 can be taken at face value. With the data assembled and the major concerns above addressed, this would be a strong candidate for a field journal such as World Development, Land Use Policy, or the Journal of Environmental Management; a JF/JFE/RFS-tier submission would require a substantially sharper finance-specific contribution (e.g., firm-level cost-of-capital or BRSR-disclosure linkages) that the current draft gestures toward in Section VII but does not yet deliver.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4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line="4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line="4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2026-06-12T05:19:00.266Z</dcterms:created>
  <dcterms:modified xsi:type="dcterms:W3CDTF">2026-06-12T05:19:00.266Z</dcterms:modified>
</cp:coreProperties>
</file>

<file path=docProps/custom.xml><?xml version="1.0" encoding="utf-8"?>
<Properties xmlns="http://schemas.openxmlformats.org/officeDocument/2006/custom-properties" xmlns:vt="http://schemas.openxmlformats.org/officeDocument/2006/docPropsVTypes"/>
</file>