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rFonts w:ascii="Times New Roman" w:cs="Times New Roman" w:eastAsia="Times New Roman" w:hAnsi="Times New Roman"/>
          <w:b/>
          <w:bCs/>
          <w:color w:val="1F3864"/>
          <w:sz w:val="36"/>
          <w:szCs w:val="36"/>
        </w:rPr>
        <w:t xml:space="preserve">SUSTAINABLE FINANCE TAXONOMIES AND CORPORATE REAL EFFECTS:</w:t>
      </w:r>
    </w:p>
    <w:p>
      <w:pPr>
        <w:spacing w:after="480" w:before="120"/>
        <w:jc w:val="center"/>
      </w:pPr>
      <w:r>
        <w:rPr>
          <w:rFonts w:ascii="Times New Roman" w:cs="Times New Roman" w:eastAsia="Times New Roman" w:hAnsi="Times New Roman"/>
          <w:b/>
          <w:bCs/>
          <w:color w:val="C9A84C"/>
          <w:sz w:val="30"/>
          <w:szCs w:val="30"/>
        </w:rPr>
        <w:t xml:space="preserve">Evidence on Firm Investment, Innovation, and Productivity</w:t>
      </w:r>
    </w:p>
    <w:p>
      <w:pPr>
        <w:spacing w:after="80"/>
        <w:jc w:val="center"/>
      </w:pPr>
      <w:r>
        <w:rPr>
          <w:rFonts w:ascii="Times New Roman" w:cs="Times New Roman" w:eastAsia="Times New Roman" w:hAnsi="Times New Roman"/>
          <w:i/>
          <w:iCs/>
          <w:color w:val="888888"/>
          <w:sz w:val="24"/>
          <w:szCs w:val="24"/>
        </w:rPr>
        <w:t xml:space="preserve">[Author Names Blinded for Review]</w:t>
      </w:r>
    </w:p>
    <w:p>
      <w:pPr>
        <w:spacing w:after="480"/>
        <w:jc w:val="center"/>
      </w:pPr>
      <w:r>
        <w:rPr>
          <w:rFonts w:ascii="Times New Roman" w:cs="Times New Roman" w:eastAsia="Times New Roman" w:hAnsi="Times New Roman"/>
          <w:i/>
          <w:iCs/>
          <w:color w:val="888888"/>
          <w:sz w:val="24"/>
          <w:szCs w:val="24"/>
        </w:rPr>
        <w:t xml:space="preserve">[Affiliations Blinded for Review]</w:t>
      </w:r>
    </w:p>
    <w:p>
      <w:pPr>
        <w:spacing w:after="0" w:line="48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C9A84C" w:sz="12"/>
              <w:bottom w:val="single" w:color="1F3864" w:sz="6"/>
              <w:right w:val="none" w:color="FFFFFF" w:sz="0"/>
            </w:tcBorders>
            <w:shd w:fill="F5F5F5" w:val="clear"/>
            <w:tcMar>
              <w:top w:type="dxa" w:w="160"/>
              <w:left w:type="dxa" w:w="200"/>
              <w:bottom w:type="dxa" w:w="160"/>
              <w:right w:type="dxa" w:w="200"/>
            </w:tcMar>
          </w:tcPr>
          <w:p>
            <w:pPr>
              <w:spacing w:after="80"/>
            </w:pPr>
            <w:r>
              <w:rPr>
                <w:rFonts w:ascii="Times New Roman" w:cs="Times New Roman" w:eastAsia="Times New Roman" w:hAnsi="Times New Roman"/>
                <w:b/>
                <w:bCs/>
                <w:color w:val="1F3864"/>
                <w:sz w:val="24"/>
                <w:szCs w:val="24"/>
              </w:rPr>
              <w:t xml:space="preserve">ABSTRACT</w:t>
            </w:r>
          </w:p>
          <w:p>
            <w:pPr>
              <w:spacing w:after="0" w:line="400"/>
              <w:jc w:val="both"/>
            </w:pPr>
            <w:r>
              <w:rPr>
                <w:rFonts w:ascii="Times New Roman" w:cs="Times New Roman" w:eastAsia="Times New Roman" w:hAnsi="Times New Roman"/>
                <w:sz w:val="22"/>
                <w:szCs w:val="22"/>
              </w:rPr>
              <w:t xml:space="preserve">Sustainable finance taxonomies have emerged as pivotal regulatory instruments designed to channel capital toward environmentally and socially responsible activities. Yet causal evidence on whether taxonomy alignment shapes real economic outcomes — specifically firm-level investment and innovation — remains scarce. This paper exploits the staggered implementation of the EU Taxonomy Regulation (2020–2022) as a quasi-natural experiment to identify the causal effects of sustainable finance taxonomy classification on corporate capital expenditure, R&amp;D intensity, and patent activity. Using a global firm-year panel of 4,847 publicly listed firms across 32 countries drawn from COMPUSTAT Global and Bloomberg ESG data (2015–2023), we employ a Difference-in-Differences estimator with staggered treatment timing (Callaway &amp; Sant'Anna, 2021) to compare taxonomy-eligible firms against observably similar non-eligible firms before and after regulatory classification. We find that taxonomy alignment increases capital expenditure by 8.3% and R&amp;D intensity by 12.7% relative to the pre-treatment mean, with effects concentrated in firms operating in high-ambiguity sectors where regulatory classification most reduces informational uncertainty. Patent filings increase by 6.1% within two years of taxonomy alignment, consistent with a long-run innovation channel. Mechanism tests confirm that the investment effect operates through reduced cost of capital and improved access to green bond markets rather than direct regulatory compulsion. Our findings provide the first large-scale causal evidence that sustainable finance taxonomies reshape firm real investment decisions, with direct implications for taxonomy design policy globally.</w:t>
            </w:r>
          </w:p>
          <w:p>
            <w:pPr>
              <w:spacing w:after="0" w:line="144"/>
            </w:pPr>
            <w:r>
              <w:rPr>
                <w:sz w:val="24"/>
                <w:szCs w:val="24"/>
              </w:rPr>
              <w:t xml:space="preserve"/>
            </w:r>
          </w:p>
          <w:p>
            <w:pPr>
              <w:spacing w:after="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sustainable finance taxonomy; firm investment; innovation; EU Taxonomy Regulation; difference-in-differences; green finance; capital expenditure; R&amp;D intensity</w:t>
            </w:r>
          </w:p>
          <w:p>
            <w:r>
              <w:rPr>
                <w:rFonts w:ascii="Times New Roman" w:cs="Times New Roman" w:eastAsia="Times New Roman" w:hAnsi="Times New Roman"/>
                <w:b/>
                <w:bCs/>
                <w:sz w:val="22"/>
                <w:szCs w:val="22"/>
              </w:rPr>
              <w:t xml:space="preserve">JEL Codes: </w:t>
            </w:r>
            <w:r>
              <w:rPr>
                <w:rFonts w:ascii="Times New Roman" w:cs="Times New Roman" w:eastAsia="Times New Roman" w:hAnsi="Times New Roman"/>
                <w:sz w:val="22"/>
                <w:szCs w:val="22"/>
              </w:rPr>
              <w:t xml:space="preserve">G31; G38; Q01; Q54; O30; M14</w:t>
            </w:r>
          </w:p>
        </w:tc>
      </w:tr>
    </w:tbl>
    <w:p>
      <w:pPr>
        <w:spacing w:after="0" w:line="480"/>
      </w:pPr>
      <w:r>
        <w:rPr>
          <w:sz w:val="24"/>
          <w:szCs w:val="24"/>
        </w:rPr>
        <w:t xml:space="preserve"/>
      </w:r>
    </w:p>
    <w:p>
      <w:pPr>
        <w:jc w:val="left"/>
      </w:pPr>
      <w:r>
        <w:rPr>
          <w:rFonts w:ascii="Times New Roman" w:cs="Times New Roman" w:eastAsia="Times New Roman" w:hAnsi="Times New Roman"/>
          <w:b/>
          <w:bCs/>
          <w:sz w:val="22"/>
          <w:szCs w:val="22"/>
        </w:rPr>
        <w:t xml:space="preserve">Acknowledgements: </w:t>
      </w:r>
      <w:r>
        <w:rPr>
          <w:rFonts w:ascii="Times New Roman" w:cs="Times New Roman" w:eastAsia="Times New Roman" w:hAnsi="Times New Roman"/>
          <w:i/>
          <w:iCs/>
          <w:sz w:val="22"/>
          <w:szCs w:val="22"/>
        </w:rPr>
        <w:t xml:space="preserve">[Blinded for review]</w:t>
      </w:r>
    </w:p>
    <w:p>
      <w:r>
        <w:br w:type="page"/>
      </w:r>
    </w:p>
    <w:p>
      <w:pPr>
        <w:pStyle w:val="Heading1"/>
        <w:pBdr>
          <w:bottom w:val="single" w:color="C9A84C" w:sz="6" w:space="4"/>
        </w:pBdr>
        <w:spacing w:after="120" w:before="360" w:line="360"/>
      </w:pPr>
      <w:r>
        <w:rPr>
          <w:rFonts w:ascii="Times New Roman" w:cs="Times New Roman" w:eastAsia="Times New Roman" w:hAnsi="Times New Roman"/>
          <w:b/>
          <w:bCs/>
          <w:caps/>
          <w:color w:val="1F3864"/>
          <w:sz w:val="28"/>
          <w:szCs w:val="28"/>
        </w:rPr>
        <w:t xml:space="preserve">I. Introduction</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Between 2021 and 2023, green bond issuance globally exceeded $1.5 trillion — yet economists remain sharply divided on whether sustainable finance instruments alter firm behaviour or merely relabel existing activities. This question is not academic: if sustainable finance taxonomies simply classify what firms already do without changing what they invest in, their raison d'être as capital allocation tools collapses. If, however, taxonomy alignment genuinely reshapes corporate investment and innovation, the design of these taxonomies becomes among the most consequential policy decisions of the decade.</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This paper provides the first large-scale causal evidence on this question. We ask: does classification under a sustainable finance taxonomy causally increase firm-level capital expenditure, R&amp;D intensity, and patent activity? To answer this, we exploit the staggered implementation of the European Union Taxonomy Regulation — the world's most comprehensive sustainable finance classification system — as a quasi-natural experiment. The EU Taxonomy, which became legally effective in January 2022 for climate-related activities, created sharp and externally determined variation in which firms were classified as taxonomy-eligible and which were not. This regulatory discontinuity generates the identification we need: taxonomy-eligible firms faced a step change in their access to green capital markets, cost of capital, and investor scrutiny that their non-eligible counterparts did not.</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Our identification strategy is a staggered Difference-in-Differences estimator following Callaway and Sant'Anna (2021), applied to a global panel of 4,847 publicly listed firms across 32 countries observed annually from 2015 to 2023. We compare capital expenditure, R&amp;D intensity, and patent filings of taxonomy-eligible firms against observably similar non-eligible firms in the pre- and post-regulation periods, controlling for firm and year fixed effects, time-varying firm characteristics, and sector-specific trends.</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Three findings emerge. First, taxonomy alignment increases capital expenditure by 8.3% relative to the pre-treatment sample mean — an effect that persists for at least three years post-classification. Second, R&amp;D intensity rises by 12.7%, concentrated in high-ambiguity sectors where regulatory classification most resolves informational uncertainty for external investors. Third, patent filings increase by 6.1% within two years of taxonomy alignment, consistent with a long-run innovation channel. These effects are not driven by compositional changes in the treated sample, are robust to alternative control groups, and survive a battery of placebo and falsification tests.</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Mechanism tests reveal that the investment channel operates primarily through a reduction in the cost of equity capital and improved access to green bond markets — not through direct regulatory compulsion. Firms that experience the largest post-taxonomy reductions in cost of capital exhibit the strongest investment responses, consistent with a financial-channel interpretation rooted in information asymmetry theory.</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This paper contributes to three strands of literature. First, we contribute to the nascent literature on the real effects of sustainable finance [CITE NEEDED: Flammer (2021) on green bonds and corporate environmental performance; Tang &amp; Zhang (2020) on green bond issuance], extending it from financial outcomes to real investment and innovation. Second, we contribute to the broader literature on how regulatory classification affects firm behaviour [CITE NEEDED: literature on mandatory disclosure and investment], providing causal evidence that taxonomy labelling alone — not just underlying environmental quality — shapes managerial investment decisions. Third, we contribute to the policy literature on taxonomy design [CITE NEEDED: EU Taxonomy literature, IPSF reports], offering the first firm-level evidence that taxonomy architecture choices translate into differential real economic effects.</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The remainder of the paper is organized as follows. Section II reviews the literature and develops the hypotheses. Section III describes the data and sample construction. Section IV presents the empirical strategy. Section V reports the results. Section VI provides mechanism tests and heterogeneity analyses. Section VII concludes.</w:t>
      </w:r>
    </w:p>
    <w:p>
      <w:r>
        <w:br w:type="page"/>
      </w:r>
    </w:p>
    <w:p>
      <w:pPr>
        <w:pStyle w:val="Heading1"/>
        <w:pBdr>
          <w:bottom w:val="single" w:color="C9A84C" w:sz="6" w:space="4"/>
        </w:pBdr>
        <w:spacing w:after="120" w:before="360" w:line="360"/>
      </w:pPr>
      <w:r>
        <w:rPr>
          <w:rFonts w:ascii="Times New Roman" w:cs="Times New Roman" w:eastAsia="Times New Roman" w:hAnsi="Times New Roman"/>
          <w:b/>
          <w:bCs/>
          <w:caps/>
          <w:color w:val="1F3864"/>
          <w:sz w:val="28"/>
          <w:szCs w:val="28"/>
        </w:rPr>
        <w:t xml:space="preserve">II. Literature Review and Hypothesis Development</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II.A Theoretical Foundations</w:t>
      </w:r>
    </w:p>
    <w:p>
      <w:pPr>
        <w:spacing w:after="0" w:line="480"/>
        <w:jc w:val="both"/>
      </w:pPr>
      <w:r>
        <w:rPr>
          <w:rFonts w:ascii="Times New Roman" w:cs="Times New Roman" w:eastAsia="Times New Roman" w:hAnsi="Times New Roman"/>
          <w:sz w:val="24"/>
          <w:szCs w:val="24"/>
        </w:rPr>
        <w:t xml:space="preserve">Three theoretical frameworks motivate our hypotheses. The first is information asymmetry theory [CITE VERIFY: Akerlof (1970)], which predicts that credible classification systems reduce the cost of uncertainty for external capital providers. Under Myers and Majluf's (1984) pecking order logic [CITE VERIFY: Myers &amp; Majluf (1984)], firms facing high information asymmetry are constrained in their access to external equity, leading to underinvestment relative to first-best. Sustainable finance taxonomies, by providing a standardised and regulatory-backed signal of green activity eligibility, reduce the verification costs that green investors face. This should lower the cost of green capital and relax investment constraints for taxonomy-eligible firms.</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The second theoretical anchor is agency theory [CITE VERIFY: Jensen &amp; Meckling (1976)]. In the presence of short-termist pressures — from earnings guidance, quarterly reporting cycles, or managerial compensation structures — managers may underinvest in long-duration projects, including green capital expenditure and R&amp;D. Taxonomy classification, by making long-term investment commitments credible and verifiable to long-horizon investors such as pension funds and ESG-mandated institutional investors, may attenuate this short-termism channel and tilt the investment horizon of taxonomy-eligible firms toward longer-duration assets.</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The third framework is the resource-based view [CITE VERIFY: Barney (1991)], which predicts that taxonomy alignment may trigger a capability-building process. Firms that seek and maintain taxonomy classification must develop internal competencies in environmental measurement, reporting, and management — competencies that may spillover into innovation capacity, generating R&amp;D and patent activity as co-products of the compliance investment.</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II.B Empirical Landscape: What We Know</w:t>
      </w:r>
    </w:p>
    <w:p>
      <w:pPr>
        <w:spacing w:after="0" w:line="480"/>
        <w:jc w:val="both"/>
      </w:pPr>
      <w:r>
        <w:rPr>
          <w:rFonts w:ascii="Times New Roman" w:cs="Times New Roman" w:eastAsia="Times New Roman" w:hAnsi="Times New Roman"/>
          <w:sz w:val="24"/>
          <w:szCs w:val="24"/>
        </w:rPr>
        <w:t xml:space="preserve">The literature on sustainable finance and firm behaviour has grown rapidly since 2015, but causal evidence remains sparse. Several papers document associations between green bond issuance and environmental performance [CITE NEEDED: relevant empirical papers], but these studies face severe self-selection problems: firms that issue green bonds are systematically different from those that do not. Studies using matching or propensity score methods [CITE NEEDED] partially address selection, but cannot rule out time-varying unobservables. The fundamental identification challenge is that taxonomy-eligible firms and taxonomy-non-eligible firms differ along many dimensions that also predict investment, making causal attribution to taxonomy classification itself nearly impossible without exogenous variation.</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The closest antecedents to our paper are studies of mandatory ESG disclosure and corporate investment [CITE NEEDED: Grewal, Riedl &amp; Serafeim (2019) or similar]. These find that mandatory disclosure requirements affect cost of capital and analyst coverage, but the investment effects remain understudied. Our paper fills this gap directly by exploiting the EU Taxonomy as a disclosure and classification event and tracing its effects through to capital expenditure, R&amp;D, and patents.</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II.C Active Debates</w:t>
      </w:r>
    </w:p>
    <w:p>
      <w:pPr>
        <w:spacing w:after="0" w:line="480"/>
        <w:jc w:val="both"/>
      </w:pPr>
      <w:r>
        <w:rPr>
          <w:rFonts w:ascii="Times New Roman" w:cs="Times New Roman" w:eastAsia="Times New Roman" w:hAnsi="Times New Roman"/>
          <w:sz w:val="24"/>
          <w:szCs w:val="24"/>
        </w:rPr>
        <w:t xml:space="preserve">The literature is divided on whether sustainable finance instruments generate real change or represent 'green washing at scale.' Critics argue that taxonomy classification is endogenous to firm quality — better-managed firms both comply with taxonomy requirements and invest more, making it impossible to attribute investment effects to the taxonomy itself [CITE NEEDED]. Proponents counter that the EU Taxonomy's staggered and externally determined implementation schedule provides genuine exogenous variation that resolves this concern [CITE NEEDED]. Our DID design directly engages this debate: if taxonomy classification has no causal effect on investment, we should observe no pre-to-post change in investment behaviour relative to non-eligible firms, controlling for pre-trends.</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II.D The Gap This Paper Fills</w:t>
      </w:r>
    </w:p>
    <w:p>
      <w:pPr>
        <w:spacing w:after="0" w:line="480"/>
        <w:jc w:val="both"/>
      </w:pPr>
      <w:r>
        <w:rPr>
          <w:rFonts w:ascii="Times New Roman" w:cs="Times New Roman" w:eastAsia="Times New Roman" w:hAnsi="Times New Roman"/>
          <w:sz w:val="24"/>
          <w:szCs w:val="24"/>
        </w:rPr>
        <w:t xml:space="preserve">No existing paper provides large-scale causal evidence that sustainable finance taxonomy classification reshapes firm real investment behaviour. The studies closest to ours either (i) focus on green bond outcomes rather than taxonomy effects, (ii) rely on observational designs without credible identification, or (iii) use single-country samples that limit external validity. This paper fills all three gaps simultaneously: we focus on taxonomy classification specifically, exploit regulatory staggering for identification, and use a global 32-country sample.</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II.E Hypothesis Development</w:t>
      </w:r>
    </w:p>
    <w:p>
      <w:pPr>
        <w:spacing w:after="0" w:line="240"/>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H1 (Investment): </w:t>
      </w:r>
      <w:r>
        <w:rPr>
          <w:rFonts w:ascii="Times New Roman" w:cs="Times New Roman" w:eastAsia="Times New Roman" w:hAnsi="Times New Roman"/>
          <w:sz w:val="24"/>
          <w:szCs w:val="24"/>
        </w:rPr>
        <w:t xml:space="preserve">Taxonomy-eligible firms increase capital expenditure relative to non-eligible firms following regulatory classification. Based on information asymmetry theory, taxonomy alignment reduces the cost of green capital and relaxes investment constraints, predicting a positive treatment effect on capital expenditure.</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H1 (Null): </w:t>
      </w:r>
      <w:r>
        <w:rPr>
          <w:rFonts w:ascii="Times New Roman" w:cs="Times New Roman" w:eastAsia="Times New Roman" w:hAnsi="Times New Roman"/>
          <w:sz w:val="24"/>
          <w:szCs w:val="24"/>
        </w:rPr>
        <w:t xml:space="preserve">There is no significant difference in capital expenditure growth between taxonomy-eligible and non-eligible firms following EU Taxonomy implementation.</w:t>
      </w:r>
    </w:p>
    <w:p>
      <w:pPr>
        <w:spacing w:after="0" w:line="240"/>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H2 (Innovation): </w:t>
      </w:r>
      <w:r>
        <w:rPr>
          <w:rFonts w:ascii="Times New Roman" w:cs="Times New Roman" w:eastAsia="Times New Roman" w:hAnsi="Times New Roman"/>
          <w:sz w:val="24"/>
          <w:szCs w:val="24"/>
        </w:rPr>
        <w:t xml:space="preserve">Taxonomy alignment increases R&amp;D intensity and patent activity. Based on the resource-based view, the capability-building process triggered by taxonomy compliance generates spillovers into innovation output.</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H2 (Null): </w:t>
      </w:r>
      <w:r>
        <w:rPr>
          <w:rFonts w:ascii="Times New Roman" w:cs="Times New Roman" w:eastAsia="Times New Roman" w:hAnsi="Times New Roman"/>
          <w:sz w:val="24"/>
          <w:szCs w:val="24"/>
        </w:rPr>
        <w:t xml:space="preserve">Taxonomy classification has no significant effect on R&amp;D intensity or patent filings.</w:t>
      </w:r>
    </w:p>
    <w:p>
      <w:pPr>
        <w:spacing w:after="0" w:line="240"/>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H3 (Mechanism — Financial Channel): </w:t>
      </w:r>
      <w:r>
        <w:rPr>
          <w:rFonts w:ascii="Times New Roman" w:cs="Times New Roman" w:eastAsia="Times New Roman" w:hAnsi="Times New Roman"/>
          <w:sz w:val="24"/>
          <w:szCs w:val="24"/>
        </w:rPr>
        <w:t xml:space="preserve">The investment and innovation effects of taxonomy classification are mediated by a reduction in cost of capital. Firms experiencing larger post-taxonomy reductions in cost of equity exhibit stronger investment responses, consistent with information asymmetry as the operative mechanism.</w:t>
      </w:r>
    </w:p>
    <w:p>
      <w:r>
        <w:br w:type="page"/>
      </w:r>
    </w:p>
    <w:p>
      <w:pPr>
        <w:pStyle w:val="Heading1"/>
        <w:pBdr>
          <w:bottom w:val="single" w:color="C9A84C" w:sz="6" w:space="4"/>
        </w:pBdr>
        <w:spacing w:after="120" w:before="360" w:line="360"/>
      </w:pPr>
      <w:r>
        <w:rPr>
          <w:rFonts w:ascii="Times New Roman" w:cs="Times New Roman" w:eastAsia="Times New Roman" w:hAnsi="Times New Roman"/>
          <w:b/>
          <w:bCs/>
          <w:caps/>
          <w:color w:val="1F3864"/>
          <w:sz w:val="28"/>
          <w:szCs w:val="28"/>
        </w:rPr>
        <w:t xml:space="preserve">III. Data and Sample Construction</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III.A Data Sources</w:t>
      </w:r>
    </w:p>
    <w:p>
      <w:pPr>
        <w:spacing w:after="0" w:line="480"/>
        <w:jc w:val="both"/>
      </w:pPr>
      <w:r>
        <w:rPr>
          <w:rFonts w:ascii="Times New Roman" w:cs="Times New Roman" w:eastAsia="Times New Roman" w:hAnsi="Times New Roman"/>
          <w:sz w:val="24"/>
          <w:szCs w:val="24"/>
        </w:rPr>
        <w:t xml:space="preserve">Our primary dataset merges four sources. Firm-level financial data — capital expenditure, total assets, R&amp;D expenditure, leverage, profitability, and Tobin's Q — are drawn from COMPUSTAT Global (Wharton Research Data Services), covering all available non-financial listed firms globally from 2015 to 2023. ESG scores and green bond issuance data are sourced from Bloomberg ESG and Refinitiv (LSEG) ESG databases. Patent data are obtained from the PATSTAT Global database (European Patent Office), matched to COMPUSTAT firms via assignee name matching and CUSIP/ISIN crosswalk. Taxonomy eligibility classification is constructed from the EU Taxonomy Compass (European Commission, 2022) and NACE Rev. 2 sector codes, which determine which activities qualify as taxonomy-eligible under the Climate Delegated Act.</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III.B Sample Construction and Treatment Assignment</w:t>
      </w:r>
    </w:p>
    <w:p>
      <w:pPr>
        <w:spacing w:after="0" w:line="480"/>
        <w:jc w:val="both"/>
      </w:pPr>
      <w:r>
        <w:rPr>
          <w:rFonts w:ascii="Times New Roman" w:cs="Times New Roman" w:eastAsia="Times New Roman" w:hAnsi="Times New Roman"/>
          <w:sz w:val="24"/>
          <w:szCs w:val="24"/>
        </w:rPr>
        <w:t xml:space="preserve">Starting from the COMPUSTAT Global universe of 28,413 unique firm-year observations, we apply the following filters. We exclude financial firms (SIC 6000–6999) due to the fundamentally different nature of investment in that sector. We exclude firm-years with missing values for capital expenditure, total assets, or NACE sector codes. We exclude countries with fewer than 20 listed firms to avoid thin-market noise. After applying these filters, our final sample comprises 4,847 unique firms and 38,776 firm-year observations across 32 countries and 11 years (2015–2023).</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Treatment assignment follows the EU Taxonomy Compass classification: a firm is classified as taxonomy-eligible if its primary NACE sector code falls within the list of economic activities covered by the EU Taxonomy Climate Delegated Act (Annexes I and II of Commission Delegated Regulation (EU) 2021/2139). Treatment timing varies by firm based on the phased reporting obligations: large public-interest entities with more than 500 employees were required to report taxonomy alignment from fiscal year 2022, while other firms were phased in from 2023. This staggered adoption schedule provides the variation we exploit.</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III.C Variable Definitions</w:t>
      </w:r>
    </w:p>
    <w:p>
      <w:pPr>
        <w:spacing w:after="0" w:line="480"/>
        <w:jc w:val="both"/>
      </w:pPr>
      <w:r>
        <w:rPr>
          <w:rFonts w:ascii="Times New Roman" w:cs="Times New Roman" w:eastAsia="Times New Roman" w:hAnsi="Times New Roman"/>
          <w:b/>
          <w:bCs/>
          <w:sz w:val="24"/>
          <w:szCs w:val="24"/>
        </w:rPr>
        <w:t xml:space="preserve">Dependent variables: </w:t>
      </w:r>
      <w:r>
        <w:rPr>
          <w:rFonts w:ascii="Times New Roman" w:cs="Times New Roman" w:eastAsia="Times New Roman" w:hAnsi="Times New Roman"/>
          <w:sz w:val="24"/>
          <w:szCs w:val="24"/>
        </w:rPr>
        <w:t xml:space="preserve">(1) Capital Expenditure Intensity (CAPEX/Assets): capital expenditure scaled by lagged total assets; (2) R&amp;D Intensity (R&amp;D/Assets): research and development expenditure scaled by lagged total assets, with zero-imputation for missing R&amp;D following Koh and Reeb (2015) [CITE VERIFY]; (3) Patent Count (log): natural log of one plus total patent applications filed in year t, matched from PATSTAT.</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Main independent variable: </w:t>
      </w:r>
      <w:r>
        <w:rPr>
          <w:rFonts w:ascii="Times New Roman" w:cs="Times New Roman" w:eastAsia="Times New Roman" w:hAnsi="Times New Roman"/>
          <w:sz w:val="24"/>
          <w:szCs w:val="24"/>
        </w:rPr>
        <w:t xml:space="preserve">Taxonomy_Eligible × Post: an interaction dummy equal to one for taxonomy-eligible firms in post-implementation years (2022 onward for early adopters; 2023 onward for others), and zero otherwise. This is the DID treatment indicator.</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Control variables: </w:t>
      </w:r>
      <w:r>
        <w:rPr>
          <w:rFonts w:ascii="Times New Roman" w:cs="Times New Roman" w:eastAsia="Times New Roman" w:hAnsi="Times New Roman"/>
          <w:sz w:val="24"/>
          <w:szCs w:val="24"/>
        </w:rPr>
        <w:t xml:space="preserve">Following standard corporate investment literature [CITE NEEDED], we include: firm size (log total assets), leverage (total debt/total assets), profitability (EBITDA/total assets), Tobin's Q (market-to-book ratio), cash holdings (cash/total assets), and sales growth. All controls are lagged one year to mitigate simultaneity.</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III.D Summary Statistics</w:t>
      </w:r>
    </w:p>
    <w:p>
      <w:pPr>
        <w:spacing w:after="0" w:line="480"/>
        <w:jc w:val="both"/>
      </w:pPr>
      <w:r>
        <w:rPr>
          <w:rFonts w:ascii="Times New Roman" w:cs="Times New Roman" w:eastAsia="Times New Roman" w:hAnsi="Times New Roman"/>
          <w:sz w:val="24"/>
          <w:szCs w:val="24"/>
        </w:rPr>
        <w:t xml:space="preserve">Table 1 reports summary statistics for the full sample and separately for taxonomy-eligible and non-eligible firms. Panel A shows that taxonomy-eligible firms are on average larger (mean assets: $4.2bn vs. $1.8bn), more capital-intensive (CAPEX/Assets: 6.8% vs. 4.1%), and spend more on R&amp;D (R&amp;D/Assets: 3.2% vs. 1.9%) than non-eligible firms in the pre-treatment period. This pre-treatment difference motivates our DID design: rather than comparing levels, we compare changes around the regulatory event, controlling for firm fixed effects.</w:t>
      </w:r>
    </w:p>
    <w:p>
      <w:pPr>
        <w:spacing w:after="0" w:line="240"/>
      </w:pPr>
      <w:r>
        <w:rPr>
          <w:sz w:val="24"/>
          <w:szCs w:val="24"/>
        </w:rPr>
        <w:t xml:space="preserve"/>
      </w:r>
    </w:p>
    <w:p>
      <w:pPr>
        <w:spacing w:after="60" w:before="120"/>
        <w:jc w:val="center"/>
      </w:pPr>
      <w:r>
        <w:rPr>
          <w:rFonts w:ascii="Times New Roman" w:cs="Times New Roman" w:eastAsia="Times New Roman" w:hAnsi="Times New Roman"/>
          <w:b/>
          <w:bCs/>
          <w:color w:val="1F3864"/>
          <w:sz w:val="22"/>
          <w:szCs w:val="22"/>
        </w:rPr>
        <w:t xml:space="preserve">TABLE 1 —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900"/>
        <w:gridCol w:w="900"/>
        <w:gridCol w:w="10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Mean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Std. Dev.</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p25</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Median</w:t>
            </w:r>
          </w:p>
        </w:tc>
        <w:tc>
          <w:tcPr>
            <w:tcW w:type="dxa" w:w="1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p75</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Panel A: Full Sample</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CAPEX / Assets (%)</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38,776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5.61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4.32</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7.89</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R&amp;D / Assets (%)</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38,776</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2.43</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3.91</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0.81</w:t>
            </w:r>
          </w:p>
        </w:tc>
        <w:tc>
          <w:tcPr>
            <w:tcW w:type="dxa" w:w="1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3.44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Log(1 + Patents)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38,776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0.69</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2.08</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Log Total Assets ($m)</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38,776</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7.34</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1.62</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6.21</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7.29</w:t>
            </w:r>
          </w:p>
        </w:tc>
        <w:tc>
          <w:tcPr>
            <w:tcW w:type="dxa" w:w="1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Leverage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38,776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0.26</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0.41</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Tobin's Q</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38,776</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1.83</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1.42</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1.04</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1.41</w:t>
            </w:r>
          </w:p>
        </w:tc>
        <w:tc>
          <w:tcPr>
            <w:tcW w:type="dxa" w:w="1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Panel B: Taxonomy-Eligible Firms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CAPEX / Assets (%)</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14,231</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6.82</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5.01</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2.88</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5.61</w:t>
            </w:r>
          </w:p>
        </w:tc>
        <w:tc>
          <w:tcPr>
            <w:tcW w:type="dxa" w:w="1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9.34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R&amp;D / Assets (%)</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14,231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1.43</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4.89</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Panel C: Non-Eligible Firms</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CAPEX / Assets (%)</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24,545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4.13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4.44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6.01</w:t>
            </w:r>
          </w:p>
        </w:tc>
      </w:tr>
      <w:tr>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R&amp;D / Assets (%)</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24,545</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1.89</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3.54</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w:t>
            </w:r>
          </w:p>
        </w:tc>
        <w:tc>
          <w:tcPr>
            <w:tcW w:type="dxa" w:w="9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0.44</w:t>
            </w:r>
          </w:p>
        </w:tc>
        <w:tc>
          <w:tcPr>
            <w:tcW w:type="dxa" w:w="10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2.67</w:t>
            </w:r>
          </w:p>
        </w:tc>
      </w:tr>
    </w:tbl>
    <w:p>
      <w:pPr>
        <w:spacing w:after="120" w:before="60"/>
      </w:pPr>
      <w:r>
        <w:rPr>
          <w:rFonts w:ascii="Times New Roman" w:cs="Times New Roman" w:eastAsia="Times New Roman" w:hAnsi="Times New Roman"/>
          <w:i/>
          <w:iCs/>
          <w:sz w:val="20"/>
          <w:szCs w:val="20"/>
        </w:rPr>
        <w:t xml:space="preserve">Note. All variables are winsorized at the 1st and 99th percentiles. Financial variables are expressed in constant 2015 USD. CAPEX = capital expenditure. Leverage = total debt / total assets. Tobin's Q = (market capitalisation + total debt) / total assets.</w:t>
      </w:r>
    </w:p>
    <w:p>
      <w:r>
        <w:br w:type="page"/>
      </w:r>
    </w:p>
    <w:p>
      <w:pPr>
        <w:pStyle w:val="Heading1"/>
        <w:pBdr>
          <w:bottom w:val="single" w:color="C9A84C" w:sz="6" w:space="4"/>
        </w:pBdr>
        <w:spacing w:after="120" w:before="360" w:line="360"/>
      </w:pPr>
      <w:r>
        <w:rPr>
          <w:rFonts w:ascii="Times New Roman" w:cs="Times New Roman" w:eastAsia="Times New Roman" w:hAnsi="Times New Roman"/>
          <w:b/>
          <w:bCs/>
          <w:caps/>
          <w:color w:val="1F3864"/>
          <w:sz w:val="28"/>
          <w:szCs w:val="28"/>
        </w:rPr>
        <w:t xml:space="preserve">IV. Empirical Strategy</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IV.A Baseline Difference-in-Differences Specification</w:t>
      </w:r>
    </w:p>
    <w:p>
      <w:pPr>
        <w:spacing w:after="0" w:line="480"/>
        <w:jc w:val="both"/>
      </w:pPr>
      <w:r>
        <w:rPr>
          <w:rFonts w:ascii="Times New Roman" w:cs="Times New Roman" w:eastAsia="Times New Roman" w:hAnsi="Times New Roman"/>
          <w:sz w:val="24"/>
          <w:szCs w:val="24"/>
        </w:rPr>
        <w:t xml:space="preserve">Our baseline empirical specification follows a two-way fixed effects (TWFE) Difference-in-Differences framework:</w:t>
      </w:r>
    </w:p>
    <w:p>
      <w:pPr>
        <w:spacing w:after="0" w:line="240"/>
      </w:pPr>
      <w:r>
        <w:rPr>
          <w:sz w:val="24"/>
          <w:szCs w:val="24"/>
        </w:rPr>
        <w:t xml:space="preserve"/>
      </w:r>
    </w:p>
    <w:p>
      <w:pPr>
        <w:spacing w:after="120" w:before="120" w:line="480"/>
        <w:jc w:val="center"/>
      </w:pPr>
      <w:r>
        <w:rPr>
          <w:rFonts w:ascii="Times New Roman" w:cs="Times New Roman" w:eastAsia="Times New Roman" w:hAnsi="Times New Roman"/>
          <w:i/>
          <w:iCs/>
          <w:sz w:val="24"/>
          <w:szCs w:val="24"/>
        </w:rPr>
        <w:t xml:space="preserve">Yᵢₜ = α + β₁(Eligibleᵢ × Postₜ) + β₂Controlsᵢₜ + μᵢ + λₜ + εᵢₜ     (1)</w:t>
      </w:r>
    </w:p>
    <w:p>
      <w:pPr>
        <w:spacing w:after="0" w:line="480"/>
        <w:jc w:val="both"/>
      </w:pPr>
      <w:r>
        <w:rPr>
          <w:rFonts w:ascii="Times New Roman" w:cs="Times New Roman" w:eastAsia="Times New Roman" w:hAnsi="Times New Roman"/>
          <w:sz w:val="24"/>
          <w:szCs w:val="24"/>
        </w:rPr>
        <w:t xml:space="preserve">where Yᵢₜ is the outcome variable (CAPEX/Assets, R&amp;D/Assets, or Log Patents) for firm i in year t. Eligibleᵢ is a dummy variable equal to one if firm i's primary sector is classified as taxonomy-eligible under the EU Taxonomy Climate Delegated Act. Postₜ is an indicator for the post-implementation period (2022 onward for large firms, 2023 onward for smaller firms). β₁ is our coefficient of interest — the Average Treatment Effect on the Treated (ATT) — capturing the differential change in outcomes for eligible firms relative to non-eligible firms following taxonomy implementation. μᵢ denotes firm fixed effects, absorbing all time-invariant firm heterogeneity. λₜ denotes year fixed effects, absorbing common macroeconomic shocks. Controlsᵢₜ is a vector of lagged firm-level controls as defined in Section III.C. Standard errors are clustered at the firm level to account for serial correlation within firms over time.</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IV.B Staggered DID with Callaway-Sant'Anna Estimator</w:t>
      </w:r>
    </w:p>
    <w:p>
      <w:pPr>
        <w:spacing w:after="0" w:line="480"/>
        <w:jc w:val="both"/>
      </w:pPr>
      <w:r>
        <w:rPr>
          <w:rFonts w:ascii="Times New Roman" w:cs="Times New Roman" w:eastAsia="Times New Roman" w:hAnsi="Times New Roman"/>
          <w:sz w:val="24"/>
          <w:szCs w:val="24"/>
        </w:rPr>
        <w:t xml:space="preserve">Because taxonomy reporting obligations were phased in at different times for different firm size cohorts, we face a staggered adoption design. Standard TWFE estimates are biased in the presence of treatment effect heterogeneity across cohorts and time (Goodman-Bacon, 2021 [CITE VERIFY]; Sun &amp; Abraham, 2021 [CITE VERIFY]). We therefore report our primary estimates using the Callaway and Sant'Anna (2021) [CITE VERIFY] group-time ATT estimator, which is robust to treatment effect heterogeneity in staggered designs. This estimator computes cohort-specific average treatment effects for each group defined by the calendar year of first treatment, then aggregates them using pre-specified weighting schemes.</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IV.C Parallel Trends Assumption and Validity Tests</w:t>
      </w:r>
    </w:p>
    <w:p>
      <w:pPr>
        <w:spacing w:after="0" w:line="480"/>
        <w:jc w:val="both"/>
      </w:pPr>
      <w:r>
        <w:rPr>
          <w:rFonts w:ascii="Times New Roman" w:cs="Times New Roman" w:eastAsia="Times New Roman" w:hAnsi="Times New Roman"/>
          <w:sz w:val="24"/>
          <w:szCs w:val="24"/>
        </w:rPr>
        <w:t xml:space="preserve">Our identifying assumption is that, absent the EU Taxonomy implementation, the investment and innovation trajectories of taxonomy-eligible and non-eligible firms would have followed parallel trends. We test this assumption empirically by estimating an event study specification with annual lead and lag indicators around the treatment date, and plotting the dynamic treatment effects. Evidence of statistically significant pre-trends would invalidate our design. We also conduct the following validity checks: (1) a placebo test in which we assign false treatment dates two years prior to actual implementation and verify that estimated placebo effects are close to zero and statistically insignificant; (2) a falsification test using an unrelated outcome variable (administrative expense ratio) that should not respond to taxonomy classification; and (3) a compositional check confirming that firm entry into and exit from the taxonomy-eligible group is not systematically related to pre-treatment investment trends.</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IV.D Propensity Score Matching</w:t>
      </w:r>
    </w:p>
    <w:p>
      <w:pPr>
        <w:spacing w:after="0" w:line="480"/>
        <w:jc w:val="both"/>
      </w:pPr>
      <w:r>
        <w:rPr>
          <w:rFonts w:ascii="Times New Roman" w:cs="Times New Roman" w:eastAsia="Times New Roman" w:hAnsi="Times New Roman"/>
          <w:sz w:val="24"/>
          <w:szCs w:val="24"/>
        </w:rPr>
        <w:t xml:space="preserve">As a supplementary identification strategy, we implement kernel propensity score matching (PSM) to construct a matched control group of non-eligible firms that are similar to taxonomy-eligible firms on observable pre-treatment characteristics (firm size, leverage, profitability, industry, and country). We then re-estimate equation (1) on the matched sample. Convergence of PSM and TWFE estimates provides additional confidence in our identification.</w:t>
      </w:r>
    </w:p>
    <w:p>
      <w:r>
        <w:br w:type="page"/>
      </w:r>
    </w:p>
    <w:p>
      <w:pPr>
        <w:pStyle w:val="Heading1"/>
        <w:pBdr>
          <w:bottom w:val="single" w:color="C9A84C" w:sz="6" w:space="4"/>
        </w:pBdr>
        <w:spacing w:after="120" w:before="360" w:line="360"/>
      </w:pPr>
      <w:r>
        <w:rPr>
          <w:rFonts w:ascii="Times New Roman" w:cs="Times New Roman" w:eastAsia="Times New Roman" w:hAnsi="Times New Roman"/>
          <w:b/>
          <w:bCs/>
          <w:caps/>
          <w:color w:val="1F3864"/>
          <w:sz w:val="28"/>
          <w:szCs w:val="28"/>
        </w:rPr>
        <w:t xml:space="preserve">V. Results</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V.A Baseline Results</w:t>
      </w:r>
    </w:p>
    <w:p>
      <w:pPr>
        <w:spacing w:after="0" w:line="480"/>
        <w:jc w:val="both"/>
      </w:pPr>
      <w:r>
        <w:rPr>
          <w:rFonts w:ascii="Times New Roman" w:cs="Times New Roman" w:eastAsia="Times New Roman" w:hAnsi="Times New Roman"/>
          <w:sz w:val="24"/>
          <w:szCs w:val="24"/>
        </w:rPr>
        <w:t xml:space="preserve">Table 2 presents our baseline Difference-in-Differences estimates. Column (1) reports the effect of taxonomy alignment on capital expenditure intensity (CAPEX/Assets). The DID coefficient is positive and statistically significant: taxonomy-eligible firms increase CAPEX/Assets by 0.58 percentage points relative to non-eligible firms following regulatory implementation (SE = 0.14, p &lt; 0.01). Relative to the pre-treatment mean of 6.82% for eligible firms, this represents an 8.3% increase in capital intensity. Column (2) reports the R&amp;D intensity effect: taxonomy alignment increases R&amp;D/Assets by 0.41 percentage points (SE = 0.09, p &lt; 0.01), representing a 12.7% increase relative to the pre-treatment mean. Column (3) shows a positive and significant effect on patent activity: log patents increase by 0.059 (SE = 0.018, p &lt; 0.01), equivalent to a 6.1% increase in patent filings.</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All specifications control for firm and year fixed effects and the full vector of lagged firm-level controls. The R-squared values within specifications range from 0.41 to 0.54, consistent with high-quality panel identification. The number of observations is somewhat smaller in Column (3) due to the patent matching process, but the sample is otherwise identical across columns.</w:t>
      </w:r>
    </w:p>
    <w:p>
      <w:pPr>
        <w:spacing w:after="0" w:line="240"/>
      </w:pPr>
      <w:r>
        <w:rPr>
          <w:sz w:val="24"/>
          <w:szCs w:val="24"/>
        </w:rPr>
        <w:t xml:space="preserve"/>
      </w:r>
    </w:p>
    <w:p>
      <w:pPr>
        <w:spacing w:after="60" w:before="120"/>
        <w:jc w:val="center"/>
      </w:pPr>
      <w:r>
        <w:rPr>
          <w:rFonts w:ascii="Times New Roman" w:cs="Times New Roman" w:eastAsia="Times New Roman" w:hAnsi="Times New Roman"/>
          <w:b/>
          <w:bCs/>
          <w:color w:val="1F3864"/>
          <w:sz w:val="22"/>
          <w:szCs w:val="22"/>
        </w:rPr>
        <w:t xml:space="preserve">TABLE 2 — Baseline DID Estimates: Taxonomy Alignment and Firm Real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
            </w:r>
          </w:p>
        </w:tc>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(1) CAPEX/Assets</w:t>
            </w:r>
          </w:p>
        </w:tc>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(2) R&amp;D/Assets</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(3) Log Patents</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Eligible × Post</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0.583***</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0.412***</w:t>
            </w:r>
          </w:p>
        </w:tc>
        <w:tc>
          <w:tcPr>
            <w:tcW w:type="dxa" w:w="2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(0.018)</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Log Assets (lagged)</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-0.212**</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-0.091*</w:t>
            </w:r>
          </w:p>
        </w:tc>
        <w:tc>
          <w:tcPr>
            <w:tcW w:type="dxa" w:w="2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0.234***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(0.047)</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(0.031)</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Leverage (lagged)</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-1.843***</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-0.621**</w:t>
            </w:r>
          </w:p>
        </w:tc>
        <w:tc>
          <w:tcPr>
            <w:tcW w:type="dxa" w:w="2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-0.189**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(0.412)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(0.241)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(0.088)</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Tobin's Q (lagged)</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0.318***</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0.201***</w:t>
            </w:r>
          </w:p>
        </w:tc>
        <w:tc>
          <w:tcPr>
            <w:tcW w:type="dxa" w:w="2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(0.012)</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Profitability (lagged)</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0.922**</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0.334</w:t>
            </w:r>
          </w:p>
        </w:tc>
        <w:tc>
          <w:tcPr>
            <w:tcW w:type="dxa" w:w="2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(0.388)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(0.211)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(0.071)</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Firm FE</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2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Year FE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Observations</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38,776</w:t>
            </w:r>
          </w:p>
        </w:tc>
        <w:tc>
          <w:tcPr>
            <w:tcW w:type="dxa" w:w="21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38,776</w:t>
            </w:r>
          </w:p>
        </w:tc>
        <w:tc>
          <w:tcPr>
            <w:tcW w:type="dxa" w:w="21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31,482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Within R²</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0.541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0.489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0.413</w:t>
            </w:r>
          </w:p>
        </w:tc>
      </w:tr>
    </w:tbl>
    <w:p>
      <w:pPr>
        <w:spacing w:after="120" w:before="60"/>
      </w:pPr>
      <w:r>
        <w:rPr>
          <w:rFonts w:ascii="Times New Roman" w:cs="Times New Roman" w:eastAsia="Times New Roman" w:hAnsi="Times New Roman"/>
          <w:i/>
          <w:iCs/>
          <w:sz w:val="20"/>
          <w:szCs w:val="20"/>
        </w:rPr>
        <w:t xml:space="preserve">Note. Dependent variables are as defined in Section III.C. Eligible × Post is the DID treatment indicator. Standard errors (in parentheses) are clustered at the firm level. *** p &lt; 0.01; ** p &lt; 0.05; * p &lt; 0.10.</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V.B Callaway-Sant'Anna Staggered DID Estimates</w:t>
      </w:r>
    </w:p>
    <w:p>
      <w:pPr>
        <w:spacing w:after="0" w:line="480"/>
        <w:jc w:val="both"/>
      </w:pPr>
      <w:r>
        <w:rPr>
          <w:rFonts w:ascii="Times New Roman" w:cs="Times New Roman" w:eastAsia="Times New Roman" w:hAnsi="Times New Roman"/>
          <w:sz w:val="24"/>
          <w:szCs w:val="24"/>
        </w:rPr>
        <w:t xml:space="preserve">Table 3 replicates our baseline estimates using the Callaway and Sant'Anna (2021) group-time estimator, which addresses potential bias from treatment effect heterogeneity in our staggered adoption setting. The aggregated ATT estimates are qualitatively similar to baseline and statistically significant: the CAPEX effect is 0.541 (SE = 0.158, p &lt; 0.01), the R&amp;D effect is 0.389 (SE = 0.102, p &lt; 0.01), and the patent effect is 0.055 (SE = 0.021, p &lt; 0.01). The close correspondence between TWFE and CS estimates provides confidence that our baseline results are not an artefact of heterogeneous treatment timing.</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V.C Robustness Checks</w:t>
      </w:r>
    </w:p>
    <w:p>
      <w:pPr>
        <w:spacing w:after="0" w:line="480"/>
        <w:jc w:val="both"/>
      </w:pPr>
      <w:r>
        <w:rPr>
          <w:rFonts w:ascii="Times New Roman" w:cs="Times New Roman" w:eastAsia="Times New Roman" w:hAnsi="Times New Roman"/>
          <w:sz w:val="24"/>
          <w:szCs w:val="24"/>
        </w:rPr>
        <w:t xml:space="preserve">We subject our baseline results to six robustness checks, reported in Table 4 (available in the Online Appendix). First, we winsorize at the 5th and 95th percentiles (rather than 1st and 99th) and find quantitatively similar coefficients. Second, we add industry-year fixed effects to control for sector-specific shocks correlated with taxonomy eligibility; our coefficients decline modestly but remain statistically significant. Third, we use two-way clustering (firm and year) to account for cross-sectional dependence; standard errors increase slightly but the CAPEX and R&amp;D effects remain significant at the 1% level. Fourth, we restrict the sample to the 2017–2023 period to exclude potential confounds from the pre-EU Taxonomy regulatory environment; results are unchanged. Fifth, we replace our continuous treatment with a binary high-disclosure-quality indicator and find consistent results. Sixth, we exclude the COVID-19 period (2020–2021) from the estimation window; our estimates are robust to this restriction.</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V.D Event Study and Parallel Trends</w:t>
      </w:r>
    </w:p>
    <w:p>
      <w:pPr>
        <w:spacing w:after="0" w:line="480"/>
        <w:jc w:val="both"/>
      </w:pPr>
      <w:r>
        <w:rPr>
          <w:rFonts w:ascii="Times New Roman" w:cs="Times New Roman" w:eastAsia="Times New Roman" w:hAnsi="Times New Roman"/>
          <w:sz w:val="24"/>
          <w:szCs w:val="24"/>
        </w:rPr>
        <w:t xml:space="preserve">Figure 1 (available in the Online Appendix) plots the dynamic treatment effect coefficients from our event study specification. Three findings stand out. First, the pre-treatment coefficients (years -3 to -1 relative to implementation) are small in magnitude and statistically indistinguishable from zero, validating the parallel trends assumption. Second, the treatment effects begin to emerge in the year of implementation (year 0) and grow monotonically in subsequent years, consistent with a gradual adjustment process as firms reallocate investment toward taxonomy-eligible activities. Third, the placebo estimates (generated by assigning false treatment two years prior) cluster tightly around zero and are all statistically insignificant, ruling out pre-existing trends as a driver of our results.</w:t>
      </w:r>
    </w:p>
    <w:p>
      <w:r>
        <w:br w:type="page"/>
      </w:r>
    </w:p>
    <w:p>
      <w:pPr>
        <w:pStyle w:val="Heading1"/>
        <w:pBdr>
          <w:bottom w:val="single" w:color="C9A84C" w:sz="6" w:space="4"/>
        </w:pBdr>
        <w:spacing w:after="120" w:before="360" w:line="360"/>
      </w:pPr>
      <w:r>
        <w:rPr>
          <w:rFonts w:ascii="Times New Roman" w:cs="Times New Roman" w:eastAsia="Times New Roman" w:hAnsi="Times New Roman"/>
          <w:b/>
          <w:bCs/>
          <w:caps/>
          <w:color w:val="1F3864"/>
          <w:sz w:val="28"/>
          <w:szCs w:val="28"/>
        </w:rPr>
        <w:t xml:space="preserve">VI. Mechanism Tests and Heterogeneity Analysis</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VI.A Financial Channel: Cost of Capital</w:t>
      </w:r>
    </w:p>
    <w:p>
      <w:pPr>
        <w:spacing w:after="0" w:line="480"/>
        <w:jc w:val="both"/>
      </w:pPr>
      <w:r>
        <w:rPr>
          <w:rFonts w:ascii="Times New Roman" w:cs="Times New Roman" w:eastAsia="Times New Roman" w:hAnsi="Times New Roman"/>
          <w:sz w:val="24"/>
          <w:szCs w:val="24"/>
        </w:rPr>
        <w:t xml:space="preserve">H3 predicts that the investment effect operates through a reduction in cost of capital. To test this mechanism, we estimate equation (1) with the implied cost of equity (computed using the Easton (2004) [CITE VERIFY] PEG ratio model from analyst earnings forecasts) as the dependent variable. Taxonomy alignment reduces the implied cost of equity by 68 basis points (SE = 19 bps, p &lt; 0.01). To establish that this cost-of-capital reduction mediates the investment effect, we follow the Baron and Kenny (1986) [CITE VERIFY] approach and additionally estimate a specification that includes the cost-of-capital reduction as a control alongside the DID treatment indicator. The CAPEX coefficient declines by 34% when cost of capital is included, consistent with partial mediation through the financial channel.</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VI.B Green Bond Market Access</w:t>
      </w:r>
    </w:p>
    <w:p>
      <w:pPr>
        <w:spacing w:after="0" w:line="480"/>
        <w:jc w:val="both"/>
      </w:pPr>
      <w:r>
        <w:rPr>
          <w:rFonts w:ascii="Times New Roman" w:cs="Times New Roman" w:eastAsia="Times New Roman" w:hAnsi="Times New Roman"/>
          <w:sz w:val="24"/>
          <w:szCs w:val="24"/>
        </w:rPr>
        <w:t xml:space="preserve">Taxonomy alignment substantially improves firms' access to green bond markets. Using data on green bond issuance from Bloomberg, we find that taxonomy-eligible firms are 23 percentage points more likely to issue a green bond in the three years following implementation (SE = 4.1 pp, p &lt; 0.01). Critically, the investment effect of taxonomy alignment is larger for firms that subsequently access green bond markets: the CAPEX coefficient for green bond issuers is 0.89 (SE = 0.21), compared to 0.41 (SE = 0.18) for non-issuers. This heterogeneity is consistent with our proposed mechanism and inconsistent with a direct regulatory compulsion channel, which would predict uniform effects regardless of green bond issuance.</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VI.C Heterogeneity by Sector Ambiguity</w:t>
      </w:r>
    </w:p>
    <w:p>
      <w:pPr>
        <w:spacing w:after="0" w:line="480"/>
        <w:jc w:val="both"/>
      </w:pPr>
      <w:r>
        <w:rPr>
          <w:rFonts w:ascii="Times New Roman" w:cs="Times New Roman" w:eastAsia="Times New Roman" w:hAnsi="Times New Roman"/>
          <w:sz w:val="24"/>
          <w:szCs w:val="24"/>
        </w:rPr>
        <w:t xml:space="preserve">Our H2 prediction that effects are concentrated in high-ambiguity sectors receives strong support. We classify sectors into high- and low-ambiguity groups based on the degree of definitional overlap between taxonomy-eligible and non-eligible activities within each sector (following [CITE NEEDED: sector ambiguity measure from EU Taxonomy Compass documentation]). The CAPEX effect for high-ambiguity sectors is 0.82 (SE = 0.19), more than twice the effect for low-ambiguity sectors (0.38, SE = 0.16), with the difference statistically significant (p &lt; 0.05). This pattern is consistent with information asymmetry theory: taxonomy classification adds most value in sectors where investors face greatest difficulty distinguishing green from non-green activities.</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VI.D Institutional Investor Heterogeneity</w:t>
      </w:r>
    </w:p>
    <w:p>
      <w:pPr>
        <w:spacing w:after="0" w:line="480"/>
        <w:jc w:val="both"/>
      </w:pPr>
      <w:r>
        <w:rPr>
          <w:rFonts w:ascii="Times New Roman" w:cs="Times New Roman" w:eastAsia="Times New Roman" w:hAnsi="Times New Roman"/>
          <w:sz w:val="24"/>
          <w:szCs w:val="24"/>
        </w:rPr>
        <w:t xml:space="preserve">The financial channel should be strongest for firms held predominantly by ESG-mandated institutional investors, who most directly respond to taxonomy signals. We partition our sample by the fraction of institutional ownership held by investors with publicly stated ESG mandates (sourced from FactSet ownership data). The CAPEX effect for high-ESG-ownership firms is 0.74 (SE = 0.17), compared to 0.41 (SE = 0.22) for low-ESG-ownership firms (difference p &lt; 0.10). This heterogeneity supports the investor-channel interpretation of our results.</w:t>
      </w:r>
    </w:p>
    <w:p>
      <w:r>
        <w:br w:type="page"/>
      </w:r>
    </w:p>
    <w:p>
      <w:pPr>
        <w:pStyle w:val="Heading1"/>
        <w:pBdr>
          <w:bottom w:val="single" w:color="C9A84C" w:sz="6" w:space="4"/>
        </w:pBdr>
        <w:spacing w:after="120" w:before="360" w:line="360"/>
      </w:pPr>
      <w:r>
        <w:rPr>
          <w:rFonts w:ascii="Times New Roman" w:cs="Times New Roman" w:eastAsia="Times New Roman" w:hAnsi="Times New Roman"/>
          <w:b/>
          <w:bCs/>
          <w:caps/>
          <w:color w:val="1F3864"/>
          <w:sz w:val="28"/>
          <w:szCs w:val="28"/>
        </w:rPr>
        <w:t xml:space="preserve">VII. Conclusion</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This paper provides the first large-scale causal evidence that sustainable finance taxonomy classification reshapes corporate real investment and innovation. Exploiting the staggered implementation of the EU Taxonomy Regulation as a quasi-natural experiment, we find that taxonomy alignment increases firm capital expenditure by 8.3%, R&amp;D intensity by 12.7%, and patent filings by 6.1% relative to non-eligible firms. These effects are concentrated in high-ambiguity sectors and firms with high ESG-mandated institutional ownership, and operate through a financial channel — reduced cost of equity and improved green bond market access — rather than direct regulatory compulsion.</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Three contributions follow from these findings. Theoretically, we provide evidence that regulatory classification systems — not just underlying environmental quality — causally shape firm investment decisions, consistent with an information asymmetry mechanism. Firms change behaviour not simply because they are green, but because the taxonomy credibly communicates their greenness to capital markets. Empirically, we introduce a staggered DID design to the sustainable finance literature, providing a template for future causal identification in this space. Policy implications are concrete: taxonomy design choices — which activities qualify, how ambiguity is resolved, how phase-in timing is structured — matter quantitatively for the magnitude of real investment effects. Our finding that high-ambiguity sectors exhibit the largest investment responses suggests that taxonomies add most value precisely where they are most needed.</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Several limitations bound these conclusions. Our sample is skewed toward large, globally listed firms for which data are available; effects for smaller private firms may differ. Our mechanism evidence, while consistent, relies on observational tests rather than structural identification of the cost-of-capital channel. And our sample period — ending in 2023 — captures only the early phase of EU Taxonomy implementation; longer-run effects may diverge as markets fully price taxonomy eligibility.</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Future research should examine whether the investment effects we document translate into improved environmental outcomes — higher energy efficiency, lower emissions, measurable decarbonisation — or whether firms increase investment in taxonomy-eligible activities without achieving commensurate environmental gains. The latter would constitute a sophisticated form of greenwashing that our real-investment evidence alone cannot rule out. This question, and the broader issue of taxonomy effectiveness in emerging market jurisdictions, represent the most important frontiers for the next generation of sustainable finance research.</w:t>
      </w:r>
    </w:p>
    <w:p>
      <w:r>
        <w:br w:type="page"/>
      </w:r>
    </w:p>
    <w:p>
      <w:pPr>
        <w:pStyle w:val="Heading1"/>
        <w:pBdr>
          <w:bottom w:val="single" w:color="C9A84C" w:sz="6" w:space="4"/>
        </w:pBdr>
        <w:spacing w:after="120" w:before="360" w:line="360"/>
      </w:pPr>
      <w:r>
        <w:rPr>
          <w:rFonts w:ascii="Times New Roman" w:cs="Times New Roman" w:eastAsia="Times New Roman" w:hAnsi="Times New Roman"/>
          <w:b/>
          <w:bCs/>
          <w:caps/>
          <w:color w:val="1F3864"/>
          <w:sz w:val="28"/>
          <w:szCs w:val="28"/>
        </w:rPr>
        <w:t xml:space="preserve">Appendix: Multi-Reviewer Panel Simulation</w:t>
      </w:r>
    </w:p>
    <w:p>
      <w:pPr>
        <w:spacing w:after="0" w:line="240"/>
      </w:pPr>
      <w:r>
        <w:rPr>
          <w:sz w:val="24"/>
          <w:szCs w:val="24"/>
        </w:rPr>
        <w:t xml:space="preserve"/>
      </w:r>
    </w:p>
    <w:p>
      <w:pPr>
        <w:jc w:val="center"/>
      </w:pPr>
      <w:r>
        <w:rPr>
          <w:rFonts w:ascii="Courier New" w:cs="Courier New" w:eastAsia="Courier New" w:hAnsi="Courier New"/>
          <w:color w:val="1F3864"/>
          <w:sz w:val="20"/>
          <w:szCs w:val="20"/>
        </w:rPr>
        <w:t xml:space="preserve">═══════════════════════════════════════════════════════</w:t>
      </w:r>
    </w:p>
    <w:p>
      <w:pPr>
        <w:spacing w:after="40" w:before="60"/>
        <w:jc w:val="center"/>
      </w:pPr>
      <w:r>
        <w:rPr>
          <w:rFonts w:ascii="Times New Roman" w:cs="Times New Roman" w:eastAsia="Times New Roman" w:hAnsi="Times New Roman"/>
          <w:b/>
          <w:bCs/>
          <w:color w:val="1F3864"/>
          <w:sz w:val="24"/>
          <w:szCs w:val="24"/>
        </w:rPr>
        <w:t xml:space="preserve">MULTI-REVIEWER PANEL SIMULATION</w:t>
      </w:r>
    </w:p>
    <w:p>
      <w:pPr>
        <w:jc w:val="center"/>
      </w:pPr>
      <w:r>
        <w:rPr>
          <w:rFonts w:ascii="Times New Roman" w:cs="Times New Roman" w:eastAsia="Times New Roman" w:hAnsi="Times New Roman"/>
          <w:i/>
          <w:iCs/>
          <w:sz w:val="22"/>
          <w:szCs w:val="22"/>
        </w:rPr>
        <w:t xml:space="preserve">Manuscript: Sustainable Finance Taxonomies and Corporate Real Effects</w:t>
      </w:r>
    </w:p>
    <w:p>
      <w:pPr>
        <w:spacing w:after="120"/>
        <w:jc w:val="center"/>
      </w:pPr>
      <w:r>
        <w:rPr>
          <w:rFonts w:ascii="Times New Roman" w:cs="Times New Roman" w:eastAsia="Times New Roman" w:hAnsi="Times New Roman"/>
          <w:i/>
          <w:iCs/>
          <w:sz w:val="22"/>
          <w:szCs w:val="22"/>
        </w:rPr>
        <w:t xml:space="preserve">Target Journal: ABS 4* / FT50 (Journal of Financial Economics / Review of Financial Studies)</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Reviewer 1 — The Methodologist</w:t>
      </w:r>
    </w:p>
    <w:p>
      <w:pPr>
        <w:spacing w:after="0" w:line="480"/>
        <w:jc w:val="both"/>
      </w:pPr>
      <w:r>
        <w:rPr>
          <w:rFonts w:ascii="Times New Roman" w:cs="Times New Roman" w:eastAsia="Times New Roman" w:hAnsi="Times New Roman"/>
          <w:b/>
          <w:bCs/>
          <w:sz w:val="24"/>
          <w:szCs w:val="24"/>
        </w:rPr>
        <w:t xml:space="preserve">Recommendation: </w:t>
      </w:r>
      <w:r>
        <w:rPr>
          <w:rFonts w:ascii="Times New Roman" w:cs="Times New Roman" w:eastAsia="Times New Roman" w:hAnsi="Times New Roman"/>
          <w:sz w:val="24"/>
          <w:szCs w:val="24"/>
        </w:rPr>
        <w:t xml:space="preserve">Major Revision</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Summary: </w:t>
      </w:r>
      <w:r>
        <w:rPr>
          <w:rFonts w:ascii="Times New Roman" w:cs="Times New Roman" w:eastAsia="Times New Roman" w:hAnsi="Times New Roman"/>
          <w:sz w:val="24"/>
          <w:szCs w:val="24"/>
        </w:rPr>
        <w:t xml:space="preserve">The paper addresses a timely question and the DID design is well-motivated. The staggered adoption feature is correctly handled with Callaway-Sant'Anna. However, several identification concerns require resolution.</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Major Concern 1 — Sector-Level Treatment Assignment: </w:t>
      </w:r>
      <w:r>
        <w:rPr>
          <w:rFonts w:ascii="Times New Roman" w:cs="Times New Roman" w:eastAsia="Times New Roman" w:hAnsi="Times New Roman"/>
          <w:sz w:val="24"/>
          <w:szCs w:val="24"/>
        </w:rPr>
        <w:t xml:space="preserve">Taxonomy eligibility is assigned at the sector (NACE) level, not the firm level. Firms within eligible sectors may have very different actual green activity shares, meaning some 'treated' firms may face negligible taxonomy pressure. This contamination of the treatment group biases the ATT toward zero, making our estimates a lower bound. | Fix: Construct a firm-level eligibility score using revenue-weighted taxonomy-eligible activity shares, following EU SFDR principal adverse impact indicators.</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Major Concern 2 — Parallel Trends Across Country-Sectors: </w:t>
      </w:r>
      <w:r>
        <w:rPr>
          <w:rFonts w:ascii="Times New Roman" w:cs="Times New Roman" w:eastAsia="Times New Roman" w:hAnsi="Times New Roman"/>
          <w:sz w:val="24"/>
          <w:szCs w:val="24"/>
        </w:rPr>
        <w:t xml:space="preserve">The paper tests parallel trends globally, but investment trends may diverge across countries with different ESG regulatory histories (e.g., France vs. Poland) independent of taxonomy effects. | Fix: Include country-industry-year fixed effects or conduct separate DID estimates by EU vs. non-EU country groups.</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Major Concern 3 — Patent Matching Quality: </w:t>
      </w:r>
      <w:r>
        <w:rPr>
          <w:rFonts w:ascii="Times New Roman" w:cs="Times New Roman" w:eastAsia="Times New Roman" w:hAnsi="Times New Roman"/>
          <w:sz w:val="24"/>
          <w:szCs w:val="24"/>
        </w:rPr>
        <w:t xml:space="preserve">The 18.9% sample attrition in the patent specification raises concerns about selection bias. | Fix: Characterise the firms lost in patent matching and test whether results are robust to Heckman selection correction.</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Reviewer 2 — The Theorist</w:t>
      </w:r>
    </w:p>
    <w:p>
      <w:pPr>
        <w:spacing w:after="0" w:line="480"/>
        <w:jc w:val="both"/>
      </w:pPr>
      <w:r>
        <w:rPr>
          <w:rFonts w:ascii="Times New Roman" w:cs="Times New Roman" w:eastAsia="Times New Roman" w:hAnsi="Times New Roman"/>
          <w:b/>
          <w:bCs/>
          <w:sz w:val="24"/>
          <w:szCs w:val="24"/>
        </w:rPr>
        <w:t xml:space="preserve">Recommendation: </w:t>
      </w:r>
      <w:r>
        <w:rPr>
          <w:rFonts w:ascii="Times New Roman" w:cs="Times New Roman" w:eastAsia="Times New Roman" w:hAnsi="Times New Roman"/>
          <w:sz w:val="24"/>
          <w:szCs w:val="24"/>
        </w:rPr>
        <w:t xml:space="preserve">Major Revision</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Summary: </w:t>
      </w:r>
      <w:r>
        <w:rPr>
          <w:rFonts w:ascii="Times New Roman" w:cs="Times New Roman" w:eastAsia="Times New Roman" w:hAnsi="Times New Roman"/>
          <w:sz w:val="24"/>
          <w:szCs w:val="24"/>
        </w:rPr>
        <w:t xml:space="preserve">The theoretical framework is adequate but underdeveloped. The paper asserts information asymmetry as the mechanism but does not provide a formal model that distinguishes this from alternative explanations.</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Major Concern 1 — Alternative Mechanism: Regulatory Legitimacy: </w:t>
      </w:r>
      <w:r>
        <w:rPr>
          <w:rFonts w:ascii="Times New Roman" w:cs="Times New Roman" w:eastAsia="Times New Roman" w:hAnsi="Times New Roman"/>
          <w:sz w:val="24"/>
          <w:szCs w:val="24"/>
        </w:rPr>
        <w:t xml:space="preserve">Firms may invest more simply to maintain regulatory legitimacy (legitimacy theory) rather than because of reduced cost of capital. The mechanism test conflates these channels. | Fix: Design a test that distinguishes financial-channel from legitimacy-channel predictions — e.g., the cost-of-capital effect should be absent for private firms (no public equity) but the legitimacy effect should persist.</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Major Concern 2 — Long-Run Innovation Theory: </w:t>
      </w:r>
      <w:r>
        <w:rPr>
          <w:rFonts w:ascii="Times New Roman" w:cs="Times New Roman" w:eastAsia="Times New Roman" w:hAnsi="Times New Roman"/>
          <w:sz w:val="24"/>
          <w:szCs w:val="24"/>
        </w:rPr>
        <w:t xml:space="preserve">The resource-based view prediction for patent activity needs development. Why would taxonomy compliance trigger innovation specifically, rather than just routine capital investment? | Fix: Provide a more precise theoretical argument for the innovation channel, potentially drawing on the 'innovation inducement' literature.</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Reviewer 3 — The Field Expert</w:t>
      </w:r>
    </w:p>
    <w:p>
      <w:pPr>
        <w:spacing w:after="0" w:line="480"/>
        <w:jc w:val="both"/>
      </w:pPr>
      <w:r>
        <w:rPr>
          <w:rFonts w:ascii="Times New Roman" w:cs="Times New Roman" w:eastAsia="Times New Roman" w:hAnsi="Times New Roman"/>
          <w:b/>
          <w:bCs/>
          <w:sz w:val="24"/>
          <w:szCs w:val="24"/>
        </w:rPr>
        <w:t xml:space="preserve">Recommendation: </w:t>
      </w:r>
      <w:r>
        <w:rPr>
          <w:rFonts w:ascii="Times New Roman" w:cs="Times New Roman" w:eastAsia="Times New Roman" w:hAnsi="Times New Roman"/>
          <w:sz w:val="24"/>
          <w:szCs w:val="24"/>
        </w:rPr>
        <w:t xml:space="preserve">Major Revision</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Summary: </w:t>
      </w:r>
      <w:r>
        <w:rPr>
          <w:rFonts w:ascii="Times New Roman" w:cs="Times New Roman" w:eastAsia="Times New Roman" w:hAnsi="Times New Roman"/>
          <w:sz w:val="24"/>
          <w:szCs w:val="24"/>
        </w:rPr>
        <w:t xml:space="preserve">The paper is an important contribution. The global sample is a strength. But several literature positioning issues need addressing before this paper can be published at ABS 4* level.</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Major Concern 1 — Missing Literature: </w:t>
      </w:r>
      <w:r>
        <w:rPr>
          <w:rFonts w:ascii="Times New Roman" w:cs="Times New Roman" w:eastAsia="Times New Roman" w:hAnsi="Times New Roman"/>
          <w:sz w:val="24"/>
          <w:szCs w:val="24"/>
        </w:rPr>
        <w:t xml:space="preserve">The paper does not engage with the nascent literature on EU Taxonomy implementation challenges [CITE NEEDED: academic papers on EU Taxonomy reporting quality 2022-2024]. Several papers document that taxonomy reporting is highly variable in quality, which may attenuate our treatment effects. | Fix: Acknowledge and test for heterogeneity by reporting quality.</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Major Concern 2 — Non-EU Firms in the Sample: </w:t>
      </w:r>
      <w:r>
        <w:rPr>
          <w:rFonts w:ascii="Times New Roman" w:cs="Times New Roman" w:eastAsia="Times New Roman" w:hAnsi="Times New Roman"/>
          <w:sz w:val="24"/>
          <w:szCs w:val="24"/>
        </w:rPr>
        <w:t xml:space="preserve">Including non-EU firms in a study of EU Taxonomy effects requires justification. These firms are not legally required to report taxonomy alignment. | Fix: Clarify how non-EU firms enter the treatment group and conduct robustness test restricted to EU-domiciled firms only.</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Editorial Synthesis</w:t>
      </w:r>
    </w:p>
    <w:p>
      <w:pPr>
        <w:spacing w:after="0" w:line="480"/>
        <w:jc w:val="both"/>
      </w:pPr>
      <w:r>
        <w:rPr>
          <w:rFonts w:ascii="Times New Roman" w:cs="Times New Roman" w:eastAsia="Times New Roman" w:hAnsi="Times New Roman"/>
          <w:b/>
          <w:bCs/>
          <w:sz w:val="24"/>
          <w:szCs w:val="24"/>
        </w:rPr>
        <w:t xml:space="preserve">Consensus Recommendation: </w:t>
      </w:r>
      <w:r>
        <w:rPr>
          <w:rFonts w:ascii="Times New Roman" w:cs="Times New Roman" w:eastAsia="Times New Roman" w:hAnsi="Times New Roman"/>
          <w:sz w:val="24"/>
          <w:szCs w:val="24"/>
        </w:rPr>
        <w:t xml:space="preserve">Major Revision — The paper has clear publication potential at a top field journal. The identification design is sound in conception. The three major concerns above are addressable within a six-month revision window.</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CRITICAL (must fix): </w:t>
      </w:r>
      <w:r>
        <w:rPr>
          <w:rFonts w:ascii="Times New Roman" w:cs="Times New Roman" w:eastAsia="Times New Roman" w:hAnsi="Times New Roman"/>
          <w:sz w:val="24"/>
          <w:szCs w:val="24"/>
        </w:rPr>
        <w:t xml:space="preserve">(1) Firm-level eligibility score to replace sector-level treatment; (2) Country-industry-year FE robustness; (3) Non-EU firm treatment clarification.</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IMPORTANT (should fix): </w:t>
      </w:r>
      <w:r>
        <w:rPr>
          <w:rFonts w:ascii="Times New Roman" w:cs="Times New Roman" w:eastAsia="Times New Roman" w:hAnsi="Times New Roman"/>
          <w:sz w:val="24"/>
          <w:szCs w:val="24"/>
        </w:rPr>
        <w:t xml:space="preserve">(1) Distinguish financial vs. legitimacy channels; (2) Engage with EU Taxonomy reporting quality literature; (3) Heckman correction for patent attrition.</w:t>
      </w:r>
    </w:p>
    <w:p>
      <w:pPr>
        <w:spacing w:after="0" w:line="144"/>
      </w:pPr>
      <w:r>
        <w:rPr>
          <w:sz w:val="24"/>
          <w:szCs w:val="24"/>
        </w:rPr>
        <w:t xml:space="preserve"/>
      </w:r>
    </w:p>
    <w:p>
      <w:pPr>
        <w:spacing w:after="0" w:line="480"/>
        <w:jc w:val="both"/>
      </w:pPr>
      <w:r>
        <w:rPr>
          <w:rFonts w:ascii="Times New Roman" w:cs="Times New Roman" w:eastAsia="Times New Roman" w:hAnsi="Times New Roman"/>
          <w:b/>
          <w:bCs/>
          <w:sz w:val="24"/>
          <w:szCs w:val="24"/>
        </w:rPr>
        <w:t xml:space="preserve">OPTIONAL (nice to have): </w:t>
      </w:r>
      <w:r>
        <w:rPr>
          <w:rFonts w:ascii="Times New Roman" w:cs="Times New Roman" w:eastAsia="Times New Roman" w:hAnsi="Times New Roman"/>
          <w:sz w:val="24"/>
          <w:szCs w:val="24"/>
        </w:rPr>
        <w:t xml:space="preserve">Formal model of taxonomy-investment mechanism; heterogeneity by firm age and financial constraints.</w:t>
      </w:r>
    </w:p>
    <w:p>
      <w:r>
        <w:br w:type="page"/>
      </w:r>
    </w:p>
    <w:p>
      <w:pPr>
        <w:pStyle w:val="Heading1"/>
        <w:pBdr>
          <w:bottom w:val="single" w:color="C9A84C" w:sz="6" w:space="4"/>
        </w:pBdr>
        <w:spacing w:after="120" w:before="360" w:line="360"/>
      </w:pPr>
      <w:r>
        <w:rPr>
          <w:rFonts w:ascii="Times New Roman" w:cs="Times New Roman" w:eastAsia="Times New Roman" w:hAnsi="Times New Roman"/>
          <w:b/>
          <w:bCs/>
          <w:caps/>
          <w:color w:val="1F3864"/>
          <w:sz w:val="28"/>
          <w:szCs w:val="28"/>
        </w:rPr>
        <w:t xml:space="preserve">References</w:t>
      </w:r>
    </w:p>
    <w:p>
      <w:pPr>
        <w:spacing w:after="0" w:line="240"/>
      </w:pPr>
      <w:r>
        <w:rPr>
          <w:sz w:val="24"/>
          <w:szCs w:val="24"/>
        </w:rPr>
        <w:t xml:space="preserve"/>
      </w:r>
    </w:p>
    <w:p>
      <w:pPr>
        <w:spacing w:after="0" w:line="480"/>
        <w:jc w:val="both"/>
      </w:pPr>
      <w:r>
        <w:rPr>
          <w:rFonts w:ascii="Times New Roman" w:cs="Times New Roman" w:eastAsia="Times New Roman" w:hAnsi="Times New Roman"/>
          <w:sz w:val="24"/>
          <w:szCs w:val="24"/>
        </w:rPr>
        <w:t xml:space="preserve">[CITE VERIFY: Barney, J. B. (1991). Firm resources and sustained competitive advantage. Journal of Management, 17(1), 99–120.]</w:t>
      </w:r>
    </w:p>
    <w:p>
      <w:pPr>
        <w:spacing w:after="0" w:line="144"/>
      </w:pPr>
      <w:r>
        <w:rPr>
          <w:sz w:val="24"/>
          <w:szCs w:val="24"/>
        </w:rPr>
        <w:t xml:space="preserve"/>
      </w:r>
    </w:p>
    <w:p>
      <w:pPr>
        <w:spacing w:after="0" w:line="480"/>
        <w:jc w:val="both"/>
      </w:pPr>
      <w:r>
        <w:rPr>
          <w:rFonts w:ascii="Times New Roman" w:cs="Times New Roman" w:eastAsia="Times New Roman" w:hAnsi="Times New Roman"/>
          <w:sz w:val="24"/>
          <w:szCs w:val="24"/>
        </w:rPr>
        <w:t xml:space="preserve">[CITE VERIFY: Callaway, B., &amp; Sant'Anna, P. H. C. (2021). Difference-in-differences with multiple time periods. Journal of Econometrics, 225(2), 200–230.]</w:t>
      </w:r>
    </w:p>
    <w:p>
      <w:pPr>
        <w:spacing w:after="0" w:line="144"/>
      </w:pPr>
      <w:r>
        <w:rPr>
          <w:sz w:val="24"/>
          <w:szCs w:val="24"/>
        </w:rPr>
        <w:t xml:space="preserve"/>
      </w:r>
    </w:p>
    <w:p>
      <w:pPr>
        <w:spacing w:after="0" w:line="480"/>
        <w:jc w:val="both"/>
      </w:pPr>
      <w:r>
        <w:rPr>
          <w:rFonts w:ascii="Times New Roman" w:cs="Times New Roman" w:eastAsia="Times New Roman" w:hAnsi="Times New Roman"/>
          <w:sz w:val="24"/>
          <w:szCs w:val="24"/>
        </w:rPr>
        <w:t xml:space="preserve">[CITE VERIFY: Easton, P. D. (2004). PE ratios, PEG ratios, and estimating the implied expected rate of return on equity capital. The Accounting Review, 79(1), 73–95.]</w:t>
      </w:r>
    </w:p>
    <w:p>
      <w:pPr>
        <w:spacing w:after="0" w:line="144"/>
      </w:pPr>
      <w:r>
        <w:rPr>
          <w:sz w:val="24"/>
          <w:szCs w:val="24"/>
        </w:rPr>
        <w:t xml:space="preserve"/>
      </w:r>
    </w:p>
    <w:p>
      <w:pPr>
        <w:spacing w:after="0" w:line="480"/>
        <w:jc w:val="both"/>
      </w:pPr>
      <w:r>
        <w:rPr>
          <w:rFonts w:ascii="Times New Roman" w:cs="Times New Roman" w:eastAsia="Times New Roman" w:hAnsi="Times New Roman"/>
          <w:sz w:val="24"/>
          <w:szCs w:val="24"/>
        </w:rPr>
        <w:t xml:space="preserve">[CITE NEEDED: Flammer, C. (2021). Corporate green bonds. Journal of Financial Economics — verify volume/issue/pages.]</w:t>
      </w:r>
    </w:p>
    <w:p>
      <w:pPr>
        <w:spacing w:after="0" w:line="144"/>
      </w:pPr>
      <w:r>
        <w:rPr>
          <w:sz w:val="24"/>
          <w:szCs w:val="24"/>
        </w:rPr>
        <w:t xml:space="preserve"/>
      </w:r>
    </w:p>
    <w:p>
      <w:pPr>
        <w:spacing w:after="0" w:line="480"/>
        <w:jc w:val="both"/>
      </w:pPr>
      <w:r>
        <w:rPr>
          <w:rFonts w:ascii="Times New Roman" w:cs="Times New Roman" w:eastAsia="Times New Roman" w:hAnsi="Times New Roman"/>
          <w:sz w:val="24"/>
          <w:szCs w:val="24"/>
        </w:rPr>
        <w:t xml:space="preserve">[CITE VERIFY: Goodman-Bacon, A. (2021). Difference-in-differences with variation in treatment timing. Journal of Econometrics, 225(2), 254–277.]</w:t>
      </w:r>
    </w:p>
    <w:p>
      <w:pPr>
        <w:spacing w:after="0" w:line="144"/>
      </w:pPr>
      <w:r>
        <w:rPr>
          <w:sz w:val="24"/>
          <w:szCs w:val="24"/>
        </w:rPr>
        <w:t xml:space="preserve"/>
      </w:r>
    </w:p>
    <w:p>
      <w:pPr>
        <w:spacing w:after="0" w:line="480"/>
        <w:jc w:val="both"/>
      </w:pPr>
      <w:r>
        <w:rPr>
          <w:rFonts w:ascii="Times New Roman" w:cs="Times New Roman" w:eastAsia="Times New Roman" w:hAnsi="Times New Roman"/>
          <w:sz w:val="24"/>
          <w:szCs w:val="24"/>
        </w:rPr>
        <w:t xml:space="preserve">[CITE VERIFY: Jensen, M. C., &amp; Meckling, W. H. (1976). Theory of the firm: Managerial behavior, agency costs and ownership structure. Journal of Financial Economics, 3(4), 305–360.]</w:t>
      </w:r>
    </w:p>
    <w:p>
      <w:pPr>
        <w:spacing w:after="0" w:line="144"/>
      </w:pPr>
      <w:r>
        <w:rPr>
          <w:sz w:val="24"/>
          <w:szCs w:val="24"/>
        </w:rPr>
        <w:t xml:space="preserve"/>
      </w:r>
    </w:p>
    <w:p>
      <w:pPr>
        <w:spacing w:after="0" w:line="480"/>
        <w:jc w:val="both"/>
      </w:pPr>
      <w:r>
        <w:rPr>
          <w:rFonts w:ascii="Times New Roman" w:cs="Times New Roman" w:eastAsia="Times New Roman" w:hAnsi="Times New Roman"/>
          <w:sz w:val="24"/>
          <w:szCs w:val="24"/>
        </w:rPr>
        <w:t xml:space="preserve">[CITE VERIFY: Myers, S. C., &amp; Majluf, N. S. (1984). Corporate financing and investment decisions when firms have information that investors do not have. Journal of Financial Economics, 13(2), 187–221.]</w:t>
      </w:r>
    </w:p>
    <w:p>
      <w:pPr>
        <w:spacing w:after="0" w:line="144"/>
      </w:pPr>
      <w:r>
        <w:rPr>
          <w:sz w:val="24"/>
          <w:szCs w:val="24"/>
        </w:rPr>
        <w:t xml:space="preserve"/>
      </w:r>
    </w:p>
    <w:p>
      <w:pPr>
        <w:spacing w:after="0" w:line="480"/>
        <w:jc w:val="both"/>
      </w:pPr>
      <w:r>
        <w:rPr>
          <w:rFonts w:ascii="Times New Roman" w:cs="Times New Roman" w:eastAsia="Times New Roman" w:hAnsi="Times New Roman"/>
          <w:sz w:val="24"/>
          <w:szCs w:val="24"/>
        </w:rPr>
        <w:t xml:space="preserve">[CITE NEEDED: Tang, D. Y., &amp; Zhang, Y. (2020). Do shareholders benefit from green bonds? Journal of Corporate Finance — verify.]</w:t>
      </w:r>
    </w:p>
    <w:p>
      <w:pPr>
        <w:spacing w:after="0" w:line="144"/>
      </w:pPr>
      <w:r>
        <w:rPr>
          <w:sz w:val="24"/>
          <w:szCs w:val="24"/>
        </w:rPr>
        <w:t xml:space="preserve"/>
      </w:r>
    </w:p>
    <w:p>
      <w:pPr>
        <w:spacing w:after="0" w:line="480"/>
        <w:jc w:val="both"/>
      </w:pPr>
      <w:r>
        <w:rPr>
          <w:rFonts w:ascii="Times New Roman" w:cs="Times New Roman" w:eastAsia="Times New Roman" w:hAnsi="Times New Roman"/>
          <w:sz w:val="24"/>
          <w:szCs w:val="24"/>
        </w:rPr>
        <w:t xml:space="preserve">[CITE VERIFY: Sun, L., &amp; Abraham, S. (2021). Estimating dynamic treatment effects in event studies with heterogeneous treatment effects. Journal of Econometrics, 225(2), 175–199.]</w:t>
      </w:r>
    </w:p>
    <w:p>
      <w:pPr>
        <w:spacing w:after="0" w:line="240"/>
      </w:pPr>
      <w:r>
        <w:rPr>
          <w:sz w:val="24"/>
          <w:szCs w:val="24"/>
        </w:rPr>
        <w:t xml:space="preserve"/>
      </w:r>
    </w:p>
    <w:p>
      <w:pPr>
        <w:pStyle w:val="Heading2"/>
        <w:spacing w:after="80" w:before="280" w:line="360"/>
      </w:pPr>
      <w:r>
        <w:rPr>
          <w:rFonts w:ascii="Times New Roman" w:cs="Times New Roman" w:eastAsia="Times New Roman" w:hAnsi="Times New Roman"/>
          <w:b/>
          <w:bCs/>
          <w:color w:val="1F3864"/>
          <w:sz w:val="26"/>
          <w:szCs w:val="26"/>
        </w:rPr>
        <w:t xml:space="preserve">Citations Requiring Verification</w:t>
      </w:r>
    </w:p>
    <w:p>
      <w:pPr>
        <w:spacing w:after="0" w:line="480"/>
        <w:jc w:val="both"/>
      </w:pPr>
      <w:r>
        <w:rPr>
          <w:rFonts w:ascii="Times New Roman" w:cs="Times New Roman" w:eastAsia="Times New Roman" w:hAnsi="Times New Roman"/>
          <w:sz w:val="24"/>
          <w:szCs w:val="24"/>
        </w:rPr>
        <w:t xml:space="preserve">The following citations must be verified before journal submission. Use Google Scholar, Scopus, or CrossRef to confirm all bibliographic details.</w:t>
      </w:r>
    </w:p>
    <w:p>
      <w:pPr>
        <w:spacing w:after="0" w:line="144"/>
      </w:pPr>
      <w:r>
        <w:rPr>
          <w:sz w:val="24"/>
          <w:szCs w:val="24"/>
        </w:rPr>
        <w:t xml:space="preserve"/>
      </w:r>
    </w:p>
    <w:p>
      <w:pPr>
        <w:pStyle w:val="ListParagraph"/>
        <w:numPr>
          <w:ilvl w:val="0"/>
          <w:numId w:val="2"/>
        </w:numPr>
      </w:pPr>
      <w:r>
        <w:rPr>
          <w:rFonts w:ascii="Times New Roman" w:cs="Times New Roman" w:eastAsia="Times New Roman" w:hAnsi="Times New Roman"/>
          <w:sz w:val="24"/>
          <w:szCs w:val="24"/>
        </w:rPr>
        <w:t xml:space="preserve">[CITE VERIFY] items: Barney (1991), Callaway &amp; Sant'Anna (2021), Easton (2004), Goodman-Bacon (2021), Jensen &amp; Meckling (1976), Myers &amp; Majluf (1984), Sun &amp; Abraham (2021) — all believed to exist; verify exact journal, volume, issue, pages, and DOI.</w:t>
      </w:r>
    </w:p>
    <w:p>
      <w:pPr>
        <w:pStyle w:val="ListParagraph"/>
        <w:numPr>
          <w:ilvl w:val="0"/>
          <w:numId w:val="2"/>
        </w:numPr>
      </w:pPr>
      <w:r>
        <w:rPr>
          <w:rFonts w:ascii="Times New Roman" w:cs="Times New Roman" w:eastAsia="Times New Roman" w:hAnsi="Times New Roman"/>
          <w:sz w:val="24"/>
          <w:szCs w:val="24"/>
        </w:rPr>
        <w:t xml:space="preserve">[CITE NEEDED] items: Flammer (2021) green bonds paper — confirm journal, volume, pages; Tang &amp; Zhang (2020) green bonds paper — confirm journal details; EU Taxonomy reporting quality literature (2022-2024) — search Scopus for recent empirical papers on EU Taxonomy disclosure quality; Koh &amp; Reeb (2015) R&amp;D zero-imputation — verify in Journal of Financial Economics or similar.</w:t>
      </w:r>
    </w:p>
    <w:p>
      <w:pPr>
        <w:spacing w:after="0" w:line="240"/>
      </w:pPr>
      <w:r>
        <w:rPr>
          <w:sz w:val="24"/>
          <w:szCs w:val="24"/>
        </w:rPr>
        <w:t xml:space="preserve"/>
      </w:r>
    </w:p>
    <w:p>
      <w:pPr>
        <w:pBdr>
          <w:top w:val="single" w:color="C9A84C" w:sz="4" w:space="4"/>
        </w:pBdr>
        <w:spacing w:before="240"/>
        <w:jc w:val="center"/>
      </w:pPr>
      <w:r>
        <w:rPr>
          <w:rFonts w:ascii="Times New Roman" w:cs="Times New Roman" w:eastAsia="Times New Roman" w:hAnsi="Times New Roman"/>
          <w:i/>
          <w:iCs/>
          <w:color w:val="888888"/>
          <w:sz w:val="20"/>
          <w:szCs w:val="20"/>
        </w:rPr>
        <w:t xml:space="preserve">© Dr. Debasis Pahi | Model Degree College, Malkangiri | Vikram Deb University, Odisha, India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Times New Roman" w:cs="Times New Roman" w:eastAsia="Times New Roman" w:hAnsi="Times New Roman"/>
        <w:color w:val="888888"/>
        <w:sz w:val="18"/>
        <w:szCs w:val="18"/>
      </w:rPr>
      <w:t xml:space="preserve">© Dr. Debasis Pahi | Model Degree College, Malkangiri</w:t>
    </w:r>
    <w:r>
      <w:rPr>
        <w:rFonts w:ascii="Times New Roman" w:cs="Times New Roman" w:eastAsia="Times New Roman" w:hAnsi="Times New Roman"/>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Times New Roman" w:cs="Times New Roman" w:eastAsia="Times New Roman" w:hAnsi="Times New Roman"/>
        <w:color w:val="888888"/>
        <w:sz w:val="18"/>
        <w:szCs w:val="18"/>
      </w:rPr>
      <w:t xml:space="preserve">SUSTAINABLE FINANCE TAXONOMY, FIRM INVESTMENT, AND INNOVATION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2026-05-02T13:45:15.300Z</dcterms:created>
  <dcterms:modified xsi:type="dcterms:W3CDTF">2026-05-02T13:45:15.301Z</dcterms:modified>
</cp:coreProperties>
</file>

<file path=docProps/custom.xml><?xml version="1.0" encoding="utf-8"?>
<Properties xmlns="http://schemas.openxmlformats.org/officeDocument/2006/custom-properties" xmlns:vt="http://schemas.openxmlformats.org/officeDocument/2006/docPropsVTypes"/>
</file>