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20"/>
      </w:tblGrid>
      <w:tr w14:paraId="08F01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tcBorders>
              <w:top w:val="single" w:color="1B3A6B" w:sz="0" w:space="0"/>
              <w:left w:val="single" w:color="1B3A6B" w:sz="0" w:space="0"/>
              <w:bottom w:val="single" w:color="1B3A6B" w:sz="0" w:space="0"/>
              <w:right w:val="single" w:color="1B3A6B" w:sz="0" w:space="0"/>
            </w:tcBorders>
            <w:shd w:val="clear" w:color="auto" w:fill="1B3A6B"/>
            <w:tcMar>
              <w:top w:w="400" w:type="dxa"/>
              <w:left w:w="480" w:type="dxa"/>
              <w:bottom w:w="400" w:type="dxa"/>
              <w:right w:w="480" w:type="dxa"/>
            </w:tcMar>
          </w:tcPr>
          <w:p w14:paraId="69B58BB9">
            <w:pPr>
              <w:spacing w:before="120" w:after="60"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48"/>
                <w:szCs w:val="48"/>
              </w:rPr>
              <w:t>AI IN ACCOUNTING RESEARCH</w:t>
            </w:r>
          </w:p>
          <w:p w14:paraId="6F3A2C66">
            <w:pPr>
              <w:spacing w:before="60" w:after="60"/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A8C6E8"/>
                <w:sz w:val="32"/>
                <w:szCs w:val="32"/>
              </w:rPr>
              <w:t>APPLIED ANALYSIS REPORT</w:t>
            </w:r>
          </w:p>
          <w:p w14:paraId="682F5E77">
            <w:pPr>
              <w:spacing w:before="120" w:after="60"/>
              <w:jc w:val="both"/>
            </w:pPr>
            <w:r>
              <w:rPr>
                <w:rFonts w:ascii="Arial" w:hAnsi="Arial" w:eastAsia="Arial" w:cs="Arial"/>
                <w:color w:val="2E5FA3"/>
                <w:sz w:val="20"/>
                <w:szCs w:val="20"/>
              </w:rPr>
              <w:t>━━━━━━━━━━━━━━━━━━━━━━━━━━━━━━━━━━━━━━</w:t>
            </w:r>
          </w:p>
          <w:p w14:paraId="4CB91CAB">
            <w:pPr>
              <w:spacing w:before="80" w:after="60"/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36"/>
                <w:szCs w:val="36"/>
              </w:rPr>
              <w:t>Reliance Industries Limited (RIL)</w:t>
            </w:r>
          </w:p>
          <w:p w14:paraId="6C6B6981">
            <w:pPr>
              <w:spacing w:before="40" w:after="40"/>
              <w:jc w:val="both"/>
            </w:pPr>
            <w:r>
              <w:rPr>
                <w:rFonts w:ascii="Arial" w:hAnsi="Arial" w:eastAsia="Arial" w:cs="Arial"/>
                <w:color w:val="A8C6E8"/>
                <w:sz w:val="26"/>
                <w:szCs w:val="26"/>
              </w:rPr>
              <w:t>Integrated Annual Report | FY 2024-25</w:t>
            </w:r>
          </w:p>
          <w:p w14:paraId="50E31BB4">
            <w:pPr>
              <w:spacing w:before="120" w:after="80"/>
              <w:jc w:val="both"/>
              <w:rPr>
                <w:rFonts w:hint="default" w:cs="Arial"/>
                <w:color w:val="7FA8CC"/>
                <w:sz w:val="18"/>
                <w:szCs w:val="18"/>
                <w:lang w:val="en-US"/>
              </w:rPr>
            </w:pPr>
            <w:r>
              <w:rPr>
                <w:rFonts w:ascii="Arial" w:hAnsi="Arial" w:eastAsia="Arial" w:cs="Arial"/>
                <w:color w:val="7FA8CC"/>
                <w:sz w:val="18"/>
                <w:szCs w:val="18"/>
              </w:rPr>
              <w:t xml:space="preserve">Textual Analyst </w:t>
            </w:r>
            <w:r>
              <w:rPr>
                <w:rFonts w:hint="default" w:cs="Arial"/>
                <w:color w:val="7FA8CC"/>
                <w:sz w:val="18"/>
                <w:szCs w:val="18"/>
                <w:lang w:val="en-US"/>
              </w:rPr>
              <w:t xml:space="preserve">by </w:t>
            </w:r>
          </w:p>
          <w:p w14:paraId="0D4E9051">
            <w:pPr>
              <w:spacing w:before="120" w:after="80"/>
              <w:jc w:val="both"/>
              <w:rPr>
                <w:rFonts w:ascii="Arial" w:hAnsi="Arial" w:eastAsia="Arial" w:cs="Arial"/>
                <w:color w:val="7FA8CC"/>
                <w:sz w:val="18"/>
                <w:szCs w:val="18"/>
              </w:rPr>
            </w:pPr>
            <w:r>
              <w:rPr>
                <w:rFonts w:hint="default" w:cs="Arial"/>
                <w:color w:val="7FA8CC"/>
                <w:sz w:val="18"/>
                <w:szCs w:val="18"/>
                <w:lang w:val="en-US"/>
              </w:rPr>
              <w:t>Dr. Debasis Pahi</w:t>
            </w:r>
            <w:r>
              <w:rPr>
                <w:rFonts w:ascii="Arial" w:hAnsi="Arial" w:eastAsia="Arial" w:cs="Arial"/>
                <w:color w:val="7FA8CC"/>
                <w:sz w:val="18"/>
                <w:szCs w:val="18"/>
              </w:rPr>
              <w:t xml:space="preserve"> </w:t>
            </w:r>
            <w:r>
              <w:rPr>
                <w:rFonts w:hint="default" w:cs="Arial"/>
                <w:color w:val="7FA8CC"/>
                <w:sz w:val="18"/>
                <w:szCs w:val="18"/>
                <w:lang w:val="en-US"/>
              </w:rPr>
              <w:t>(Ph.D)</w:t>
            </w:r>
            <w:r>
              <w:rPr>
                <w:rFonts w:ascii="Arial" w:hAnsi="Arial" w:eastAsia="Arial" w:cs="Arial"/>
                <w:color w:val="7FA8CC"/>
                <w:sz w:val="18"/>
                <w:szCs w:val="18"/>
              </w:rPr>
              <w:t xml:space="preserve">  </w:t>
            </w:r>
          </w:p>
          <w:p w14:paraId="7BAA8A58">
            <w:pPr>
              <w:spacing w:before="120" w:after="80"/>
              <w:jc w:val="both"/>
              <w:rPr>
                <w:rFonts w:hint="default"/>
                <w:lang w:val="en-US"/>
              </w:rPr>
            </w:pPr>
            <w:r>
              <w:rPr>
                <w:rFonts w:hint="default" w:cs="Arial"/>
                <w:color w:val="7FA8CC"/>
                <w:sz w:val="18"/>
                <w:szCs w:val="18"/>
                <w:lang w:val="en-US"/>
              </w:rPr>
              <w:t>Assistant Professor &amp; HoD, Department of Commerce, MDC Malkangiri, VD University</w:t>
            </w:r>
          </w:p>
        </w:tc>
      </w:tr>
    </w:tbl>
    <w:p w14:paraId="71C9ED2A">
      <w:pPr>
        <w:spacing w:before="160" w:after="160"/>
        <w:jc w:val="both"/>
      </w:pP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320"/>
      </w:tblGrid>
      <w:tr w14:paraId="1185B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67997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1B3A6B"/>
                <w:sz w:val="18"/>
                <w:szCs w:val="18"/>
              </w:rPr>
              <w:t>Subject</w:t>
            </w:r>
          </w:p>
        </w:tc>
        <w:tc>
          <w:tcPr>
            <w:tcW w:w="7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C2024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Reliance Industries Limited Annual Report — FY 2024-25</w:t>
            </w:r>
          </w:p>
        </w:tc>
      </w:tr>
      <w:tr w14:paraId="1C4E8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9ED83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1B3A6B"/>
                <w:sz w:val="18"/>
                <w:szCs w:val="18"/>
              </w:rPr>
              <w:t>Analysis Type</w:t>
            </w:r>
          </w:p>
        </w:tc>
        <w:tc>
          <w:tcPr>
            <w:tcW w:w="7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01854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AI in Accounting Research (Full 5-Module Framework)</w:t>
            </w:r>
          </w:p>
        </w:tc>
      </w:tr>
      <w:tr w14:paraId="06A51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083DD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1B3A6B"/>
                <w:sz w:val="18"/>
                <w:szCs w:val="18"/>
              </w:rPr>
              <w:t>Source</w:t>
            </w:r>
          </w:p>
        </w:tc>
        <w:tc>
          <w:tcPr>
            <w:tcW w:w="7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0B310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RIL Integrated Annual Report 2024-25 (ril.com — Public Document)</w:t>
            </w:r>
          </w:p>
        </w:tc>
      </w:tr>
      <w:tr w14:paraId="26986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6EF6B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1B3A6B"/>
                <w:sz w:val="18"/>
                <w:szCs w:val="18"/>
              </w:rPr>
              <w:t>Date of Analysis</w:t>
            </w:r>
          </w:p>
        </w:tc>
        <w:tc>
          <w:tcPr>
            <w:tcW w:w="7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092C2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May 2026</w:t>
            </w:r>
          </w:p>
        </w:tc>
      </w:tr>
      <w:tr w14:paraId="15119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681DA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1B3A6B"/>
                <w:sz w:val="18"/>
                <w:szCs w:val="18"/>
              </w:rPr>
              <w:t>Overall Rating</w:t>
            </w:r>
          </w:p>
        </w:tc>
        <w:tc>
          <w:tcPr>
            <w:tcW w:w="7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4FA15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2E5FA3"/>
                <w:sz w:val="18"/>
                <w:szCs w:val="18"/>
              </w:rPr>
              <w:t>B+  (Strong Disclosure with Targeted Gaps)</w:t>
            </w:r>
          </w:p>
        </w:tc>
      </w:tr>
      <w:tr w14:paraId="08D9E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B31DE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1B3A6B"/>
                <w:sz w:val="18"/>
                <w:szCs w:val="18"/>
              </w:rPr>
              <w:t>Confidence Level</w:t>
            </w:r>
          </w:p>
        </w:tc>
        <w:tc>
          <w:tcPr>
            <w:tcW w:w="7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F8047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High — sourced directly from public RIL Annual Report</w:t>
            </w:r>
          </w:p>
        </w:tc>
      </w:tr>
    </w:tbl>
    <w:p w14:paraId="2086A9E8">
      <w:pPr>
        <w:spacing w:before="160" w:after="160"/>
        <w:jc w:val="both"/>
      </w:pPr>
    </w:p>
    <w:p w14:paraId="67628ADB">
      <w:pPr>
        <w:pStyle w:val="2"/>
        <w:pBdr>
          <w:bottom w:val="single" w:color="2E5FA3" w:sz="6" w:space="4"/>
        </w:pBdr>
        <w:spacing w:before="360" w:after="200"/>
        <w:jc w:val="both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Executive Summary</w:t>
      </w:r>
    </w:p>
    <w:p w14:paraId="614785DF"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sz w:val="20"/>
          <w:szCs w:val="20"/>
        </w:rPr>
        <w:t>This report applies all five sub-modules of the AI in Accounting Research framework to RIL's FY 2024-25 Integrated Annual Report — encompassing the Chairman's Statement, MD&amp;A, Financial Performance Review, 10-year highlights, and segment disclosures.</w:t>
      </w:r>
    </w:p>
    <w:p w14:paraId="27D09B50">
      <w:pPr>
        <w:spacing w:before="80" w:after="80"/>
        <w:jc w:val="both"/>
      </w:pPr>
    </w:p>
    <w:p w14:paraId="457A3680"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sz w:val="20"/>
          <w:szCs w:val="20"/>
        </w:rPr>
        <w:t>The report reveals a sophisticated, largely credible disclosure architecture with notable instances of tonal management, selective metric framing, complexity as a disclosure tool, and narrative-number divergence at the standalone level. Overall disclosure quality is High, with specific zones meriting closer audit scrutiny.</w:t>
      </w:r>
    </w:p>
    <w:p w14:paraId="585119D5">
      <w:pPr>
        <w:spacing w:before="80" w:after="80"/>
        <w:jc w:val="both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1"/>
        <w:gridCol w:w="8709"/>
      </w:tblGrid>
      <w:tr w14:paraId="2636B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single" w:color="1B3A6B" w:sz="0" w:space="0"/>
              <w:left w:val="single" w:color="1B3A6B" w:sz="0" w:space="0"/>
              <w:bottom w:val="single" w:color="1B3A6B" w:sz="0" w:space="0"/>
              <w:right w:val="single" w:color="1B3A6B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C4FCA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9120" w:type="dxa"/>
            <w:tcBorders>
              <w:top w:val="single" w:color="1B3A6B" w:sz="0" w:space="0"/>
              <w:left w:val="single" w:color="1B3A6B" w:sz="0" w:space="0"/>
              <w:bottom w:val="single" w:color="1B3A6B" w:sz="0" w:space="0"/>
              <w:right w:val="single" w:color="1B3A6B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B6A8A">
            <w:pPr>
              <w:jc w:val="both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RIL's FY 2024-25 disclosure is largely accurate and structurally compliant. Principal concerns are: (1) systematic standalone performance minimization; (2) O2C narrative inversion; (3) unnarrated ROCE decline; (4) absent market capitalization commentary; (5) New Energy commitment tracking gap.</w:t>
            </w:r>
          </w:p>
        </w:tc>
      </w:tr>
    </w:tbl>
    <w:p w14:paraId="2C3462EE">
      <w:pPr>
        <w:spacing w:before="160" w:after="160"/>
        <w:jc w:val="both"/>
      </w:pPr>
    </w:p>
    <w:p w14:paraId="55403BA8">
      <w:pPr>
        <w:pStyle w:val="2"/>
        <w:pBdr>
          <w:bottom w:val="single" w:color="2E5FA3" w:sz="6" w:space="4"/>
        </w:pBdr>
        <w:spacing w:before="360" w:after="200"/>
        <w:jc w:val="both"/>
        <w:rPr>
          <w:rFonts w:ascii="Arial" w:hAnsi="Arial" w:eastAsia="Arial" w:cs="Arial"/>
          <w:b/>
          <w:bCs/>
          <w:color w:val="1B3A6B"/>
          <w:sz w:val="32"/>
          <w:szCs w:val="32"/>
        </w:rPr>
      </w:pPr>
    </w:p>
    <w:p w14:paraId="4582311E">
      <w:pPr>
        <w:pStyle w:val="2"/>
        <w:pBdr>
          <w:bottom w:val="single" w:color="2E5FA3" w:sz="6" w:space="4"/>
        </w:pBdr>
        <w:spacing w:before="360" w:after="200"/>
        <w:jc w:val="both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Overall Findings Scorecard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1800"/>
        <w:gridCol w:w="3720"/>
      </w:tblGrid>
      <w:tr w14:paraId="1FE1F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E7817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18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AE8E3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372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918811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</w:tr>
      <w:tr w14:paraId="61D23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ECD1F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Narrative-Number Consistency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9F5EB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7 / 10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512DD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Good overall; O2C and standalone gaps notable</w:t>
            </w:r>
          </w:p>
        </w:tc>
      </w:tr>
      <w:tr w14:paraId="1EED3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D736A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Disclosure Completeness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64921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6.5 / 10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E19E6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New Energy progress, Market Cap, ROCE trend missing</w:t>
            </w:r>
          </w:p>
        </w:tc>
      </w:tr>
      <w:tr w14:paraId="53915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1729D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Boilerplate Density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36720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Moderate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09096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Forward-looking disclaimer, SCOT threats sections</w:t>
            </w:r>
          </w:p>
        </w:tc>
      </w:tr>
      <w:tr w14:paraId="73A27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45BEB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Self-Serving Attribution Bias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60333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Present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85D98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Classic systematic pattern; expected at this level</w:t>
            </w:r>
          </w:p>
        </w:tc>
      </w:tr>
      <w:tr w14:paraId="56AAC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1ACFB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Readability Quality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6EEA8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8 / 10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C5C81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CMD Statement excellent; MD&amp;A ratio sections dense</w:t>
            </w:r>
          </w:p>
        </w:tc>
      </w:tr>
      <w:tr w14:paraId="7FA90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7936E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Complexity as Disclosure Tool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86E35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Moderate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E729B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EPS restatement footnote, approximate debt figures</w:t>
            </w:r>
          </w:p>
        </w:tc>
      </w:tr>
      <w:tr w14:paraId="549CB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2D481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Earnings Management Signals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360FB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Low–Mod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9BFB2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No acute concern; standard narrative management</w:t>
            </w:r>
          </w:p>
        </w:tc>
      </w:tr>
      <w:tr w14:paraId="5DBBD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35EF7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Commitment Tracking Quality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CCC7A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5 / 10</w:t>
            </w:r>
          </w:p>
        </w:tc>
        <w:tc>
          <w:tcPr>
            <w:tcW w:w="37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67E5E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New Energy pledge tracking absent from narrative</w:t>
            </w:r>
          </w:p>
        </w:tc>
      </w:tr>
    </w:tbl>
    <w:p w14:paraId="2A00D318">
      <w:pPr>
        <w:spacing w:before="160" w:after="160"/>
        <w:jc w:val="both"/>
      </w:pPr>
    </w:p>
    <w:p w14:paraId="70E1A7B3">
      <w:pPr>
        <w:jc w:val="both"/>
      </w:pPr>
      <w:r>
        <w:br w:type="page"/>
      </w:r>
    </w:p>
    <w:p w14:paraId="4C9FF43F">
      <w:pPr>
        <w:pStyle w:val="2"/>
        <w:pBdr>
          <w:bottom w:val="single" w:color="2E5FA3" w:sz="6" w:space="4"/>
        </w:pBdr>
        <w:spacing w:before="360" w:after="200"/>
        <w:jc w:val="both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Module 1: Computational Accounting Text Analysis</w:t>
      </w:r>
    </w:p>
    <w:p w14:paraId="7B3DB470">
      <w:pPr>
        <w:pStyle w:val="3"/>
        <w:spacing w:before="280" w:after="120"/>
        <w:jc w:val="both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>1.1  Financial Assertion Extraction &amp; Cross-Verification</w:t>
      </w:r>
    </w:p>
    <w:p w14:paraId="5081701A"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sz w:val="20"/>
          <w:szCs w:val="20"/>
        </w:rPr>
        <w:t>The following key financial assertions were extracted from narrative sections and cross-referenced against disclosed figures:</w:t>
      </w:r>
    </w:p>
    <w:p w14:paraId="1529BDD8">
      <w:pPr>
        <w:spacing w:before="80" w:after="80"/>
        <w:jc w:val="both"/>
      </w:pP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600"/>
        <w:gridCol w:w="2400"/>
        <w:gridCol w:w="2520"/>
      </w:tblGrid>
      <w:tr w14:paraId="35342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F488C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Narrative Assertion</w:t>
            </w:r>
          </w:p>
        </w:tc>
        <w:tc>
          <w:tcPr>
            <w:tcW w:w="16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9AD56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24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1711F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Disclosed Data</w:t>
            </w:r>
          </w:p>
        </w:tc>
        <w:tc>
          <w:tcPr>
            <w:tcW w:w="252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791F8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14:paraId="1487E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576AC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"Solid and balanced growth"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54FCB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CMD Statement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5A634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Revenue +7.1%, EBITDA +2.9%, PAT +2.9% (consolidated)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05B13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 xml:space="preserve"> ✅ Factually true — but contested at standalone (PAT -16.1%)</w:t>
            </w:r>
          </w:p>
        </w:tc>
      </w:tr>
      <w:tr w14:paraId="1D4D0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637E6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"Consumer businesses &gt;50% of consolidated EBITDA"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E528C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MD&amp;A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9C9CF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Digital + Retail + M&amp;E = ₹91,928 Cr / ₹1,83,422 Cr = 50.1%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559A1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✅ Barely accurate — threshold claim precisely met</w:t>
            </w:r>
          </w:p>
        </w:tc>
      </w:tr>
      <w:tr w14:paraId="35891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7C037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"O2C demonstrated resilience"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6A943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MD&amp;A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3997F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O2C EBITDA declined 11.9% Y-o-Y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DED7B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✅ Narrative-Number Divergence — 'resilience' softens major decline</w:t>
            </w:r>
          </w:p>
        </w:tc>
      </w:tr>
      <w:tr w14:paraId="6B7F0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77C66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"Jio: world's largest data network, 488M users"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7697D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CMD Statement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1C738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488.2 million subscribers confirmed in MD&amp;A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B07BB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✅ Consistent</w:t>
            </w:r>
          </w:p>
        </w:tc>
      </w:tr>
      <w:tr w14:paraId="35332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859767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"Capex adequately covered by cash profits"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FDF48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MD&amp;A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C8E2B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Capex ₹1,31,107 Cr vs Cash Profit ₹1,46,917 Cr (89% ratio)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6D5DE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✅ Consistent</w:t>
            </w:r>
          </w:p>
        </w:tc>
      </w:tr>
      <w:tr w14:paraId="6E1B8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6FB1E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"Consolidated cash profit increased"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B0019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MD&amp;A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D7C1E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₹1,46,917 Cr vs ₹1,41,969 Cr FY24 (+3.5%)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A0159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✅ Consistent</w:t>
            </w:r>
          </w:p>
        </w:tc>
      </w:tr>
    </w:tbl>
    <w:p w14:paraId="42E42FBA">
      <w:pPr>
        <w:spacing w:before="80" w:after="80"/>
        <w:jc w:val="both"/>
      </w:pPr>
    </w:p>
    <w:p w14:paraId="41D22E96"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sz w:val="20"/>
          <w:szCs w:val="20"/>
        </w:rPr>
        <w:t>Finding: 5 of 7 key assertions are factually consistent. Two exhibit language-reality gaps — most critically the O2C framing and the CMD's 'solid' characterization of a year where standalone PAT fell 16.1%.</w:t>
      </w:r>
    </w:p>
    <w:p w14:paraId="70CDE294">
      <w:pPr>
        <w:spacing w:before="160" w:after="160"/>
        <w:jc w:val="both"/>
      </w:pPr>
    </w:p>
    <w:p w14:paraId="2D4F8624">
      <w:pPr>
        <w:pStyle w:val="3"/>
        <w:spacing w:before="280" w:after="120"/>
        <w:jc w:val="both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>1.2  Numerical-Narrative Inconsistency Detection</w:t>
      </w:r>
    </w:p>
    <w:p w14:paraId="705417BA">
      <w:pPr>
        <w:pStyle w:val="4"/>
        <w:spacing w:before="200" w:after="80"/>
        <w:jc w:val="both"/>
      </w:pPr>
      <w:r>
        <w:rPr>
          <w:rFonts w:ascii="Arial" w:hAnsi="Arial" w:eastAsia="Arial" w:cs="Arial"/>
          <w:b/>
          <w:bCs/>
          <w:color w:val="00838F"/>
          <w:sz w:val="22"/>
          <w:szCs w:val="22"/>
        </w:rPr>
        <w:t>Red Flag 1 — Standalone vs Consolidated Narrative Split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"/>
        <w:gridCol w:w="8945"/>
      </w:tblGrid>
      <w:tr w14:paraId="0C065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EE1A9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🚩</w:t>
            </w:r>
          </w:p>
        </w:tc>
        <w:tc>
          <w:tcPr>
            <w:tcW w:w="912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C525F">
            <w:pPr>
              <w:jc w:val="both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The CMD Statement and MD&amp;A operate almost entirely in consolidated terms. Standalone performance — Revenue -3.1%, EBITDA -14.2%, PAT -16.1% — is disclosed in a single buried paragraph after six paragraphs of consolidated positivity. The CMD Statement contains zero mention of standalone decline. This is narrative displacement: the reporting frame is chosen precisely because it yields more favourable numbers.</w:t>
            </w:r>
          </w:p>
        </w:tc>
      </w:tr>
    </w:tbl>
    <w:p w14:paraId="58235ACF">
      <w:pPr>
        <w:spacing w:before="80" w:after="80"/>
        <w:jc w:val="both"/>
      </w:pPr>
    </w:p>
    <w:p w14:paraId="2642B91C">
      <w:pPr>
        <w:pStyle w:val="4"/>
        <w:spacing w:before="200" w:after="80"/>
        <w:jc w:val="both"/>
      </w:pPr>
      <w:r>
        <w:rPr>
          <w:rFonts w:ascii="Arial" w:hAnsi="Arial" w:eastAsia="Arial" w:cs="Arial"/>
          <w:b/>
          <w:bCs/>
          <w:color w:val="00838F"/>
          <w:sz w:val="22"/>
          <w:szCs w:val="22"/>
        </w:rPr>
        <w:t>Red Flag 2 — EBITDA as Primary Headline Metric</w:t>
      </w:r>
    </w:p>
    <w:p w14:paraId="69248F65"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sz w:val="20"/>
          <w:szCs w:val="20"/>
        </w:rPr>
        <w:t>RIL consistently leads with EBITDA (+2.9%) and Revenue (+7.1%) while Net Profit Margin compression (7.6% vs 7.9% FY24) and RONW decline (14.6% vs 16.3%) appear only in the 10-year financial highlight table — not in any narrative section. This is a standard metric selection bias technique: lead with growth numerators, minimize profitability ratio deterioration.</w:t>
      </w:r>
    </w:p>
    <w:p w14:paraId="041BD522">
      <w:pPr>
        <w:spacing w:before="80" w:after="80"/>
        <w:jc w:val="both"/>
      </w:pPr>
    </w:p>
    <w:p w14:paraId="22F38E1A">
      <w:pPr>
        <w:pStyle w:val="4"/>
        <w:spacing w:before="200" w:after="80"/>
        <w:jc w:val="both"/>
      </w:pPr>
      <w:r>
        <w:rPr>
          <w:rFonts w:ascii="Arial" w:hAnsi="Arial" w:eastAsia="Arial" w:cs="Arial"/>
          <w:b/>
          <w:bCs/>
          <w:color w:val="00838F"/>
          <w:sz w:val="22"/>
          <w:szCs w:val="22"/>
        </w:rPr>
        <w:t>Red Flag 3 — O2C Framing Inversion</w:t>
      </w:r>
    </w:p>
    <w:p w14:paraId="2CFD88E6"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sz w:val="20"/>
          <w:szCs w:val="20"/>
        </w:rPr>
        <w:t>The O2C segment's 11.9% EBITDA decline is described as demonstrating 'resilience through disciplined cost management and strong domestic placement.' This is a textbook attribution reframing: failure attributed to uncontrollable externals (fuel cracks, Chinese supply additions), while internally controllable strengths are cited as explanation for survival rather than decline.</w:t>
      </w:r>
    </w:p>
    <w:p w14:paraId="6B3AA82B">
      <w:pPr>
        <w:spacing w:before="160" w:after="160"/>
        <w:jc w:val="both"/>
      </w:pPr>
    </w:p>
    <w:p w14:paraId="4AA48E78">
      <w:pPr>
        <w:pStyle w:val="3"/>
        <w:spacing w:before="280" w:after="120"/>
        <w:jc w:val="both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>1.3  Accounting Policy Language Observations</w:t>
      </w:r>
    </w:p>
    <w:p w14:paraId="30ED0352"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sz w:val="20"/>
          <w:szCs w:val="20"/>
        </w:rPr>
        <w:t>The EPS restatement due to the 1:1 Bonus Share issue in FY 2024-25 is correctly flagged via footnote. EPS figures in the 10-year table have been retroactively restated — compliant with Ind AS 33 — but this compresses headline EPS from ₹102.9 to ₹51.5 (a halving) that is explained only in a footnote rather than prominently in narrative prose. This creates a prima facie alarming number requiring footnote literacy to interpret correctly.</w:t>
      </w:r>
    </w:p>
    <w:p w14:paraId="33EDD5E7">
      <w:pPr>
        <w:spacing w:before="160" w:after="160"/>
        <w:jc w:val="both"/>
      </w:pPr>
    </w:p>
    <w:p w14:paraId="2184DB60">
      <w:pPr>
        <w:jc w:val="both"/>
      </w:pPr>
      <w:r>
        <w:br w:type="page"/>
      </w:r>
    </w:p>
    <w:p w14:paraId="3FE96910">
      <w:pPr>
        <w:pStyle w:val="2"/>
        <w:pBdr>
          <w:bottom w:val="single" w:color="2E5FA3" w:sz="6" w:space="4"/>
        </w:pBdr>
        <w:spacing w:before="360" w:after="200"/>
        <w:jc w:val="both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Module 2: Disclosure Quality Research</w:t>
      </w:r>
    </w:p>
    <w:p w14:paraId="18120FF0">
      <w:pPr>
        <w:pStyle w:val="3"/>
        <w:spacing w:before="280" w:after="120"/>
        <w:jc w:val="both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>2.1  Readability Analysis (Estimated Fog Index)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2160"/>
        <w:gridCol w:w="3960"/>
      </w:tblGrid>
      <w:tr w14:paraId="13DC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5E0F6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216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D148C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Fog Index</w:t>
            </w:r>
          </w:p>
        </w:tc>
        <w:tc>
          <w:tcPr>
            <w:tcW w:w="396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444D1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Readability Level</w:t>
            </w:r>
          </w:p>
        </w:tc>
      </w:tr>
      <w:tr w14:paraId="49723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38973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CMD Statement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95498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27AE60"/>
                <w:sz w:val="18"/>
                <w:szCs w:val="18"/>
              </w:rPr>
              <w:t>12–13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D2344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Suitable for graduates — accessible and deliberate</w:t>
            </w:r>
          </w:p>
        </w:tc>
      </w:tr>
      <w:tr w14:paraId="6370E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DFB38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MD&amp;A — Operating Environment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FAD52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E67E22"/>
                <w:sz w:val="18"/>
                <w:szCs w:val="18"/>
              </w:rPr>
              <w:t>14–15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1DF7C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Complex — targets technically literate readers</w:t>
            </w:r>
          </w:p>
        </w:tc>
      </w:tr>
      <w:tr w14:paraId="3089C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2EAF5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MD&amp;A — Segment Performance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83EE3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27AE60"/>
                <w:sz w:val="18"/>
                <w:szCs w:val="18"/>
              </w:rPr>
              <w:t>11–12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DC87B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Moderate — well-structured and accessible</w:t>
            </w:r>
          </w:p>
        </w:tc>
      </w:tr>
      <w:tr w14:paraId="65431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81ECD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MD&amp;A — Financial Ratios Discussion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0D61A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8"/>
                <w:szCs w:val="18"/>
              </w:rPr>
              <w:t>15–17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5D11A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High complexity — dense technical prose</w:t>
            </w:r>
          </w:p>
        </w:tc>
      </w:tr>
      <w:tr w14:paraId="6A6B2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C1C3E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Risk and Governance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61CEF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18"/>
                <w:szCs w:val="18"/>
              </w:rPr>
              <w:t>16–18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DC972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Very high — heavy regulatory boilerplate density</w:t>
            </w:r>
          </w:p>
        </w:tc>
      </w:tr>
    </w:tbl>
    <w:p w14:paraId="5975A039">
      <w:pPr>
        <w:spacing w:before="160" w:after="160"/>
        <w:jc w:val="both"/>
      </w:pPr>
    </w:p>
    <w:p w14:paraId="65F47525">
      <w:pPr>
        <w:pStyle w:val="3"/>
        <w:spacing w:before="280" w:after="120"/>
        <w:jc w:val="both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>2.2  Boilerplate Detection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000"/>
        <w:gridCol w:w="4520"/>
      </w:tblGrid>
      <w:tr w14:paraId="55FBD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74770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Section Zone</w:t>
            </w:r>
          </w:p>
        </w:tc>
        <w:tc>
          <w:tcPr>
            <w:tcW w:w="20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1DFDD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Boilerplate Score</w:t>
            </w:r>
          </w:p>
        </w:tc>
        <w:tc>
          <w:tcPr>
            <w:tcW w:w="452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478780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Finding</w:t>
            </w:r>
          </w:p>
        </w:tc>
      </w:tr>
      <w:tr w14:paraId="11AA6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505D3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Forward-Looking Statement Disclaimer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05410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95 / 100</w:t>
            </w:r>
          </w:p>
        </w:tc>
        <w:tc>
          <w:tcPr>
            <w:tcW w:w="4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32B74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Near-verbatim standard Indian corporate boilerplate — zero entity-specific information</w:t>
            </w:r>
          </w:p>
        </w:tc>
      </w:tr>
      <w:tr w14:paraId="05AA0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7B612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Strategic Objective Boxes (per segment)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FFEC6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70 / 100</w:t>
            </w:r>
          </w:p>
        </w:tc>
        <w:tc>
          <w:tcPr>
            <w:tcW w:w="4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A77ED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Aspirational mission language applicable to virtually any large Indian conglomerate</w:t>
            </w:r>
          </w:p>
        </w:tc>
      </w:tr>
      <w:tr w14:paraId="7432F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7BED6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SCOT Analysis — Threats Categories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1D14E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55 / 100</w:t>
            </w:r>
          </w:p>
        </w:tc>
        <w:tc>
          <w:tcPr>
            <w:tcW w:w="4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85C37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Generic macro threats; Strengths sections are entity-specific and informative</w:t>
            </w:r>
          </w:p>
        </w:tc>
      </w:tr>
      <w:tr w14:paraId="200AA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EFB14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Credit Rating Disclosure Table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085A9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10 / 100</w:t>
            </w:r>
          </w:p>
        </w:tc>
        <w:tc>
          <w:tcPr>
            <w:tcW w:w="4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976E4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Entity-specific, current, and carries genuine information content — well done</w:t>
            </w:r>
          </w:p>
        </w:tc>
      </w:tr>
    </w:tbl>
    <w:p w14:paraId="45217645">
      <w:pPr>
        <w:spacing w:before="160" w:after="160"/>
        <w:jc w:val="both"/>
      </w:pPr>
    </w:p>
    <w:p w14:paraId="1B9195C6">
      <w:pPr>
        <w:pStyle w:val="3"/>
        <w:spacing w:before="280" w:after="120"/>
        <w:jc w:val="both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>2.3  Information Asymmetry Signals</w:t>
      </w:r>
    </w:p>
    <w:p w14:paraId="65F68081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sz w:val="20"/>
          <w:szCs w:val="20"/>
        </w:rPr>
        <w:t>Complexity in Financing Language: Multi-currency, multi-instrument facility disclosures use approximate figures ($3 billion, $1 billion) making total debt raised during the year not precisely quantifiable from narrative alone.</w:t>
      </w:r>
    </w:p>
    <w:p w14:paraId="1CB005C5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sz w:val="20"/>
          <w:szCs w:val="20"/>
        </w:rPr>
        <w:t xml:space="preserve">Net Debt Composition Gap: Net debt of ₹1,17,083 Cr is reported without </w:t>
      </w:r>
      <w:r>
        <w:rPr>
          <w:rFonts w:cs="Arial"/>
          <w:sz w:val="20"/>
          <w:szCs w:val="20"/>
          <w:lang w:val="en-IN"/>
        </w:rPr>
        <w:t>a breakdown</w:t>
      </w:r>
      <w:r>
        <w:rPr>
          <w:rFonts w:ascii="Arial" w:hAnsi="Arial" w:eastAsia="Arial" w:cs="Arial"/>
          <w:sz w:val="20"/>
          <w:szCs w:val="20"/>
        </w:rPr>
        <w:t xml:space="preserve"> of the ₹2,30,447 Cr offset (cash, equivalents, investments) — a figure consequential for leverage analysis.</w:t>
      </w:r>
    </w:p>
    <w:p w14:paraId="7F88BCAD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sz w:val="20"/>
          <w:szCs w:val="20"/>
        </w:rPr>
        <w:t xml:space="preserve">New Energy Capex Omission: 'Building manufacturing assets in New Energy' listed as </w:t>
      </w:r>
      <w:r>
        <w:rPr>
          <w:rFonts w:cs="Arial"/>
          <w:sz w:val="20"/>
          <w:szCs w:val="20"/>
          <w:lang w:val="en-IN"/>
        </w:rPr>
        <w:t>a capex</w:t>
      </w:r>
      <w:r>
        <w:rPr>
          <w:rFonts w:ascii="Arial" w:hAnsi="Arial" w:eastAsia="Arial" w:cs="Arial"/>
          <w:sz w:val="20"/>
          <w:szCs w:val="20"/>
        </w:rPr>
        <w:t xml:space="preserve"> direction without any quantification against the previously announced ₹75,000 Cr multi-year commitment.</w:t>
      </w:r>
    </w:p>
    <w:p w14:paraId="3CE04D36">
      <w:pPr>
        <w:spacing w:before="160" w:after="160"/>
        <w:jc w:val="both"/>
      </w:pPr>
    </w:p>
    <w:p w14:paraId="137C3636">
      <w:pPr>
        <w:jc w:val="both"/>
      </w:pPr>
      <w:r>
        <w:br w:type="page"/>
      </w:r>
    </w:p>
    <w:p w14:paraId="2F9DB70D">
      <w:pPr>
        <w:pStyle w:val="2"/>
        <w:pBdr>
          <w:bottom w:val="single" w:color="2E5FA3" w:sz="6" w:space="4"/>
        </w:pBdr>
        <w:spacing w:before="360" w:after="200"/>
        <w:jc w:val="both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Module 3: AI-Augmented Audit Intelligence</w:t>
      </w:r>
    </w:p>
    <w:p w14:paraId="66AF7F08">
      <w:pPr>
        <w:pStyle w:val="3"/>
        <w:spacing w:before="280" w:after="120"/>
        <w:jc w:val="both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>3.1  Qualitative vs Quantitative Contradictions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"/>
        <w:gridCol w:w="8910"/>
      </w:tblGrid>
      <w:tr w14:paraId="357C8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41BE46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F-1</w:t>
            </w:r>
          </w:p>
        </w:tc>
        <w:tc>
          <w:tcPr>
            <w:tcW w:w="912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0E475">
            <w:pPr>
              <w:jc w:val="both"/>
            </w:pPr>
            <w:r>
              <w:rPr>
                <w:rFonts w:cs="Arial"/>
                <w:color w:val="000000"/>
                <w:sz w:val="18"/>
                <w:szCs w:val="18"/>
                <w:lang w:val="en-IN"/>
              </w:rPr>
              <w:t>The “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Resilient O2C' Paradox: Qualitative narrative </w:t>
            </w:r>
            <w:r>
              <w:rPr>
                <w:rFonts w:cs="Arial"/>
                <w:color w:val="000000"/>
                <w:sz w:val="18"/>
                <w:szCs w:val="18"/>
                <w:lang w:val="en-IN"/>
              </w:rPr>
              <w:t>claims “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resilience through disciplined cost </w:t>
            </w:r>
            <w:r>
              <w:rPr>
                <w:rFonts w:cs="Arial"/>
                <w:color w:val="000000"/>
                <w:sz w:val="18"/>
                <w:szCs w:val="18"/>
                <w:lang w:val="en-IN"/>
              </w:rPr>
              <w:t>management.”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 Quantitative reality: EBITDA -11.9% YoY; standalone operating margin fell from 9.8% to 7.2%; RONW fell from 10.3% to 8.2%. This is the sharpest qualitative-quantitative contradiction in the report. An auditor applying ISA 520 (Analytical Procedures) would flag this as requiring explanatory reconciliation.</w:t>
            </w:r>
          </w:p>
        </w:tc>
      </w:tr>
    </w:tbl>
    <w:p w14:paraId="17026089">
      <w:pPr>
        <w:spacing w:before="80" w:after="80"/>
        <w:jc w:val="both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"/>
        <w:gridCol w:w="8910"/>
      </w:tblGrid>
      <w:tr w14:paraId="3469A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single" w:color="E67E22" w:sz="0" w:space="0"/>
              <w:left w:val="single" w:color="E67E22" w:sz="0" w:space="0"/>
              <w:bottom w:val="single" w:color="E67E22" w:sz="0" w:space="0"/>
              <w:right w:val="single" w:color="E67E22" w:sz="0" w:space="0"/>
            </w:tcBorders>
            <w:shd w:val="clear" w:color="auto" w:fill="E67E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58691D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F-2</w:t>
            </w:r>
          </w:p>
        </w:tc>
        <w:tc>
          <w:tcPr>
            <w:tcW w:w="9120" w:type="dxa"/>
            <w:tcBorders>
              <w:top w:val="single" w:color="E67E22" w:sz="0" w:space="0"/>
              <w:left w:val="single" w:color="E67E22" w:sz="0" w:space="0"/>
              <w:bottom w:val="single" w:color="E67E22" w:sz="0" w:space="0"/>
              <w:right w:val="single" w:color="E67E22" w:sz="0" w:space="0"/>
            </w:tcBorders>
            <w:shd w:val="clear" w:color="auto" w:fill="FEF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52F8E">
            <w:pPr>
              <w:jc w:val="both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'Balanced and Consistent </w:t>
            </w:r>
            <w:r>
              <w:rPr>
                <w:rFonts w:cs="Arial"/>
                <w:color w:val="000000"/>
                <w:sz w:val="18"/>
                <w:szCs w:val="18"/>
                <w:lang w:val="en-IN"/>
              </w:rPr>
              <w:t>Growth”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 vs Segment Divergence: MD&amp;A </w:t>
            </w:r>
            <w:r>
              <w:rPr>
                <w:rFonts w:cs="Arial"/>
                <w:color w:val="000000"/>
                <w:sz w:val="18"/>
                <w:szCs w:val="18"/>
                <w:lang w:val="en-IN"/>
              </w:rPr>
              <w:t>describes “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balanced and consistent </w:t>
            </w:r>
            <w:r>
              <w:rPr>
                <w:rFonts w:cs="Arial"/>
                <w:color w:val="000000"/>
                <w:sz w:val="18"/>
                <w:szCs w:val="18"/>
                <w:lang w:val="en-IN"/>
              </w:rPr>
              <w:t>growth.”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 Yet segment EBITDA growth rates range from +139.6% (Media &amp; Entertainment) to -11.9% (O2C). </w:t>
            </w:r>
            <w:r>
              <w:rPr>
                <w:rFonts w:cs="Arial"/>
                <w:color w:val="000000"/>
                <w:sz w:val="18"/>
                <w:szCs w:val="18"/>
                <w:lang w:val="en-IN"/>
              </w:rPr>
              <w:t>The “balanced”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 narrative is an averaging </w:t>
            </w:r>
            <w:r>
              <w:rPr>
                <w:rFonts w:cs="Arial"/>
                <w:color w:val="000000"/>
                <w:sz w:val="18"/>
                <w:szCs w:val="18"/>
                <w:lang w:val="en-IN"/>
              </w:rPr>
              <w:t>sleight-of-hand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— consumer surge offsetting industrial decline.</w:t>
            </w:r>
          </w:p>
        </w:tc>
      </w:tr>
    </w:tbl>
    <w:p w14:paraId="60BBE7B0">
      <w:pPr>
        <w:spacing w:before="80" w:after="80"/>
        <w:jc w:val="both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"/>
        <w:gridCol w:w="8910"/>
      </w:tblGrid>
      <w:tr w14:paraId="4DC21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508FE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F-3</w:t>
            </w:r>
          </w:p>
        </w:tc>
        <w:tc>
          <w:tcPr>
            <w:tcW w:w="9120" w:type="dxa"/>
            <w:tcBorders>
              <w:top w:val="single" w:color="C0392B" w:sz="0" w:space="0"/>
              <w:left w:val="single" w:color="C0392B" w:sz="0" w:space="0"/>
              <w:bottom w:val="single" w:color="C0392B" w:sz="0" w:space="0"/>
              <w:right w:val="single" w:color="C0392B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B9729">
            <w:pPr>
              <w:jc w:val="both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Market Capitalization </w:t>
            </w:r>
            <w:r>
              <w:rPr>
                <w:rFonts w:cs="Arial"/>
                <w:color w:val="000000"/>
                <w:sz w:val="18"/>
                <w:szCs w:val="18"/>
                <w:lang w:val="en-IN"/>
              </w:rPr>
              <w:t>Erosion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— Unnarrated: Market Cap fell from ₹20,14,011 Cr (FY24) to ₹17,25,378 Cr (FY25) — a ₹2.88 lakh crore decline. This is absent from the CMD Statement and mentioned nowhere in the narrative MD&amp;A. The 10-year table discloses it numerically, but no prose section acknowledges or explains this significant shareholder value erosion.</w:t>
            </w:r>
          </w:p>
        </w:tc>
      </w:tr>
    </w:tbl>
    <w:p w14:paraId="19CDC53C">
      <w:pPr>
        <w:spacing w:before="160" w:after="160"/>
        <w:jc w:val="both"/>
      </w:pPr>
    </w:p>
    <w:p w14:paraId="4188EC64">
      <w:pPr>
        <w:pStyle w:val="3"/>
        <w:spacing w:before="280" w:after="120"/>
        <w:jc w:val="both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>3.2  Tone Management Techniques Identified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320"/>
      </w:tblGrid>
      <w:tr w14:paraId="65B30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0D9524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  <w:tc>
          <w:tcPr>
            <w:tcW w:w="732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7C855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Evidence in Report</w:t>
            </w:r>
          </w:p>
        </w:tc>
      </w:tr>
      <w:tr w14:paraId="7612A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41B75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"Despite / Even </w:t>
            </w:r>
            <w:r>
              <w:rPr>
                <w:rFonts w:cs="Arial"/>
                <w:b/>
                <w:bCs/>
                <w:color w:val="000000"/>
                <w:sz w:val="18"/>
                <w:szCs w:val="18"/>
                <w:lang w:val="en-IN"/>
              </w:rPr>
              <w:t>amidst”</w:t>
            </w:r>
            <w:bookmarkStart w:id="0" w:name="_GoBack"/>
            <w:bookmarkEnd w:id="0"/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 Construction</w:t>
            </w:r>
          </w:p>
        </w:tc>
        <w:tc>
          <w:tcPr>
            <w:tcW w:w="7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7B4FA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 xml:space="preserve">Used 4+ </w:t>
            </w:r>
            <w:r>
              <w:rPr>
                <w:rFonts w:cs="Arial"/>
                <w:b w:val="0"/>
                <w:bCs w:val="0"/>
                <w:color w:val="000000"/>
                <w:sz w:val="18"/>
                <w:szCs w:val="18"/>
                <w:lang w:val="en-IN"/>
              </w:rPr>
              <w:t>times: “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 xml:space="preserve">Even amidst external </w:t>
            </w:r>
            <w:r>
              <w:rPr>
                <w:rFonts w:cs="Arial"/>
                <w:b w:val="0"/>
                <w:bCs w:val="0"/>
                <w:color w:val="000000"/>
                <w:sz w:val="18"/>
                <w:szCs w:val="18"/>
                <w:lang w:val="en-IN"/>
              </w:rPr>
              <w:t>volatility,” “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 xml:space="preserve">despite global </w:t>
            </w:r>
            <w:r>
              <w:rPr>
                <w:rFonts w:cs="Arial"/>
                <w:b w:val="0"/>
                <w:bCs w:val="0"/>
                <w:color w:val="000000"/>
                <w:sz w:val="18"/>
                <w:szCs w:val="18"/>
                <w:lang w:val="en-IN"/>
              </w:rPr>
              <w:t>uncertainties,” “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 xml:space="preserve">despite a volatile environment." Pre-blames externals before stating </w:t>
            </w:r>
            <w:r>
              <w:rPr>
                <w:rFonts w:cs="Arial"/>
                <w:b w:val="0"/>
                <w:bCs w:val="0"/>
                <w:color w:val="000000"/>
                <w:sz w:val="18"/>
                <w:szCs w:val="18"/>
                <w:lang w:val="en-IN"/>
              </w:rPr>
              <w:t>outcomes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— manufactures narrative of overperformance against adversity.</w:t>
            </w:r>
          </w:p>
        </w:tc>
      </w:tr>
      <w:tr w14:paraId="31D63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248C3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Superlative Stacking</w:t>
            </w:r>
          </w:p>
        </w:tc>
        <w:tc>
          <w:tcPr>
            <w:tcW w:w="7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80EC6A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"world's most admired enterprises," "world's largest data network," "most awarded" (5G), "largest omni-channel retailer," "India's No. 1 business news." Six superlative claims in the first 20 pages without citation methodology.</w:t>
            </w:r>
          </w:p>
        </w:tc>
      </w:tr>
      <w:tr w14:paraId="2A0CA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781E5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"Record" Amplification</w:t>
            </w:r>
          </w:p>
        </w:tc>
        <w:tc>
          <w:tcPr>
            <w:tcW w:w="7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6FB47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"Record EBITDA" (Oil &amp; Gas), "record revenue and profit" (Digital), "record viewership" (JioHotstar/IPL). Word "record" used as rhetorical amplifier without explicit prior-period baseline in those passages.</w:t>
            </w:r>
          </w:p>
        </w:tc>
      </w:tr>
      <w:tr w14:paraId="26DC1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28749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>Vision-to-Execution Language</w:t>
            </w:r>
          </w:p>
        </w:tc>
        <w:tc>
          <w:tcPr>
            <w:tcW w:w="73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DC576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"Transitioned from vision to execution" (New Energy) signals progress without specifying what was operationalized, at what scale, or against what committed target. Progress claim without accountability anchor.</w:t>
            </w:r>
          </w:p>
        </w:tc>
      </w:tr>
    </w:tbl>
    <w:p w14:paraId="4D100398">
      <w:pPr>
        <w:spacing w:before="160" w:after="160"/>
        <w:jc w:val="both"/>
      </w:pPr>
    </w:p>
    <w:p w14:paraId="609A68BD">
      <w:pPr>
        <w:pStyle w:val="3"/>
        <w:spacing w:before="280" w:after="120"/>
        <w:jc w:val="both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>3.3  Self-Serving Attribution Pattern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5520"/>
      </w:tblGrid>
      <w:tr w14:paraId="15E73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AB1ED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Outcome</w:t>
            </w:r>
          </w:p>
        </w:tc>
        <w:tc>
          <w:tcPr>
            <w:tcW w:w="180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BFD38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52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0BE809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Attribution in Report</w:t>
            </w:r>
          </w:p>
        </w:tc>
      </w:tr>
      <w:tr w14:paraId="13B4D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79538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Digital Services EBITDA +14.7%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A41C1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SUCCESS</w:t>
            </w:r>
          </w:p>
        </w:tc>
        <w:tc>
          <w:tcPr>
            <w:tcW w:w="5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FC508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Internal: 'Jio's vision and ahead-of-curve investments'</w:t>
            </w:r>
          </w:p>
        </w:tc>
      </w:tr>
      <w:tr w14:paraId="3DB38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EDA07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Retail EBITDA +8.6%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0658F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SUCCESS</w:t>
            </w:r>
          </w:p>
        </w:tc>
        <w:tc>
          <w:tcPr>
            <w:tcW w:w="5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33CC0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Internal: 'productivity gains through network optimisation'</w:t>
            </w:r>
          </w:p>
        </w:tc>
      </w:tr>
      <w:tr w14:paraId="2B71D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344BE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O2C EBITDA -11.9%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282E9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FAILURE</w:t>
            </w:r>
          </w:p>
        </w:tc>
        <w:tc>
          <w:tcPr>
            <w:tcW w:w="5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0830A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External: 'weaker fuel cracks,' 'downstream chemicals margins under pressure from China'</w:t>
            </w:r>
          </w:p>
        </w:tc>
      </w:tr>
      <w:tr w14:paraId="0F27A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E0231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India GDP moderated to 6.5%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E6202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CONTEXT</w:t>
            </w:r>
          </w:p>
        </w:tc>
        <w:tc>
          <w:tcPr>
            <w:tcW w:w="5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F990A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External: 'global headwinds,' 'regulatory tightening'</w:t>
            </w:r>
          </w:p>
        </w:tc>
      </w:tr>
    </w:tbl>
    <w:p w14:paraId="4F8613BA">
      <w:pPr>
        <w:spacing w:before="80" w:after="80"/>
        <w:jc w:val="both"/>
      </w:pPr>
    </w:p>
    <w:p w14:paraId="5DC3EF94"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sz w:val="20"/>
          <w:szCs w:val="20"/>
        </w:rPr>
        <w:t>This self-serving attribution pattern is consistent and systematic — successes internally attributed, failures externally attributed. This aligns with well-established attribution theory in accounting research literature (Baginski, Hassell &amp; Hillison framework).</w:t>
      </w:r>
    </w:p>
    <w:p w14:paraId="0A638316">
      <w:pPr>
        <w:spacing w:before="160" w:after="160"/>
        <w:jc w:val="both"/>
      </w:pPr>
    </w:p>
    <w:p w14:paraId="72E51AC8">
      <w:pPr>
        <w:jc w:val="both"/>
      </w:pPr>
      <w:r>
        <w:br w:type="page"/>
      </w:r>
    </w:p>
    <w:p w14:paraId="6B0DBB7B">
      <w:pPr>
        <w:pStyle w:val="2"/>
        <w:pBdr>
          <w:bottom w:val="single" w:color="2E5FA3" w:sz="6" w:space="4"/>
        </w:pBdr>
        <w:spacing w:before="360" w:after="200"/>
        <w:jc w:val="both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Module 4: Accounting Narrative Research Applications</w:t>
      </w:r>
    </w:p>
    <w:p w14:paraId="073EE294">
      <w:pPr>
        <w:pStyle w:val="3"/>
        <w:spacing w:before="280" w:after="120"/>
        <w:jc w:val="both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>4.1  Earnings Management Linguistic Signals</w:t>
      </w:r>
    </w:p>
    <w:p w14:paraId="0F1A1FA7"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sz w:val="20"/>
          <w:szCs w:val="20"/>
        </w:rPr>
        <w:t>Hedging density in forward-looking sections is moderate-to-high ('expected to,' 'poised for,' 'remains confident,' 'well-positioned,' 'will continue to'). These are standard and compliant. No unusual clustering of hedges around specific line items that would signal managed earnings concern at a material level.</w:t>
      </w:r>
    </w:p>
    <w:p w14:paraId="041C5FE2">
      <w:pPr>
        <w:spacing w:before="80" w:after="80"/>
        <w:jc w:val="both"/>
      </w:pPr>
    </w:p>
    <w:p w14:paraId="2DFB50F8">
      <w:pPr>
        <w:pStyle w:val="3"/>
        <w:spacing w:before="280" w:after="120"/>
        <w:jc w:val="both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>4.2  10-Year Longitudinal Metric Trajectory</w:t>
      </w:r>
    </w:p>
    <w:p w14:paraId="7E341FD2"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sz w:val="20"/>
          <w:szCs w:val="20"/>
        </w:rPr>
        <w:t>From the 10-year financial highlights table, the following structural trends emerge that the narrative does not fully address:</w:t>
      </w:r>
    </w:p>
    <w:p w14:paraId="06631B91">
      <w:pPr>
        <w:spacing w:before="80" w:after="80"/>
        <w:jc w:val="both"/>
      </w:pP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0"/>
        <w:gridCol w:w="2160"/>
        <w:gridCol w:w="2160"/>
        <w:gridCol w:w="2520"/>
      </w:tblGrid>
      <w:tr w14:paraId="23675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65FF1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16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DEBE8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FY 2019-20</w:t>
            </w:r>
          </w:p>
        </w:tc>
        <w:tc>
          <w:tcPr>
            <w:tcW w:w="216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38161A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FY 2024-25</w:t>
            </w:r>
          </w:p>
        </w:tc>
        <w:tc>
          <w:tcPr>
            <w:tcW w:w="252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58F051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Trend &amp; Commentary</w:t>
            </w:r>
          </w:p>
        </w:tc>
      </w:tr>
      <w:tr w14:paraId="5E095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5EDFE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Net Profit Margin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DF428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6.0%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319B5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27AE60"/>
                <w:sz w:val="18"/>
                <w:szCs w:val="18"/>
              </w:rPr>
              <w:t>7.6%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F56C5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↑ Positive but fell from 7.9% in FY24</w:t>
            </w:r>
          </w:p>
        </w:tc>
      </w:tr>
      <w:tr w14:paraId="1B905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83D38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RONW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BF095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12.7%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3E5AE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27AE60"/>
                <w:sz w:val="18"/>
                <w:szCs w:val="18"/>
              </w:rPr>
              <w:t>14.6%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D0D7F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↑ Positive but fell from 16.3% in FY24</w:t>
            </w:r>
          </w:p>
        </w:tc>
      </w:tr>
      <w:tr w14:paraId="6E93F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B23B9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ROCE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E1A11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12.0%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1033F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C0392B"/>
                <w:sz w:val="18"/>
                <w:szCs w:val="18"/>
              </w:rPr>
              <w:t>11.3%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4E85A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↓ 3-year consecutive decline — UNNARRATED</w:t>
            </w:r>
          </w:p>
        </w:tc>
      </w:tr>
      <w:tr w14:paraId="5E283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790A2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Debt : Equity Ratio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411A7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0.75:1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2BCC8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27AE60"/>
                <w:sz w:val="18"/>
                <w:szCs w:val="18"/>
              </w:rPr>
              <w:t>0.41:1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73672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↑ Significantly improved over 5 years</w:t>
            </w:r>
          </w:p>
        </w:tc>
      </w:tr>
      <w:tr w14:paraId="42FC6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2C32C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EBDIT / Gross Turnover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F55AC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15.5%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6DB6D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27AE60"/>
                <w:sz w:val="18"/>
                <w:szCs w:val="18"/>
              </w:rPr>
              <w:t>17.1%</w:t>
            </w:r>
          </w:p>
        </w:tc>
        <w:tc>
          <w:tcPr>
            <w:tcW w:w="25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F99B6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↑ Positive trajectory</w:t>
            </w:r>
          </w:p>
        </w:tc>
      </w:tr>
    </w:tbl>
    <w:p w14:paraId="652E6DF2">
      <w:pPr>
        <w:spacing w:before="80" w:after="80"/>
        <w:jc w:val="both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5"/>
        <w:gridCol w:w="8945"/>
      </w:tblGrid>
      <w:tr w14:paraId="55966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single" w:color="E67E22" w:sz="0" w:space="0"/>
              <w:left w:val="single" w:color="E67E22" w:sz="0" w:space="0"/>
              <w:bottom w:val="single" w:color="E67E22" w:sz="0" w:space="0"/>
              <w:right w:val="single" w:color="E67E22" w:sz="0" w:space="0"/>
            </w:tcBorders>
            <w:shd w:val="clear" w:color="auto" w:fill="E67E2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EC6067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⚠️</w:t>
            </w:r>
          </w:p>
        </w:tc>
        <w:tc>
          <w:tcPr>
            <w:tcW w:w="9120" w:type="dxa"/>
            <w:tcBorders>
              <w:top w:val="single" w:color="E67E22" w:sz="0" w:space="0"/>
              <w:left w:val="single" w:color="E67E22" w:sz="0" w:space="0"/>
              <w:bottom w:val="single" w:color="E67E22" w:sz="0" w:space="0"/>
              <w:right w:val="single" w:color="E67E22" w:sz="0" w:space="0"/>
            </w:tcBorders>
            <w:shd w:val="clear" w:color="auto" w:fill="FEF9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63D51">
            <w:pPr>
              <w:jc w:val="both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UNNARRATED TREND: ROCE has declined three consecutive years (FY23: 13.3% → FY24: 12.6% → FY25: 11.3%). This signals each rupee of capital deployed is generating progressively less return — likely reflecting pre-revenue New Energy and 5G capex. No narrative section engages with this trend. This is the most significant unnarrated structural concern in the FY25 report.</w:t>
            </w:r>
          </w:p>
        </w:tc>
      </w:tr>
    </w:tbl>
    <w:p w14:paraId="1B2A2463">
      <w:pPr>
        <w:spacing w:before="160" w:after="160"/>
        <w:jc w:val="both"/>
      </w:pPr>
    </w:p>
    <w:p w14:paraId="55C644FC">
      <w:pPr>
        <w:pStyle w:val="3"/>
        <w:spacing w:before="280" w:after="120"/>
        <w:jc w:val="both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>4.3  Market Capitalization — The Silent ₹2.88 Lakh Crore Story</w:t>
      </w:r>
    </w:p>
    <w:p w14:paraId="01AC6E78"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sz w:val="20"/>
          <w:szCs w:val="20"/>
        </w:rPr>
        <w:t>RIL's market capitalization declined from ₹20,14,011 Cr (FY24) to ₹17,25,378 Cr (FY25) — a ₹2.88 lakh crore erosion in shareholder value during the year. The report responds with:</w:t>
      </w:r>
    </w:p>
    <w:p w14:paraId="6E8395AA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sz w:val="20"/>
          <w:szCs w:val="20"/>
        </w:rPr>
        <w:t>No CMD Statement acknowledgment of the market cap decline</w:t>
      </w:r>
    </w:p>
    <w:p w14:paraId="030E9FCA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sz w:val="20"/>
          <w:szCs w:val="20"/>
        </w:rPr>
        <w:t>No narrative explanation offered anywhere in the MD&amp;A</w:t>
      </w:r>
    </w:p>
    <w:p w14:paraId="4C37A8D3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sz w:val="20"/>
          <w:szCs w:val="20"/>
        </w:rPr>
        <w:t>Dividend increase (₹6,766 Cr vs ₹6,089 Cr, +11.1%) functioning as a compensatory disclosure signal — a tangible shareholder return implicitly deployed to offset the absence of narrative engagement with market value erosion</w:t>
      </w:r>
    </w:p>
    <w:p w14:paraId="6671AFAC">
      <w:pPr>
        <w:spacing w:before="160" w:after="160"/>
        <w:jc w:val="both"/>
      </w:pPr>
    </w:p>
    <w:p w14:paraId="6EEF86ED">
      <w:pPr>
        <w:jc w:val="both"/>
      </w:pPr>
      <w:r>
        <w:br w:type="page"/>
      </w:r>
    </w:p>
    <w:p w14:paraId="53D29740">
      <w:pPr>
        <w:pStyle w:val="2"/>
        <w:pBdr>
          <w:bottom w:val="single" w:color="2E5FA3" w:sz="6" w:space="4"/>
        </w:pBdr>
        <w:spacing w:before="360" w:after="200"/>
        <w:jc w:val="both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Module 5: Audit Intelligence — Impairment &amp; Commitment Narrative</w:t>
      </w:r>
    </w:p>
    <w:p w14:paraId="4A345FB6">
      <w:pPr>
        <w:pStyle w:val="3"/>
        <w:spacing w:before="280" w:after="120"/>
        <w:jc w:val="both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>5.1  New Energy — The Commitment Gap</w:t>
      </w:r>
    </w:p>
    <w:p w14:paraId="5D63B516"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sz w:val="20"/>
          <w:szCs w:val="20"/>
        </w:rPr>
        <w:t>RIL announced a ₹75,000 Cr New Energy investment commitment in FY 2021-22. FY 2024-25 is the fourth year of that commitment. The report states 'Transitioned from vision to execution — operationalising giga-scale solar and battery energy projects' but provides:</w:t>
      </w:r>
    </w:p>
    <w:p w14:paraId="277214A9">
      <w:pPr>
        <w:spacing w:before="80" w:after="80"/>
        <w:jc w:val="both"/>
      </w:pP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60"/>
        <w:gridCol w:w="4860"/>
      </w:tblGrid>
      <w:tr w14:paraId="08563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EF04B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What Was Committed / Expected</w:t>
            </w:r>
          </w:p>
        </w:tc>
        <w:tc>
          <w:tcPr>
            <w:tcW w:w="4860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0C197E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What FY25 Report Discloses</w:t>
            </w:r>
          </w:p>
        </w:tc>
      </w:tr>
      <w:tr w14:paraId="21528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AF928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₹75,000 Cr investment commitment (announced FY22)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6E4C8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No cumulative capex tracking against this figure</w:t>
            </w:r>
          </w:p>
        </w:tc>
      </w:tr>
      <w:tr w14:paraId="76875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6F35D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Timeline milestones for phased deployment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B9CEB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No interim milestones disclosed in narrative</w:t>
            </w:r>
          </w:p>
        </w:tc>
      </w:tr>
      <w:tr w14:paraId="15522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70D70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Capacity targets (GW solar, GWh battery)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58E50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No capacity commissioned vs planned metrics disclosed</w:t>
            </w:r>
          </w:p>
        </w:tc>
      </w:tr>
      <w:tr w14:paraId="7E2F0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95D46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Standalone New Energy P&amp;L / revenue contribution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EC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8E6DE">
            <w:pPr>
              <w:jc w:val="both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Not isolated — subsumed into broader segment reporting</w:t>
            </w:r>
          </w:p>
        </w:tc>
      </w:tr>
    </w:tbl>
    <w:p w14:paraId="3881E025">
      <w:pPr>
        <w:spacing w:before="80" w:after="80"/>
        <w:jc w:val="both"/>
      </w:pPr>
    </w:p>
    <w:p w14:paraId="47AA36B6"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sz w:val="20"/>
          <w:szCs w:val="20"/>
        </w:rPr>
        <w:t>This constitutes a commitment discontinuity — a pledge made publicly in a prior period whose progress tracking has been progressively de-emphasized in subsequent narrative disclosures. This pattern warrants investor scrutiny.</w:t>
      </w:r>
    </w:p>
    <w:p w14:paraId="052B25FC">
      <w:pPr>
        <w:spacing w:before="160" w:after="160"/>
        <w:jc w:val="both"/>
      </w:pPr>
    </w:p>
    <w:p w14:paraId="7DD7A1FC">
      <w:pPr>
        <w:pStyle w:val="3"/>
        <w:spacing w:before="280" w:after="120"/>
        <w:jc w:val="both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>5.2  JioStar Merger — Accounting Implications Gap</w:t>
      </w:r>
    </w:p>
    <w:p w14:paraId="45F1799C">
      <w:pPr>
        <w:spacing w:before="80" w:after="80"/>
        <w:jc w:val="both"/>
      </w:pPr>
      <w:r>
        <w:rPr>
          <w:rFonts w:ascii="Arial" w:hAnsi="Arial" w:eastAsia="Arial" w:cs="Arial"/>
          <w:b w:val="0"/>
          <w:bCs w:val="0"/>
          <w:sz w:val="20"/>
          <w:szCs w:val="20"/>
        </w:rPr>
        <w:t>The Viacom18-Star India merger (forming JioStar) and the Network18-TV18 merger completed during FY25 are described in terms of market positioning and viewership records. However, accounting implications — goodwill arising from consolidation, fair value adjustments, deferred tax assets/liabilities — are not addressed in the narrative sections. For transactions of this scale, this warrants deeper note-level examination in the complete financial statements beyond the narrative report.</w:t>
      </w:r>
    </w:p>
    <w:p w14:paraId="7407CAF8">
      <w:pPr>
        <w:spacing w:before="160" w:after="160"/>
        <w:jc w:val="both"/>
      </w:pPr>
    </w:p>
    <w:p w14:paraId="175B70A4">
      <w:pPr>
        <w:jc w:val="both"/>
      </w:pPr>
      <w:r>
        <w:br w:type="page"/>
      </w:r>
    </w:p>
    <w:p w14:paraId="3B9DC6B5">
      <w:pPr>
        <w:pStyle w:val="2"/>
        <w:pBdr>
          <w:bottom w:val="single" w:color="2E5FA3" w:sz="6" w:space="4"/>
        </w:pBdr>
        <w:spacing w:before="360" w:after="200"/>
        <w:jc w:val="both"/>
      </w:pPr>
      <w:r>
        <w:rPr>
          <w:rFonts w:ascii="Arial" w:hAnsi="Arial" w:eastAsia="Arial" w:cs="Arial"/>
          <w:b/>
          <w:bCs/>
          <w:color w:val="1B3A6B"/>
          <w:sz w:val="32"/>
          <w:szCs w:val="32"/>
        </w:rPr>
        <w:t>Conclusions &amp; Research Implications</w:t>
      </w:r>
    </w:p>
    <w:p w14:paraId="609ADF56">
      <w:pPr>
        <w:pStyle w:val="3"/>
        <w:spacing w:before="280" w:after="120"/>
        <w:jc w:val="both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>Primary Conclusions</w:t>
      </w:r>
    </w:p>
    <w:p w14:paraId="20B4803A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sz w:val="20"/>
          <w:szCs w:val="20"/>
        </w:rPr>
        <w:t>RIL's FY 2024-25 integrated report is a technically compliant, professionally constructed disclosure document with high production quality and generally consistent quantitative data.</w:t>
      </w:r>
    </w:p>
    <w:p w14:paraId="2E954783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sz w:val="20"/>
          <w:szCs w:val="20"/>
        </w:rPr>
        <w:t>The most material accounting research concern is the systematic bifurcation of narrative (consolidated) from weaker performance (standalone) — a structurally legal but analytically significant framing choice.</w:t>
      </w:r>
    </w:p>
    <w:p w14:paraId="4F7DA469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sz w:val="20"/>
          <w:szCs w:val="20"/>
        </w:rPr>
        <w:t>O2C narrative inversion represents the clearest single instance of qualitative-quantitative contradiction, applying 'resilience' language to a segment with an 11.9% EBITDA decline.</w:t>
      </w:r>
    </w:p>
    <w:p w14:paraId="692984F4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sz w:val="20"/>
          <w:szCs w:val="20"/>
        </w:rPr>
        <w:t>The three-year consecutive ROCE decline — the single most important capital productivity signal — receives zero narrative attention. This is the most significant disclosure omission from a research standpoint.</w:t>
      </w:r>
    </w:p>
    <w:p w14:paraId="7D11596B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sz w:val="20"/>
          <w:szCs w:val="20"/>
        </w:rPr>
        <w:t>Self-serving attribution bias is present and systematic across all five major segments, consistent with established patterns in the accounting narrative research literature.</w:t>
      </w:r>
    </w:p>
    <w:p w14:paraId="18FB13E6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sz w:val="20"/>
          <w:szCs w:val="20"/>
        </w:rPr>
        <w:t>New Energy commitment tracking has progressively eroded from the annual report narrative — a gap between historical public pledges and current period accountability that merits investor scrutiny.</w:t>
      </w:r>
    </w:p>
    <w:p w14:paraId="75937200">
      <w:pPr>
        <w:spacing w:before="80" w:after="80"/>
        <w:jc w:val="both"/>
      </w:pPr>
    </w:p>
    <w:p w14:paraId="3FD58281">
      <w:pPr>
        <w:pStyle w:val="3"/>
        <w:spacing w:before="280" w:after="120"/>
        <w:jc w:val="both"/>
      </w:pPr>
      <w:r>
        <w:rPr>
          <w:rFonts w:ascii="Arial" w:hAnsi="Arial" w:eastAsia="Arial" w:cs="Arial"/>
          <w:b/>
          <w:bCs/>
          <w:color w:val="2E5FA3"/>
          <w:sz w:val="26"/>
          <w:szCs w:val="26"/>
        </w:rPr>
        <w:t>Implications for AI Accounting Research</w:t>
      </w:r>
    </w:p>
    <w:p w14:paraId="1F28B003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sz w:val="20"/>
          <w:szCs w:val="20"/>
        </w:rPr>
        <w:t>This case demonstrates the power of computational narrative analysis to surface systematic patterns (attribution bias, metric selection, selective omission) that are individually justifiable but structurally significant in aggregate.</w:t>
      </w:r>
    </w:p>
    <w:p w14:paraId="218BAC12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sz w:val="20"/>
          <w:szCs w:val="20"/>
        </w:rPr>
        <w:t>The standalone-consolidated framing gap illustrates how corporate reporting entities can satisfy both technical compliance and investor communication goals simultaneously by controlling the primary analytical lens offered to readers.</w:t>
      </w:r>
    </w:p>
    <w:p w14:paraId="39E555AD">
      <w:pPr>
        <w:pStyle w:val="16"/>
        <w:numPr>
          <w:ilvl w:val="0"/>
          <w:numId w:val="1"/>
        </w:numPr>
        <w:spacing w:before="60" w:after="60"/>
        <w:jc w:val="both"/>
      </w:pPr>
      <w:r>
        <w:rPr>
          <w:rFonts w:ascii="Arial" w:hAnsi="Arial" w:eastAsia="Arial" w:cs="Arial"/>
          <w:sz w:val="20"/>
          <w:szCs w:val="20"/>
        </w:rPr>
        <w:t>The ROCE trend omission highlights the importance of cross-referencing financial summary tables against narrative prose — a task well-suited to AI-augmented disclosure quality research.</w:t>
      </w:r>
    </w:p>
    <w:p w14:paraId="457BDD20">
      <w:pPr>
        <w:spacing w:before="160" w:after="160"/>
        <w:jc w:val="both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0"/>
        <w:gridCol w:w="8390"/>
      </w:tblGrid>
      <w:tr w14:paraId="2A5AB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" w:type="dxa"/>
            <w:tcBorders>
              <w:top w:val="single" w:color="1B3A6B" w:sz="0" w:space="0"/>
              <w:left w:val="single" w:color="1B3A6B" w:sz="0" w:space="0"/>
              <w:bottom w:val="single" w:color="1B3A6B" w:sz="0" w:space="0"/>
              <w:right w:val="single" w:color="1B3A6B" w:sz="0" w:space="0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3E1365">
            <w:pPr>
              <w:jc w:val="both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RATING</w:t>
            </w:r>
          </w:p>
        </w:tc>
        <w:tc>
          <w:tcPr>
            <w:tcW w:w="9120" w:type="dxa"/>
            <w:tcBorders>
              <w:top w:val="single" w:color="1B3A6B" w:sz="0" w:space="0"/>
              <w:left w:val="single" w:color="1B3A6B" w:sz="0" w:space="0"/>
              <w:bottom w:val="single" w:color="1B3A6B" w:sz="0" w:space="0"/>
              <w:right w:val="single" w:color="1B3A6B" w:sz="0" w:space="0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99E85">
            <w:pPr>
              <w:jc w:val="both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Overall AI Accounting Research Rating: B+ (Strong Disclosure with Targeted Gaps). RIL's disclosure is sophisticated, largely accurate, and structurally compliant. None of the concerns identified rise to the level of material misstatement — they represent narrative management within accepted corporate disclosure norms. However, they are analytically significant for research and investment analysis purposes.</w:t>
            </w:r>
          </w:p>
        </w:tc>
      </w:tr>
    </w:tbl>
    <w:p w14:paraId="6F191820">
      <w:pPr>
        <w:spacing w:before="160" w:after="160"/>
        <w:jc w:val="both"/>
      </w:pPr>
    </w:p>
    <w:p w14:paraId="260E447E">
      <w:pPr>
        <w:pBdr>
          <w:top w:val="single" w:color="CCCCCC" w:sz="4" w:space="4"/>
        </w:pBdr>
        <w:spacing w:before="240" w:after="120"/>
        <w:jc w:val="both"/>
      </w:pPr>
      <w:r>
        <w:rPr>
          <w:rFonts w:ascii="Arial" w:hAnsi="Arial" w:eastAsia="Arial" w:cs="Arial"/>
          <w:b/>
          <w:bCs/>
          <w:color w:val="666666"/>
          <w:sz w:val="18"/>
          <w:szCs w:val="18"/>
        </w:rPr>
        <w:t>Disclaimer &amp; Methodology Note</w:t>
      </w:r>
    </w:p>
    <w:p w14:paraId="4DFD8089">
      <w:pPr>
        <w:spacing w:before="80" w:after="80"/>
        <w:jc w:val="both"/>
      </w:pPr>
      <w:r>
        <w:rPr>
          <w:rFonts w:ascii="Arial" w:hAnsi="Arial" w:eastAsia="Arial" w:cs="Arial"/>
          <w:i/>
          <w:iCs/>
          <w:color w:val="666666"/>
          <w:sz w:val="16"/>
          <w:szCs w:val="16"/>
        </w:rPr>
        <w:t>This report is produced solely for academic research, teaching, and analytical purposes using publicly available information from the RIL Integrated Annual Report FY 2024-25 (ril.com). All financial data cited is sourced directly from the public document. This analysis does not constitute investment advice, legal opinion, or audit assertion. The</w:t>
      </w:r>
      <w:r>
        <w:rPr>
          <w:rFonts w:hint="default" w:cs="Arial"/>
          <w:i/>
          <w:iCs/>
          <w:color w:val="666666"/>
          <w:sz w:val="16"/>
          <w:szCs w:val="16"/>
          <w:lang w:val="en-US"/>
        </w:rPr>
        <w:t xml:space="preserve"> </w:t>
      </w:r>
      <w:r>
        <w:rPr>
          <w:rFonts w:ascii="Arial" w:hAnsi="Arial" w:eastAsia="Arial" w:cs="Arial"/>
          <w:i/>
          <w:iCs/>
          <w:color w:val="666666"/>
          <w:sz w:val="16"/>
          <w:szCs w:val="16"/>
        </w:rPr>
        <w:t>Textual Analys</w:t>
      </w:r>
      <w:r>
        <w:rPr>
          <w:rFonts w:hint="default" w:cs="Arial"/>
          <w:i/>
          <w:iCs/>
          <w:color w:val="666666"/>
          <w:sz w:val="16"/>
          <w:szCs w:val="16"/>
          <w:lang w:val="en-US"/>
        </w:rPr>
        <w:t>is</w:t>
      </w:r>
      <w:r>
        <w:rPr>
          <w:rFonts w:ascii="Arial" w:hAnsi="Arial" w:eastAsia="Arial" w:cs="Arial"/>
          <w:i/>
          <w:iCs/>
          <w:color w:val="666666"/>
          <w:sz w:val="16"/>
          <w:szCs w:val="16"/>
        </w:rPr>
        <w:t xml:space="preserve"> applies computational linguistics and narrative analysis frameworks — findings represent analytical observations, not definitive audit conclusions.</w:t>
      </w:r>
    </w:p>
    <w:sectPr>
      <w:headerReference r:id="rId3" w:type="default"/>
      <w:footerReference r:id="rId4" w:type="default"/>
      <w:pgSz w:w="12240" w:h="15840"/>
      <w:pgMar w:top="1440" w:right="1260" w:bottom="144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2A7DB">
    <w:pPr>
      <w:pBdr>
        <w:top w:val="single" w:color="CCCCCC" w:sz="4" w:space="4"/>
      </w:pBdr>
      <w:tabs>
        <w:tab w:val="right" w:pos="9026"/>
      </w:tabs>
      <w:rPr>
        <w:rFonts w:hint="default"/>
        <w:lang w:val="en-US"/>
      </w:rPr>
    </w:pPr>
    <w:r>
      <w:rPr>
        <w:rFonts w:ascii="Arial" w:hAnsi="Arial" w:eastAsia="Arial" w:cs="Arial"/>
        <w:color w:val="888888"/>
        <w:sz w:val="16"/>
        <w:szCs w:val="16"/>
      </w:rPr>
      <w:t>Textual Analys</w:t>
    </w:r>
    <w:r>
      <w:rPr>
        <w:rFonts w:hint="default" w:cs="Arial"/>
        <w:color w:val="888888"/>
        <w:sz w:val="16"/>
        <w:szCs w:val="16"/>
        <w:lang w:val="en-US"/>
      </w:rPr>
      <w:t>is</w:t>
    </w:r>
    <w:r>
      <w:rPr>
        <w:rFonts w:ascii="Arial" w:hAnsi="Arial" w:eastAsia="Arial" w:cs="Arial"/>
        <w:color w:val="888888"/>
        <w:sz w:val="16"/>
        <w:szCs w:val="16"/>
      </w:rPr>
      <w:t xml:space="preserve"> </w:t>
    </w:r>
    <w:r>
      <w:rPr>
        <w:rFonts w:hint="default" w:cs="Arial"/>
        <w:color w:val="888888"/>
        <w:sz w:val="16"/>
        <w:szCs w:val="16"/>
        <w:lang w:val="en-US"/>
      </w:rPr>
      <w:t>by Dr. Debasis Pahi</w:t>
    </w:r>
    <w:r>
      <w:rPr>
        <w:rFonts w:ascii="Arial" w:hAnsi="Arial" w:eastAsia="Arial" w:cs="Arial"/>
        <w:color w:val="888888"/>
        <w:sz w:val="16"/>
        <w:szCs w:val="16"/>
      </w:rPr>
      <w:t xml:space="preserve">  |  Research Document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AA70E">
    <w:pPr>
      <w:pBdr>
        <w:bottom w:val="single" w:color="2E5FA3" w:sz="6" w:space="4"/>
      </w:pBdr>
      <w:tabs>
        <w:tab w:val="right" w:pos="9026"/>
      </w:tabs>
    </w:pPr>
    <w:r>
      <w:rPr>
        <w:sz w:val="16"/>
      </w:rPr>
      <w:pict>
        <v:shape id="PowerPlusWaterMarkObject23233" o:spid="_x0000_s2049" o:spt="136" type="#_x0000_t136" style="position:absolute;left:0pt;height:80.5pt;width:436.7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13107f" focussize="0,0"/>
          <v:stroke on="f"/>
          <v:imagedata o:title=""/>
          <o:lock v:ext="edit" aspectratio="t"/>
          <v:textpath on="t" fitpath="t" trim="t" xscale="f" string="Dr. Debasis Pahi" style="font-family:Segoe UI;font-size:80pt;v-same-letter-heights:f;v-text-align:center;"/>
        </v:shape>
      </w:pict>
    </w:r>
    <w:r>
      <w:rPr>
        <w:rFonts w:ascii="Arial" w:hAnsi="Arial" w:eastAsia="Arial" w:cs="Arial"/>
        <w:b/>
        <w:bCs/>
        <w:color w:val="1B3A6B"/>
        <w:sz w:val="16"/>
        <w:szCs w:val="16"/>
      </w:rPr>
      <w:t>AI IN ACCOUNTING RESEARCH — APPLIED ANALYSIS</w:t>
    </w:r>
    <w:r>
      <w:rPr>
        <w:rFonts w:ascii="Arial" w:hAnsi="Arial" w:eastAsia="Arial" w:cs="Arial"/>
        <w:color w:val="2E5FA3"/>
        <w:sz w:val="16"/>
        <w:szCs w:val="16"/>
      </w:rPr>
      <w:tab/>
      <w:t>Reliance Industries Limited | FY 2024-25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hdrShapeDefaults>
    <o:shapelayout v:ext="edit">
      <o:idmap v:ext="edit" data="2"/>
    </o:shapelayout>
  </w:hdrShapeDefaults>
  <w:compat>
    <w:compatSetting w:name="compatibilityMode" w:uri="http://schemas.microsoft.com/office/word" w:val="15"/>
  </w:compat>
  <w:rsids>
    <w:rsidRoot w:val="00000000"/>
    <w:rsid w:val="05837F61"/>
    <w:rsid w:val="5FA93A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B3A6B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2E5FA3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00838F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388</Words>
  <Characters>2301</Characters>
  <TotalTime>448</TotalTime>
  <ScaleCrop>false</ScaleCrop>
  <LinksUpToDate>false</LinksUpToDate>
  <CharactersWithSpaces>2594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2026-05-10T05:18:00Z</dcterms:created>
  <dc:creator>Un-named</dc:creator>
  <cp:lastModifiedBy>Dr. Debasis Pahi</cp:lastModifiedBy>
  <dcterms:modified xsi:type="dcterms:W3CDTF">2026-05-12T13:04:12Z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eyJoZGlkIjoiYjc1MDJlYWZjMjUwMmY5Y2FkZGM3MGYyNjc5NTc4ZGYiLCJ1c2VySWQiOiI1Njc1NjUxNDc0MDQifQ==</vt:lpwstr>
  </property>
  <property fmtid="{D5CDD505-2E9C-101B-9397-08002B2CF9AE}" pid="3" name="KSOProductBuildVer">
    <vt:lpwstr>1033-12.1.0.25862</vt:lpwstr>
  </property>
  <property fmtid="{D5CDD505-2E9C-101B-9397-08002B2CF9AE}" pid="4" name="ICV">
    <vt:lpwstr>52013F90EAC3479BA43183C168173ADF_12</vt:lpwstr>
  </property>
</Properties>
</file>