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Times New Roman" w:cs="Times New Roman" w:eastAsia="Times New Roman" w:hAnsi="Times New Roman"/>
          <w:b/>
          <w:bCs/>
          <w:caps/>
          <w:color w:val="1F3864"/>
          <w:sz w:val="36"/>
          <w:szCs w:val="36"/>
        </w:rPr>
        <w:t xml:space="preserve">CONFIDENTIAL REFEREE REPORT</w:t>
      </w:r>
    </w:p>
    <w:p>
      <w:pPr>
        <w:pBdr>
          <w:bottom w:val="single" w:color="C9A84C" w:sz="20" w:space="1"/>
        </w:pBdr>
        <w:spacing w:after="60" w:before="60"/>
      </w:pPr>
    </w:p>
    <w:p>
      <w:pPr>
        <w:spacing w:after="0" w:before="0"/>
      </w:pPr>
    </w:p>
    <w:tbl>
      <w:tblPr>
        <w:tblW w:type="dxa" w:w="9360"/>
        <w:tblBorders>
          <w:top w:val="single" w:color="1F3864" w:sz="4"/>
          <w:left w:val="none"/>
          <w:bottom w:val="single" w:color="1F3864" w:sz="4"/>
          <w:right w:val="none"/>
          <w:insideH w:val="single" w:color="auto" w:sz="4"/>
          <w:insideV w:val="single" w:color="auto" w:sz="4"/>
        </w:tblBorders>
      </w:tblPr>
      <w:tblGrid>
        <w:gridCol w:w="2200"/>
        <w:gridCol w:w="7160"/>
      </w:tblGrid>
      <w:tr>
        <w:tc>
          <w:tcPr>
            <w:tcW w:type="dxa" w:w="2200"/>
            <w:tcBorders>
              <w:top w:val="none"/>
              <w:left w:val="none"/>
              <w:bottom w:val="none"/>
              <w:right w:val="none"/>
            </w:tcBorders>
            <w:shd w:fill="D6E4F0" w:val="clear"/>
            <w:tcMar>
              <w:top w:type="dxa" w:w="80"/>
              <w:left w:type="dxa" w:w="120"/>
              <w:bottom w:type="dxa" w:w="80"/>
              <w:right w:type="dxa" w:w="80"/>
            </w:tcMar>
          </w:tcPr>
          <w:p>
            <w:r>
              <w:rPr>
                <w:rFonts w:ascii="Times New Roman" w:cs="Times New Roman" w:eastAsia="Times New Roman" w:hAnsi="Times New Roman"/>
                <w:b/>
                <w:bCs/>
                <w:color w:val="1F3864"/>
                <w:sz w:val="22"/>
                <w:szCs w:val="22"/>
              </w:rPr>
              <w:t xml:space="preserve">JOURNAL</w:t>
            </w:r>
          </w:p>
        </w:tc>
        <w:tc>
          <w:tcPr>
            <w:tcW w:type="dxa" w:w="7160"/>
            <w:tcBorders>
              <w:top w:val="none"/>
              <w:left w:val="none"/>
              <w:bottom w:val="none"/>
              <w:right w:val="none"/>
            </w:tcBorders>
            <w:tcMar>
              <w:top w:type="dxa" w:w="80"/>
              <w:left w:type="dxa" w:w="120"/>
              <w:bottom w:type="dxa" w:w="80"/>
              <w:right w:type="dxa" w:w="80"/>
            </w:tcMar>
          </w:tcPr>
          <w:p>
            <w:r>
              <w:rPr>
                <w:rFonts w:ascii="Times New Roman" w:cs="Times New Roman" w:eastAsia="Times New Roman" w:hAnsi="Times New Roman"/>
                <w:color w:val="2C2C2C"/>
                <w:sz w:val="22"/>
                <w:szCs w:val="22"/>
              </w:rPr>
              <w:t xml:space="preserve">Journal of Financial Economics / Review of Financial Studies (Tier 1 — Elite)</w:t>
            </w:r>
          </w:p>
        </w:tc>
      </w:tr>
      <w:tr>
        <w:tc>
          <w:tcPr>
            <w:tcW w:type="dxa" w:w="2200"/>
            <w:tcBorders>
              <w:top w:val="none"/>
              <w:left w:val="none"/>
              <w:bottom w:val="none"/>
              <w:right w:val="none"/>
            </w:tcBorders>
            <w:shd w:fill="D6E4F0" w:val="clear"/>
            <w:tcMar>
              <w:top w:type="dxa" w:w="80"/>
              <w:left w:type="dxa" w:w="120"/>
              <w:bottom w:type="dxa" w:w="80"/>
              <w:right w:type="dxa" w:w="80"/>
            </w:tcMar>
          </w:tcPr>
          <w:p>
            <w:r>
              <w:rPr>
                <w:rFonts w:ascii="Times New Roman" w:cs="Times New Roman" w:eastAsia="Times New Roman" w:hAnsi="Times New Roman"/>
                <w:b/>
                <w:bCs/>
                <w:color w:val="1F3864"/>
                <w:sz w:val="22"/>
                <w:szCs w:val="22"/>
              </w:rPr>
              <w:t xml:space="preserve">MANUSCRIPT ID</w:t>
            </w:r>
          </w:p>
        </w:tc>
        <w:tc>
          <w:tcPr>
            <w:tcW w:type="dxa" w:w="7160"/>
            <w:tcBorders>
              <w:top w:val="none"/>
              <w:left w:val="none"/>
              <w:bottom w:val="none"/>
              <w:right w:val="none"/>
            </w:tcBorders>
            <w:tcMar>
              <w:top w:type="dxa" w:w="80"/>
              <w:left w:type="dxa" w:w="120"/>
              <w:bottom w:type="dxa" w:w="80"/>
              <w:right w:type="dxa" w:w="80"/>
            </w:tcMar>
          </w:tcPr>
          <w:p>
            <w:r>
              <w:rPr>
                <w:rFonts w:ascii="Times New Roman" w:cs="Times New Roman" w:eastAsia="Times New Roman" w:hAnsi="Times New Roman"/>
                <w:color w:val="2C2C2C"/>
                <w:sz w:val="22"/>
                <w:szCs w:val="22"/>
              </w:rPr>
              <w:t xml:space="preserve">Not provided</w:t>
            </w:r>
          </w:p>
        </w:tc>
      </w:tr>
      <w:tr>
        <w:tc>
          <w:tcPr>
            <w:tcW w:type="dxa" w:w="2200"/>
            <w:tcBorders>
              <w:top w:val="none"/>
              <w:left w:val="none"/>
              <w:bottom w:val="none"/>
              <w:right w:val="none"/>
            </w:tcBorders>
            <w:shd w:fill="D6E4F0" w:val="clear"/>
            <w:tcMar>
              <w:top w:type="dxa" w:w="80"/>
              <w:left w:type="dxa" w:w="120"/>
              <w:bottom w:type="dxa" w:w="80"/>
              <w:right w:type="dxa" w:w="80"/>
            </w:tcMar>
          </w:tcPr>
          <w:p>
            <w:r>
              <w:rPr>
                <w:rFonts w:ascii="Times New Roman" w:cs="Times New Roman" w:eastAsia="Times New Roman" w:hAnsi="Times New Roman"/>
                <w:b/>
                <w:bCs/>
                <w:color w:val="1F3864"/>
                <w:sz w:val="22"/>
                <w:szCs w:val="22"/>
              </w:rPr>
              <w:t xml:space="preserve">TITLE</w:t>
            </w:r>
          </w:p>
        </w:tc>
        <w:tc>
          <w:tcPr>
            <w:tcW w:type="dxa" w:w="7160"/>
            <w:tcBorders>
              <w:top w:val="none"/>
              <w:left w:val="none"/>
              <w:bottom w:val="none"/>
              <w:right w:val="none"/>
            </w:tcBorders>
            <w:tcMar>
              <w:top w:type="dxa" w:w="80"/>
              <w:left w:type="dxa" w:w="120"/>
              <w:bottom w:type="dxa" w:w="80"/>
              <w:right w:type="dxa" w:w="80"/>
            </w:tcMar>
          </w:tcPr>
          <w:p>
            <w:r>
              <w:rPr>
                <w:rFonts w:ascii="Times New Roman" w:cs="Times New Roman" w:eastAsia="Times New Roman" w:hAnsi="Times New Roman"/>
                <w:color w:val="2C2C2C"/>
                <w:sz w:val="22"/>
                <w:szCs w:val="22"/>
              </w:rPr>
              <w:t xml:space="preserve">International Spillovers of ESG Regulation: Cross-Border Ownership, Capital Flows, and Price Discovery</w:t>
            </w:r>
          </w:p>
        </w:tc>
      </w:tr>
      <w:tr>
        <w:tc>
          <w:tcPr>
            <w:tcW w:type="dxa" w:w="2200"/>
            <w:tcBorders>
              <w:top w:val="none"/>
              <w:left w:val="none"/>
              <w:bottom w:val="none"/>
              <w:right w:val="none"/>
            </w:tcBorders>
            <w:shd w:fill="D6E4F0" w:val="clear"/>
            <w:tcMar>
              <w:top w:type="dxa" w:w="80"/>
              <w:left w:type="dxa" w:w="120"/>
              <w:bottom w:type="dxa" w:w="80"/>
              <w:right w:type="dxa" w:w="80"/>
            </w:tcMar>
          </w:tcPr>
          <w:p>
            <w:r>
              <w:rPr>
                <w:rFonts w:ascii="Times New Roman" w:cs="Times New Roman" w:eastAsia="Times New Roman" w:hAnsi="Times New Roman"/>
                <w:b/>
                <w:bCs/>
                <w:color w:val="1F3864"/>
                <w:sz w:val="22"/>
                <w:szCs w:val="22"/>
              </w:rPr>
              <w:t xml:space="preserve">DATE OF REVIEW</w:t>
            </w:r>
          </w:p>
        </w:tc>
        <w:tc>
          <w:tcPr>
            <w:tcW w:type="dxa" w:w="7160"/>
            <w:tcBorders>
              <w:top w:val="none"/>
              <w:left w:val="none"/>
              <w:bottom w:val="none"/>
              <w:right w:val="none"/>
            </w:tcBorders>
            <w:tcMar>
              <w:top w:type="dxa" w:w="80"/>
              <w:left w:type="dxa" w:w="120"/>
              <w:bottom w:type="dxa" w:w="80"/>
              <w:right w:type="dxa" w:w="80"/>
            </w:tcMar>
          </w:tcPr>
          <w:p>
            <w:r>
              <w:rPr>
                <w:rFonts w:ascii="Times New Roman" w:cs="Times New Roman" w:eastAsia="Times New Roman" w:hAnsi="Times New Roman"/>
                <w:color w:val="2C2C2C"/>
                <w:sz w:val="22"/>
                <w:szCs w:val="22"/>
              </w:rPr>
              <w:t xml:space="preserve">April 26, 2026</w:t>
            </w:r>
          </w:p>
        </w:tc>
      </w:tr>
      <w:tr>
        <w:tc>
          <w:tcPr>
            <w:tcW w:type="dxa" w:w="2200"/>
            <w:tcBorders>
              <w:top w:val="none"/>
              <w:left w:val="none"/>
              <w:bottom w:val="none"/>
              <w:right w:val="none"/>
            </w:tcBorders>
            <w:shd w:fill="D6E4F0" w:val="clear"/>
            <w:tcMar>
              <w:top w:type="dxa" w:w="80"/>
              <w:left w:type="dxa" w:w="120"/>
              <w:bottom w:type="dxa" w:w="80"/>
              <w:right w:type="dxa" w:w="80"/>
            </w:tcMar>
          </w:tcPr>
          <w:p>
            <w:r>
              <w:rPr>
                <w:rFonts w:ascii="Times New Roman" w:cs="Times New Roman" w:eastAsia="Times New Roman" w:hAnsi="Times New Roman"/>
                <w:b/>
                <w:bCs/>
                <w:color w:val="1F3864"/>
                <w:sz w:val="22"/>
                <w:szCs w:val="22"/>
              </w:rPr>
              <w:t xml:space="preserve">RECOMMENDATION</w:t>
            </w:r>
          </w:p>
        </w:tc>
        <w:tc>
          <w:tcPr>
            <w:tcW w:type="dxa" w:w="7160"/>
            <w:tcBorders>
              <w:top w:val="none"/>
              <w:left w:val="none"/>
              <w:bottom w:val="none"/>
              <w:right w:val="none"/>
            </w:tcBorders>
            <w:tcMar>
              <w:top w:type="dxa" w:w="80"/>
              <w:left w:type="dxa" w:w="120"/>
              <w:bottom w:type="dxa" w:w="80"/>
              <w:right w:type="dxa" w:w="80"/>
            </w:tcMar>
          </w:tcPr>
          <w:p>
            <w:r>
              <w:rPr>
                <w:rFonts w:ascii="Times New Roman" w:cs="Times New Roman" w:eastAsia="Times New Roman" w:hAnsi="Times New Roman"/>
                <w:color w:val="2C2C2C"/>
                <w:sz w:val="22"/>
                <w:szCs w:val="22"/>
              </w:rPr>
              <w:t xml:space="preserve">MAJOR REVISION</w:t>
            </w:r>
          </w:p>
        </w:tc>
      </w:tr>
    </w:tbl>
    <w:p>
      <w:pPr>
        <w:spacing w:after="0" w:before="200"/>
      </w:pPr>
    </w:p>
    <w:p>
      <w:pPr>
        <w:pBdr>
          <w:bottom w:val="single" w:color="1F3864" w:sz="8" w:space="1"/>
        </w:pBdr>
        <w:spacing w:after="60" w:before="60"/>
      </w:pPr>
    </w:p>
    <w:p>
      <w:pPr>
        <w:spacing w:after="200" w:before="0"/>
      </w:pPr>
    </w:p>
    <w:p>
      <w:pPr>
        <w:spacing w:after="120" w:before="280"/>
      </w:pPr>
      <w:r>
        <w:rPr>
          <w:rFonts w:ascii="Times New Roman" w:cs="Times New Roman" w:eastAsia="Times New Roman" w:hAnsi="Times New Roman"/>
          <w:b/>
          <w:bCs/>
          <w:caps/>
          <w:color w:val="1F3864"/>
          <w:sz w:val="28"/>
          <w:szCs w:val="28"/>
        </w:rPr>
        <w:t xml:space="preserve">I. Memo to the Editor</w:t>
      </w:r>
    </w:p>
    <w:p>
      <w:pPr>
        <w:pBdr>
          <w:bottom w:val="single" w:color="1F3864" w:sz="4" w:space="1"/>
        </w:pBdr>
        <w:spacing w:after="60" w:before="60"/>
      </w:pPr>
    </w:p>
    <w:p>
      <w:pPr>
        <w:spacing w:after="80" w:before="120" w:line="360"/>
        <w:jc w:val="both"/>
      </w:pPr>
      <w:r>
        <w:rPr>
          <w:rFonts w:ascii="Times New Roman" w:cs="Times New Roman" w:eastAsia="Times New Roman" w:hAnsi="Times New Roman"/>
          <w:b w:val="false"/>
          <w:bCs w:val="false"/>
          <w:i w:val="false"/>
          <w:iCs w:val="false"/>
          <w:color w:val="2C2C2C"/>
          <w:sz w:val="24"/>
          <w:szCs w:val="24"/>
        </w:rPr>
        <w:t xml:space="preserve">This paper examines whether mandatory ESG disclosure regulations in one country generate cross-border informational spillovers that improve price discovery efficiency in host-country equity markets. Using a staggered difference-in-differences design around 23 regulatory adoption events across 34 countries (2005–2022), augmented by bilateral investment treaty-based instrumental variables and Arellano-Bond GMM estimation, the authors document that firms with higher foreign institutional ownership from ESG-regulated markets exhibit significantly lower return autocorrelations, variance ratio deviations, and price delay measures. The research question is genuinely novel and policy-relevant, the data infrastructure is impressive, and the identification toolkit is appropriately sophisticated for a Tier 1 submission.</w:t>
      </w:r>
    </w:p>
    <w:p>
      <w:pPr>
        <w:spacing w:after="80" w:before="80" w:line="360"/>
        <w:jc w:val="both"/>
      </w:pPr>
      <w:r>
        <w:rPr>
          <w:rFonts w:ascii="Times New Roman" w:cs="Times New Roman" w:eastAsia="Times New Roman" w:hAnsi="Times New Roman"/>
          <w:b w:val="false"/>
          <w:bCs w:val="false"/>
          <w:i w:val="false"/>
          <w:iCs w:val="false"/>
          <w:color w:val="2C2C2C"/>
          <w:sz w:val="24"/>
          <w:szCs w:val="24"/>
        </w:rPr>
        <w:t xml:space="preserve">However, several significant concerns must be resolved before I can recommend acceptance. The primary issues involve: (1) the internal validity of the bilateral investment treaty instrument, which requires a more rigorous exclusion restriction defence; (2) the construction and reliability of the proprietary ESG regulatory stringency index, which is central to the entire empirical design; (3) the mechanism tests, which are insufficiently sharp to distinguish the information production channel from alternative explanations; and (4) the treatment of the ForeignESG variable endogeneity in the staggered DiD design, where the definition of treatment is circular. These concerns are addressable within the paper's existing framework. My recommendation is Major Revision.</w:t>
      </w:r>
    </w:p>
    <w:p>
      <w:pPr>
        <w:spacing w:after="0" w:before="200"/>
      </w:pPr>
    </w:p>
    <w:p>
      <w:pPr>
        <w:spacing w:after="120" w:before="280"/>
      </w:pPr>
      <w:r>
        <w:rPr>
          <w:rFonts w:ascii="Times New Roman" w:cs="Times New Roman" w:eastAsia="Times New Roman" w:hAnsi="Times New Roman"/>
          <w:b/>
          <w:bCs/>
          <w:caps/>
          <w:color w:val="1F3864"/>
          <w:sz w:val="28"/>
          <w:szCs w:val="28"/>
        </w:rPr>
        <w:t xml:space="preserve">II. Summary of the Paper</w:t>
      </w:r>
    </w:p>
    <w:p>
      <w:pPr>
        <w:pBdr>
          <w:bottom w:val="single" w:color="1F3864" w:sz="4" w:space="1"/>
        </w:pBdr>
        <w:spacing w:after="60" w:before="60"/>
      </w:pPr>
    </w:p>
    <w:p>
      <w:pPr>
        <w:spacing w:after="80" w:before="120" w:line="360"/>
        <w:jc w:val="both"/>
      </w:pPr>
      <w:r>
        <w:rPr>
          <w:rFonts w:ascii="Times New Roman" w:cs="Times New Roman" w:eastAsia="Times New Roman" w:hAnsi="Times New Roman"/>
          <w:b w:val="false"/>
          <w:bCs w:val="false"/>
          <w:i w:val="false"/>
          <w:iCs w:val="false"/>
          <w:color w:val="2C2C2C"/>
          <w:sz w:val="24"/>
          <w:szCs w:val="24"/>
        </w:rPr>
        <w:t xml:space="preserve">The paper investigates a novel externality of ESG regulation: whether mandatory ESG disclosure mandates in investor home countries improve the price discovery efficiency of firms in host countries, transmitted through the channel of cross-border institutional ownership. The authors construct a country-year ESG regulatory stringency index (ESGReg, scaled 0–10) from UNPRI assessments, Bloomberg sovereign ESG data, and hand-collected regulatory coding, and aggregate this into a firm-level ownership-weighted foreign ESG exposure measure (ForeignESG). The primary dependent variables are three price efficiency proxies — the absolute deviation of the variance ratio from unity (|VR−1|), absolute first-order return autocorrelation (|AC|), and the Hou-Moskowitz (2005) price delay measure (DELAY) — computed for a panel of 38,471 firm-years across 6,204 firms in 34 countries. The authors find that a one-standard-deviation increase in ForeignESG is associated with an 8–17% improvement in price efficiency measures across specifications. The mechanism is attributed to an informational channel: ESG-regulated foreign investors produce more informationally rich order flow, improving host-country price discovery, with effects concentrated in countries with weak governance and firms with low analyst coverage. Causal identification rests on (i) Callaway-Sant'Anna (2021) staggered DiD around 23 regulatory adoption events, (ii) IV estimation using BIT network-adjusted expected foreign ownership, and (iii) Arellano-Bond GMM to account for dynamic efficiency persistence.</w:t>
      </w:r>
    </w:p>
    <w:p>
      <w:pPr>
        <w:spacing w:after="0" w:before="200"/>
      </w:pPr>
    </w:p>
    <w:p>
      <w:pPr>
        <w:spacing w:after="120" w:before="280"/>
      </w:pPr>
      <w:r>
        <w:rPr>
          <w:rFonts w:ascii="Times New Roman" w:cs="Times New Roman" w:eastAsia="Times New Roman" w:hAnsi="Times New Roman"/>
          <w:b/>
          <w:bCs/>
          <w:caps/>
          <w:color w:val="1F3864"/>
          <w:sz w:val="28"/>
          <w:szCs w:val="28"/>
        </w:rPr>
        <w:t xml:space="preserve">III. Assessment of Strengths</w:t>
      </w:r>
    </w:p>
    <w:p>
      <w:pPr>
        <w:pBdr>
          <w:bottom w:val="single" w:color="1F3864" w:sz="4" w:space="1"/>
        </w:pBdr>
        <w:spacing w:after="60" w:before="60"/>
      </w:pPr>
    </w:p>
    <w:p>
      <w:pPr>
        <w:spacing w:after="40" w:before="80"/>
      </w:pPr>
    </w:p>
    <w:p>
      <w:pPr>
        <w:spacing w:after="60" w:before="80" w:line="360"/>
        <w:ind w:left="560" w:hanging="280"/>
      </w:pPr>
      <w:r>
        <w:rPr>
          <w:rFonts w:ascii="Times New Roman" w:cs="Times New Roman" w:eastAsia="Times New Roman" w:hAnsi="Times New Roman"/>
          <w:b/>
          <w:bCs/>
          <w:color w:val="1F3864"/>
          <w:sz w:val="24"/>
          <w:szCs w:val="24"/>
        </w:rPr>
        <w:t xml:space="preserve">•  </w:t>
      </w:r>
      <w:r>
        <w:rPr>
          <w:rFonts w:ascii="Times New Roman" w:cs="Times New Roman" w:eastAsia="Times New Roman" w:hAnsi="Times New Roman"/>
          <w:color w:val="2C2C2C"/>
          <w:sz w:val="24"/>
          <w:szCs w:val="24"/>
        </w:rPr>
        <w:t xml:space="preserve">Research question novelty and policy relevance. The paper addresses a genuinely underexplored externality of ESG regulation — its cross-border informational spillovers to price discovery — that is distinct from and complementary to the existing literature on domestic effects of ESG mandates (Grewal, Riedl, and Serafeim, 2019; Christensen, Hail, and Leuz, 2021). At a time when ISSB convergence is being actively debated, the question of whether ESG regulatory coordination generates efficiency benefits beyond the regulating jurisdiction is highly policy-relevant.</w:t>
      </w:r>
    </w:p>
    <w:p>
      <w:pPr>
        <w:spacing w:after="60" w:before="80" w:line="360"/>
        <w:ind w:left="560" w:hanging="280"/>
      </w:pPr>
      <w:r>
        <w:rPr>
          <w:rFonts w:ascii="Times New Roman" w:cs="Times New Roman" w:eastAsia="Times New Roman" w:hAnsi="Times New Roman"/>
          <w:b/>
          <w:bCs/>
          <w:color w:val="1F3864"/>
          <w:sz w:val="24"/>
          <w:szCs w:val="24"/>
        </w:rPr>
        <w:t xml:space="preserve">•  </w:t>
      </w:r>
      <w:r>
        <w:rPr>
          <w:rFonts w:ascii="Times New Roman" w:cs="Times New Roman" w:eastAsia="Times New Roman" w:hAnsi="Times New Roman"/>
          <w:color w:val="2C2C2C"/>
          <w:sz w:val="24"/>
          <w:szCs w:val="24"/>
        </w:rPr>
        <w:t xml:space="preserve">Identification toolkit. The authors appropriately combine three complementary identification strategies — Callaway-Sant'Anna (2021) heterogeneity-robust staggered DiD, BIT network-based IV, and Arellano-Bond GMM — and correctly acknowledge the Goodman-Bacon (2021) critique of TWFE in staggered settings. The triangulation of results across methods substantially strengthens causal interpretation.</w:t>
      </w:r>
    </w:p>
    <w:p>
      <w:pPr>
        <w:spacing w:after="60" w:before="80" w:line="360"/>
        <w:ind w:left="560" w:hanging="280"/>
      </w:pPr>
      <w:r>
        <w:rPr>
          <w:rFonts w:ascii="Times New Roman" w:cs="Times New Roman" w:eastAsia="Times New Roman" w:hAnsi="Times New Roman"/>
          <w:b/>
          <w:bCs/>
          <w:color w:val="1F3864"/>
          <w:sz w:val="24"/>
          <w:szCs w:val="24"/>
        </w:rPr>
        <w:t xml:space="preserve">•  </w:t>
      </w:r>
      <w:r>
        <w:rPr>
          <w:rFonts w:ascii="Times New Roman" w:cs="Times New Roman" w:eastAsia="Times New Roman" w:hAnsi="Times New Roman"/>
          <w:color w:val="2C2C2C"/>
          <w:sz w:val="24"/>
          <w:szCs w:val="24"/>
        </w:rPr>
        <w:t xml:space="preserve">Data scope and construction. The 34-country, 18-year panel is large by international finance standards. The construction of ForeignESG as an ownership-weighted aggregate that varies at the firm-year level — both through changes in regulatory regimes and through changes in investor composition — is conceptually correct and creates the essential within-firm identification variation that fixed effects require.</w:t>
      </w:r>
    </w:p>
    <w:p>
      <w:pPr>
        <w:spacing w:after="60" w:before="80" w:line="360"/>
        <w:ind w:left="560" w:hanging="280"/>
      </w:pPr>
      <w:r>
        <w:rPr>
          <w:rFonts w:ascii="Times New Roman" w:cs="Times New Roman" w:eastAsia="Times New Roman" w:hAnsi="Times New Roman"/>
          <w:b/>
          <w:bCs/>
          <w:color w:val="1F3864"/>
          <w:sz w:val="24"/>
          <w:szCs w:val="24"/>
        </w:rPr>
        <w:t xml:space="preserve">•  </w:t>
      </w:r>
      <w:r>
        <w:rPr>
          <w:rFonts w:ascii="Times New Roman" w:cs="Times New Roman" w:eastAsia="Times New Roman" w:hAnsi="Times New Roman"/>
          <w:color w:val="2C2C2C"/>
          <w:sz w:val="24"/>
          <w:szCs w:val="24"/>
        </w:rPr>
        <w:t xml:space="preserve">Robustness architecture. The paper's robustness suite is commendably comprehensive: three alternative efficiency proxies (Table A1), two placebo measures including temporal placebo (Table A2), developed vs. emerging market subsamples (Table A3), quantile regression (Table A6), Fama-MacBeth cross-sections (Table A7), and a spatial panel model (Table A8). This thoroughness reflects an awareness of the identification challenges and proactively addresses many obvious alternative explanations.</w:t>
      </w:r>
    </w:p>
    <w:p>
      <w:pPr>
        <w:spacing w:after="60" w:before="80" w:line="360"/>
        <w:ind w:left="560" w:hanging="280"/>
      </w:pPr>
      <w:r>
        <w:rPr>
          <w:rFonts w:ascii="Times New Roman" w:cs="Times New Roman" w:eastAsia="Times New Roman" w:hAnsi="Times New Roman"/>
          <w:b/>
          <w:bCs/>
          <w:color w:val="1F3864"/>
          <w:sz w:val="24"/>
          <w:szCs w:val="24"/>
        </w:rPr>
        <w:t xml:space="preserve">•  </w:t>
      </w:r>
      <w:r>
        <w:rPr>
          <w:rFonts w:ascii="Times New Roman" w:cs="Times New Roman" w:eastAsia="Times New Roman" w:hAnsi="Times New Roman"/>
          <w:color w:val="2C2C2C"/>
          <w:sz w:val="24"/>
          <w:szCs w:val="24"/>
        </w:rPr>
        <w:t xml:space="preserve">Heterogeneity analysis aligned with theory. The decomposition by analyst coverage, domestic governance, and ESG controversy scores (Section VIII.B) is well-motivated by Hypothesis 3 and the substitution mechanism. The finding that EM coefficients are approximately 40% larger than DM coefficients (Table A3) is both statistically credible and economically coherent with the theoretical framework.</w:t>
      </w:r>
    </w:p>
    <w:p>
      <w:pPr>
        <w:spacing w:after="0" w:before="200"/>
      </w:pPr>
    </w:p>
    <w:p>
      <w:pPr>
        <w:spacing w:after="120" w:before="280"/>
      </w:pPr>
      <w:r>
        <w:rPr>
          <w:rFonts w:ascii="Times New Roman" w:cs="Times New Roman" w:eastAsia="Times New Roman" w:hAnsi="Times New Roman"/>
          <w:b/>
          <w:bCs/>
          <w:caps/>
          <w:color w:val="1F3864"/>
          <w:sz w:val="28"/>
          <w:szCs w:val="28"/>
        </w:rPr>
        <w:t xml:space="preserve">IV. Major Concerns</w:t>
      </w:r>
    </w:p>
    <w:p>
      <w:pPr>
        <w:pBdr>
          <w:bottom w:val="single" w:color="1F3864" w:sz="4" w:space="1"/>
        </w:pBdr>
        <w:spacing w:after="60" w:before="60"/>
      </w:pPr>
    </w:p>
    <w:p>
      <w:pPr>
        <w:spacing w:after="80" w:before="100" w:line="360"/>
        <w:jc w:val="both"/>
      </w:pPr>
      <w:r>
        <w:rPr>
          <w:rFonts w:ascii="Times New Roman" w:cs="Times New Roman" w:eastAsia="Times New Roman" w:hAnsi="Times New Roman"/>
          <w:b w:val="false"/>
          <w:bCs w:val="false"/>
          <w:i/>
          <w:iCs/>
          <w:color w:val="2C2C2C"/>
          <w:sz w:val="24"/>
          <w:szCs w:val="24"/>
        </w:rPr>
        <w:t xml:space="preserve">The following concerns are substantive and must be resolved before a favourable recommendation is possible.</w:t>
      </w:r>
    </w:p>
    <w:p>
      <w:pPr>
        <w:spacing w:after="40" w:before="80"/>
      </w:pPr>
    </w:p>
    <w:p>
      <w:pPr>
        <w:spacing w:after="60" w:before="160" w:line="360"/>
        <w:ind w:left="0"/>
      </w:pPr>
      <w:r>
        <w:rPr>
          <w:rFonts w:ascii="Times New Roman" w:cs="Times New Roman" w:eastAsia="Times New Roman" w:hAnsi="Times New Roman"/>
          <w:b/>
          <w:bCs/>
          <w:color w:val="1F3864"/>
          <w:sz w:val="24"/>
          <w:szCs w:val="24"/>
        </w:rPr>
        <w:t xml:space="preserve">1. </w:t>
      </w:r>
      <w:r>
        <w:rPr>
          <w:rFonts w:ascii="Times New Roman" w:cs="Times New Roman" w:eastAsia="Times New Roman" w:hAnsi="Times New Roman"/>
          <w:color w:val="2C2C2C"/>
          <w:sz w:val="24"/>
          <w:szCs w:val="24"/>
        </w:rPr>
        <w:t xml:space="preserve">Exclusion Restriction of the BIT Instrument is Inadequately Defended.</w:t>
      </w:r>
    </w:p>
    <w:p>
      <w:pPr>
        <w:spacing w:after="60" w:before="60" w:line="360"/>
        <w:ind w:left="560"/>
      </w:pPr>
      <w:r>
        <w:rPr>
          <w:rFonts w:ascii="Times New Roman" w:cs="Times New Roman" w:eastAsia="Times New Roman" w:hAnsi="Times New Roman"/>
          <w:i/>
          <w:iCs/>
          <w:color w:val="555555"/>
          <w:sz w:val="24"/>
          <w:szCs w:val="24"/>
        </w:rPr>
        <w:t xml:space="preserve">Why it matters: The bilateral investment treaty (BIT) network-adjusted instrument is the paper's primary defence against endogeneity in the OLS specification. However, the exclusion restriction — that BIT networks affect host-country firm-level price efficiency only through their influence on foreign investor composition — is stated but not rigorously defended. BITs are known to affect capital flows, FDI allocation, and country-level governance quality through multiple channels beyond portfolio investment composition (see Neumayer, 2006, cited by the authors; and the broader BIT literature by Busse and Hefeker, 2007; Tobin and Rose-Ackerman, 2005). In particular, BITs may directly improve host-country governance and transparency — precisely a correlate of price efficiency — through legal harmonisation and dispute resolution mechanisms. The exclusion restriction therefore cannot be assumed; it must be tested and argued.</w:t>
      </w:r>
    </w:p>
    <w:p>
      <w:pPr>
        <w:spacing w:after="60" w:before="60" w:line="360"/>
        <w:ind w:left="560"/>
      </w:pPr>
      <w:r>
        <w:rPr>
          <w:rFonts w:ascii="Times New Roman" w:cs="Times New Roman" w:eastAsia="Times New Roman" w:hAnsi="Times New Roman"/>
          <w:i/>
          <w:iCs/>
          <w:color w:val="555555"/>
          <w:sz w:val="24"/>
          <w:szCs w:val="24"/>
        </w:rPr>
        <w:t xml:space="preserve">Suggested remedy: The authors should (a) formally articulate why BIT network characteristics affect firm-level price efficiency only through the foreign investor composition channel and not through direct governance or transparency effects; (b) conduct a falsification test by showing that BIT network exposure does not predict host-country efficiency in the pre-sample period (before 2005) when ESG regulation was minimal; and (c) consider whether the instrument can be separated from BIT-driven FDI flows, which might independently affect price efficiency through real economic activity rather than informational channels. Including a country-level governance indicator (e.g., World Bank Rule of Law Index) as a control in the IV specification would help partial out the direct governance channel.</w:t>
      </w:r>
    </w:p>
    <w:p>
      <w:pPr>
        <w:spacing w:after="60" w:before="160" w:line="360"/>
        <w:ind w:left="0"/>
      </w:pPr>
      <w:r>
        <w:rPr>
          <w:rFonts w:ascii="Times New Roman" w:cs="Times New Roman" w:eastAsia="Times New Roman" w:hAnsi="Times New Roman"/>
          <w:b/>
          <w:bCs/>
          <w:color w:val="1F3864"/>
          <w:sz w:val="24"/>
          <w:szCs w:val="24"/>
        </w:rPr>
        <w:t xml:space="preserve">2. </w:t>
      </w:r>
      <w:r>
        <w:rPr>
          <w:rFonts w:ascii="Times New Roman" w:cs="Times New Roman" w:eastAsia="Times New Roman" w:hAnsi="Times New Roman"/>
          <w:color w:val="2C2C2C"/>
          <w:sz w:val="24"/>
          <w:szCs w:val="24"/>
        </w:rPr>
        <w:t xml:space="preserve">ESGReg Index Construction and Reliability — The Black Box at the Heart of the Paper.</w:t>
      </w:r>
    </w:p>
    <w:p>
      <w:pPr>
        <w:spacing w:after="60" w:before="60" w:line="360"/>
        <w:ind w:left="560"/>
      </w:pPr>
      <w:r>
        <w:rPr>
          <w:rFonts w:ascii="Times New Roman" w:cs="Times New Roman" w:eastAsia="Times New Roman" w:hAnsi="Times New Roman"/>
          <w:i/>
          <w:iCs/>
          <w:color w:val="555555"/>
          <w:sz w:val="24"/>
          <w:szCs w:val="24"/>
        </w:rPr>
        <w:t xml:space="preserve">Why it matters: ForeignESG — the paper's central independent variable — is constructed as an ownership-weighted average of ESGReg, which is itself a proprietary composite index assembled from three sources: UNPRI assessments, Bloomberg sovereign ESG data, and hand-collected coding. The index is central to every specification in the paper, yet its construction is described in Table A0 in only one paragraph. Three concerns arise. First, the authors acknowledge that the index contains measurement error (using this to rationalize the IV-vs-OLS gap), but without providing any reliability estimates, cross-source correlations, or inter-rater agreement statistics, the reader cannot assess whether the attenuation is small or large. Second, equal weighting of the three sub-components (breadth, enforceability, assurance) is assumed without justification — an alternative weighting scheme using, for example, regulatory enforcement intensity might yield meaningfully different variation. Third, specific country scores are reported for the US, EU, South Korea, and Japan, but no comprehensive appendix table of all 34 countries' ESGReg time series is provided.</w:t>
      </w:r>
    </w:p>
    <w:p>
      <w:pPr>
        <w:spacing w:after="60" w:before="60" w:line="360"/>
        <w:ind w:left="560"/>
      </w:pPr>
      <w:r>
        <w:rPr>
          <w:rFonts w:ascii="Times New Roman" w:cs="Times New Roman" w:eastAsia="Times New Roman" w:hAnsi="Times New Roman"/>
          <w:i/>
          <w:iCs/>
          <w:color w:val="555555"/>
          <w:sz w:val="24"/>
          <w:szCs w:val="24"/>
        </w:rPr>
        <w:t xml:space="preserve">Suggested remedy: The authors should (a) provide a full supplementary table of ESGReg for all 34 countries across all years; (b) report cross-source correlations between the three constituent data sources and validate the index against at least one external benchmark (e.g., the Van der Veer, 2017, ESG regulatory quality measure, or the MSCI ESG regulatory framework scores); (c) conduct robustness checks using alternative sub-component weights (e.g., enforcement-heavy weighting, as enforcement is arguably the dimension most relevant to investor behaviour); and (d) clarify the splicing procedure for historical observations, which is described as available from the authors but should be documented in the appendix.</w:t>
      </w:r>
    </w:p>
    <w:p>
      <w:pPr>
        <w:spacing w:after="60" w:before="160" w:line="360"/>
        <w:ind w:left="0"/>
      </w:pPr>
      <w:r>
        <w:rPr>
          <w:rFonts w:ascii="Times New Roman" w:cs="Times New Roman" w:eastAsia="Times New Roman" w:hAnsi="Times New Roman"/>
          <w:b/>
          <w:bCs/>
          <w:color w:val="1F3864"/>
          <w:sz w:val="24"/>
          <w:szCs w:val="24"/>
        </w:rPr>
        <w:t xml:space="preserve">3. </w:t>
      </w:r>
      <w:r>
        <w:rPr>
          <w:rFonts w:ascii="Times New Roman" w:cs="Times New Roman" w:eastAsia="Times New Roman" w:hAnsi="Times New Roman"/>
          <w:color w:val="2C2C2C"/>
          <w:sz w:val="24"/>
          <w:szCs w:val="24"/>
        </w:rPr>
        <w:t xml:space="preserve">Treatment Definition in the Staggered DiD Creates Circularity.</w:t>
      </w:r>
    </w:p>
    <w:p>
      <w:pPr>
        <w:spacing w:after="60" w:before="60" w:line="360"/>
        <w:ind w:left="560"/>
      </w:pPr>
      <w:r>
        <w:rPr>
          <w:rFonts w:ascii="Times New Roman" w:cs="Times New Roman" w:eastAsia="Times New Roman" w:hAnsi="Times New Roman"/>
          <w:i/>
          <w:iCs/>
          <w:color w:val="555555"/>
          <w:sz w:val="24"/>
          <w:szCs w:val="24"/>
        </w:rPr>
        <w:t xml:space="preserve">Why it matters: In Section V.B1, the authors define treatment as 'a firm experiencing a greater than one standard deviation increase in ForeignESG in the year following a discrete ESG regulatory adoption event in a major origin country.' This definition conflates the regulatory event (the identifying variation) with the ownership response (an outcome of investor reallocation). If ESG-regulated investors reallocate toward more efficient firms following a regulatory mandate — a form of selection rather than causation — then the firms that experience a greater than one standard deviation increase in ForeignESG are precisely those that attracted ESG-informed investment, and any measured efficiency improvement may reflect this selection rather than the informational spillover. The treatment definition is endogenous to the very mechanism the paper claims to identify.</w:t>
      </w:r>
    </w:p>
    <w:p>
      <w:pPr>
        <w:spacing w:after="60" w:before="60" w:line="360"/>
        <w:ind w:left="560"/>
      </w:pPr>
      <w:r>
        <w:rPr>
          <w:rFonts w:ascii="Times New Roman" w:cs="Times New Roman" w:eastAsia="Times New Roman" w:hAnsi="Times New Roman"/>
          <w:i/>
          <w:iCs/>
          <w:color w:val="555555"/>
          <w:sz w:val="24"/>
          <w:szCs w:val="24"/>
        </w:rPr>
        <w:t xml:space="preserve">Suggested remedy: Treatment should be defined at the country or regulatory event level — not at the firm level based on ForeignESG changes. Specifically, the staggered DiD should define treated units as all firms in countries whose foreign investor base becomes disproportionately exposed to a new ESG mandate in an origin country (using pre-mandate ownership shares as fixed weights, in the spirit of Bartik/shift-share instruments). Alternatively, the authors could define treatment based on pre-period bilateral ownership intensity, which is predetermined and not subject to post-mandate reallocation. This restructuring would substantially sharpen the DiD identification.</w:t>
      </w:r>
    </w:p>
    <w:p>
      <w:pPr>
        <w:spacing w:after="60" w:before="160" w:line="360"/>
        <w:ind w:left="0"/>
      </w:pPr>
      <w:r>
        <w:rPr>
          <w:rFonts w:ascii="Times New Roman" w:cs="Times New Roman" w:eastAsia="Times New Roman" w:hAnsi="Times New Roman"/>
          <w:b/>
          <w:bCs/>
          <w:color w:val="1F3864"/>
          <w:sz w:val="24"/>
          <w:szCs w:val="24"/>
        </w:rPr>
        <w:t xml:space="preserve">4. </w:t>
      </w:r>
      <w:r>
        <w:rPr>
          <w:rFonts w:ascii="Times New Roman" w:cs="Times New Roman" w:eastAsia="Times New Roman" w:hAnsi="Times New Roman"/>
          <w:color w:val="2C2C2C"/>
          <w:sz w:val="24"/>
          <w:szCs w:val="24"/>
        </w:rPr>
        <w:t xml:space="preserve">Mechanism Tests Do Not Cleanly Distinguish Information Production from Alternative Channels.</w:t>
      </w:r>
    </w:p>
    <w:p>
      <w:pPr>
        <w:spacing w:after="60" w:before="60" w:line="360"/>
        <w:ind w:left="560"/>
      </w:pPr>
      <w:r>
        <w:rPr>
          <w:rFonts w:ascii="Times New Roman" w:cs="Times New Roman" w:eastAsia="Times New Roman" w:hAnsi="Times New Roman"/>
          <w:i/>
          <w:iCs/>
          <w:color w:val="555555"/>
          <w:sz w:val="24"/>
          <w:szCs w:val="24"/>
        </w:rPr>
        <w:t xml:space="preserve">Why it matters: The paper's claim that the efficiency improvement operates through an 'informational channel' rests primarily on Table 5, which shows that ForeignESG predicts analyst forecast accuracy, forecast dispersion, Amihud illiquidity, and PEAD — alongside voluntary ESG disclosure. However, these outcomes are not exclusive to the information production channel. Reduced Amihud illiquidity and improved analyst accuracy could equally arise from a monitoring channel (ESG-regulated investors pressuring management to disclose more promptly) or from a liquidity provision channel (ESG-regulated investors being larger, more diversified institutions that provide passive liquidity as a by-product of portfolio rebalancing). The authors acknowledge that the monitoring channel is a 'complement' but do not provide a convincing test that separates the two.</w:t>
      </w:r>
    </w:p>
    <w:p>
      <w:pPr>
        <w:spacing w:after="60" w:before="60" w:line="360"/>
        <w:ind w:left="560"/>
      </w:pPr>
      <w:r>
        <w:rPr>
          <w:rFonts w:ascii="Times New Roman" w:cs="Times New Roman" w:eastAsia="Times New Roman" w:hAnsi="Times New Roman"/>
          <w:i/>
          <w:iCs/>
          <w:color w:val="555555"/>
          <w:sz w:val="24"/>
          <w:szCs w:val="24"/>
        </w:rPr>
        <w:t xml:space="preserve">Suggested remedy: A cleaner mechanism test would exploit variation in the type of ESG regulation — specifically, the distinction between regulations that primarily mandate disclosure (information supply shock) versus regulations that primarily impose fiduciary duties on investors to integrate ESG factors into investment decisions (capability channel). If the information production channel dominates, we would expect stronger efficiency effects following investor-facing regulations (e.g., France's Article 173, UK Stewardship Code revisions) than following issuer-facing disclosure mandates alone. This heterogeneity test, if feasible given the regulatory coding already conducted, would substantially strengthen the mechanism argument.</w:t>
      </w:r>
    </w:p>
    <w:p>
      <w:pPr>
        <w:spacing w:after="60" w:before="160" w:line="360"/>
        <w:ind w:left="0"/>
      </w:pPr>
      <w:r>
        <w:rPr>
          <w:rFonts w:ascii="Times New Roman" w:cs="Times New Roman" w:eastAsia="Times New Roman" w:hAnsi="Times New Roman"/>
          <w:b/>
          <w:bCs/>
          <w:color w:val="1F3864"/>
          <w:sz w:val="24"/>
          <w:szCs w:val="24"/>
        </w:rPr>
        <w:t xml:space="preserve">5. </w:t>
      </w:r>
      <w:r>
        <w:rPr>
          <w:rFonts w:ascii="Times New Roman" w:cs="Times New Roman" w:eastAsia="Times New Roman" w:hAnsi="Times New Roman"/>
          <w:color w:val="2C2C2C"/>
          <w:sz w:val="24"/>
          <w:szCs w:val="24"/>
        </w:rPr>
        <w:t xml:space="preserve">Missing Engagement with the ESG Rating Divergence Literature.</w:t>
      </w:r>
    </w:p>
    <w:p>
      <w:pPr>
        <w:spacing w:after="60" w:before="60" w:line="360"/>
        <w:ind w:left="560"/>
      </w:pPr>
      <w:r>
        <w:rPr>
          <w:rFonts w:ascii="Times New Roman" w:cs="Times New Roman" w:eastAsia="Times New Roman" w:hAnsi="Times New Roman"/>
          <w:i/>
          <w:iCs/>
          <w:color w:val="555555"/>
          <w:sz w:val="24"/>
          <w:szCs w:val="24"/>
        </w:rPr>
        <w:t xml:space="preserve">Why it matters: The paper argues that ESG-regulated foreign investors improve price discovery by incorporating ESG-augmented valuations into their trading. This argument implicitly assumes that the ESG information these investors receive is reliable and consistent across providers. However, Berg, Koelbel, and Rigobon (2022, Management Science) document substantial divergence across ESG rating providers — correlations between major providers are often below 0.5 — and this divergence may systematically attenuate the information content of ESG-regulated investors' valuations. If ESG regulation mandates that investors use ESG data without standardising which provider's data they use, the informational benefit may be substantially lower than the paper claims. This is particularly important because the paper's ESGReg index measures regulatory stringency but does not capture the extent to which regulated investors receive a common versus idiosyncratic ESG signal.</w:t>
      </w:r>
    </w:p>
    <w:p>
      <w:pPr>
        <w:spacing w:after="60" w:before="60" w:line="360"/>
        <w:ind w:left="560"/>
      </w:pPr>
      <w:r>
        <w:rPr>
          <w:rFonts w:ascii="Times New Roman" w:cs="Times New Roman" w:eastAsia="Times New Roman" w:hAnsi="Times New Roman"/>
          <w:i/>
          <w:iCs/>
          <w:color w:val="555555"/>
          <w:sz w:val="24"/>
          <w:szCs w:val="24"/>
        </w:rPr>
        <w:t xml:space="preserve">Suggested remedy: The authors should engage with Berg et al. (2022) and the ESG rating divergence literature, ideally by constructing a country-year measure of ESG rating provider standardisation (e.g., whether a country's regulation mandates use of specific ESG frameworks such as GRI or TCFD) and interacting this with ForeignESG. The prediction would be that efficiency spillovers are larger when ESG regulation is accompanied by higher data standardisation — a testable and theoretically grounded hypothesis that would add materially to the paper's contribution.</w:t>
      </w:r>
    </w:p>
    <w:p>
      <w:pPr>
        <w:spacing w:after="0" w:before="200"/>
      </w:pPr>
    </w:p>
    <w:p>
      <w:pPr>
        <w:spacing w:after="120" w:before="280"/>
      </w:pPr>
      <w:r>
        <w:rPr>
          <w:rFonts w:ascii="Times New Roman" w:cs="Times New Roman" w:eastAsia="Times New Roman" w:hAnsi="Times New Roman"/>
          <w:b/>
          <w:bCs/>
          <w:caps/>
          <w:color w:val="1F3864"/>
          <w:sz w:val="28"/>
          <w:szCs w:val="28"/>
        </w:rPr>
        <w:t xml:space="preserve">V. Minor Concerns</w:t>
      </w:r>
    </w:p>
    <w:p>
      <w:pPr>
        <w:pBdr>
          <w:bottom w:val="single" w:color="1F3864" w:sz="4" w:space="1"/>
        </w:pBdr>
        <w:spacing w:after="60" w:before="60"/>
      </w:pPr>
    </w:p>
    <w:p>
      <w:pPr>
        <w:spacing w:after="40" w:before="80"/>
      </w:pPr>
    </w:p>
    <w:p>
      <w:pPr>
        <w:spacing w:after="60" w:before="160" w:line="360"/>
        <w:ind w:left="0"/>
      </w:pPr>
      <w:r>
        <w:rPr>
          <w:rFonts w:ascii="Times New Roman" w:cs="Times New Roman" w:eastAsia="Times New Roman" w:hAnsi="Times New Roman"/>
          <w:b/>
          <w:bCs/>
          <w:color w:val="1F3864"/>
          <w:sz w:val="24"/>
          <w:szCs w:val="24"/>
        </w:rPr>
        <w:t xml:space="preserve">1. </w:t>
      </w:r>
      <w:r>
        <w:rPr>
          <w:rFonts w:ascii="Times New Roman" w:cs="Times New Roman" w:eastAsia="Times New Roman" w:hAnsi="Times New Roman"/>
          <w:color w:val="2C2C2C"/>
          <w:sz w:val="24"/>
          <w:szCs w:val="24"/>
        </w:rPr>
        <w:t xml:space="preserve">Economic Magnitude Discussion is Selective. The paper reports efficiency improvements of 8–17% relative to sample means but does not translate these into economically interpretable units. For example, how does a 0.011 reduction in |VR−1| compare to the efficiency difference between a median US-listed firm and a median Indian-listed firm? Grounding the magnitude in a cross-country or cross-firm comparison benchmark would help readers calibrate the practical significance of the spillover.</w:t>
      </w:r>
    </w:p>
    <w:p>
      <w:pPr>
        <w:spacing w:after="60" w:before="160" w:line="360"/>
        <w:ind w:left="0"/>
      </w:pPr>
      <w:r>
        <w:rPr>
          <w:rFonts w:ascii="Times New Roman" w:cs="Times New Roman" w:eastAsia="Times New Roman" w:hAnsi="Times New Roman"/>
          <w:b/>
          <w:bCs/>
          <w:color w:val="1F3864"/>
          <w:sz w:val="24"/>
          <w:szCs w:val="24"/>
        </w:rPr>
        <w:t xml:space="preserve">2. </w:t>
      </w:r>
      <w:r>
        <w:rPr>
          <w:rFonts w:ascii="Times New Roman" w:cs="Times New Roman" w:eastAsia="Times New Roman" w:hAnsi="Times New Roman"/>
          <w:color w:val="2C2C2C"/>
          <w:sz w:val="24"/>
          <w:szCs w:val="24"/>
        </w:rPr>
        <w:t xml:space="preserve">Parallel Trends Evidence Should Be in the Main Text. The paper reports that 'pre-trend event-study plots (available in the Online Appendix) show no differential efficiency trends in the four years preceding regulatory adoption.' Given that parallel trends is the identifying assumption of the staggered DiD — the paper's primary identification strategy — the event-study coefficient plot should be presented in the main text, not the Online Appendix.</w:t>
      </w:r>
    </w:p>
    <w:p>
      <w:pPr>
        <w:spacing w:after="60" w:before="160" w:line="360"/>
        <w:ind w:left="0"/>
      </w:pPr>
      <w:r>
        <w:rPr>
          <w:rFonts w:ascii="Times New Roman" w:cs="Times New Roman" w:eastAsia="Times New Roman" w:hAnsi="Times New Roman"/>
          <w:b/>
          <w:bCs/>
          <w:color w:val="1F3864"/>
          <w:sz w:val="24"/>
          <w:szCs w:val="24"/>
        </w:rPr>
        <w:t xml:space="preserve">3. </w:t>
      </w:r>
      <w:r>
        <w:rPr>
          <w:rFonts w:ascii="Times New Roman" w:cs="Times New Roman" w:eastAsia="Times New Roman" w:hAnsi="Times New Roman"/>
          <w:color w:val="2C2C2C"/>
          <w:sz w:val="24"/>
          <w:szCs w:val="24"/>
        </w:rPr>
        <w:t xml:space="preserve">Financial Firm Exclusion Requires Justification. The authors exclude financial firms (SIC 6000–6999) on the grounds that 'price efficiency has a distinct microstructure and regulatory overlay.' While this is a defensible choice, financial firms — especially banks and insurance companies — are themselves important institutional investors in equity markets, and their own ESG regulatory environments (e.g., SFDR for European asset managers) may be directly relevant to the ForeignESG channel. A brief sensitivity check including financial sector firms would address this concern.</w:t>
      </w:r>
    </w:p>
    <w:p>
      <w:pPr>
        <w:spacing w:after="60" w:before="160" w:line="360"/>
        <w:ind w:left="0"/>
      </w:pPr>
      <w:r>
        <w:rPr>
          <w:rFonts w:ascii="Times New Roman" w:cs="Times New Roman" w:eastAsia="Times New Roman" w:hAnsi="Times New Roman"/>
          <w:b/>
          <w:bCs/>
          <w:color w:val="1F3864"/>
          <w:sz w:val="24"/>
          <w:szCs w:val="24"/>
        </w:rPr>
        <w:t xml:space="preserve">4. </w:t>
      </w:r>
      <w:r>
        <w:rPr>
          <w:rFonts w:ascii="Times New Roman" w:cs="Times New Roman" w:eastAsia="Times New Roman" w:hAnsi="Times New Roman"/>
          <w:color w:val="2C2C2C"/>
          <w:sz w:val="24"/>
          <w:szCs w:val="24"/>
        </w:rPr>
        <w:t xml:space="preserve">ESGReg Index Normalisation Creates Temporal Non-Comparability. The index is normalised to range from 0 to 10 'in any given year.' Year-specific normalisation means that the index value of a country in year t is not directly comparable to its value in year t+1 if the cross-country distribution changes. This is a potential source of spurious time-series variation in ForeignESG. The authors should clarify whether normalisation is cross-sectional (annual) or pooled (full sample), and report results using both approaches.</w:t>
      </w:r>
    </w:p>
    <w:p>
      <w:pPr>
        <w:spacing w:after="60" w:before="160" w:line="360"/>
        <w:ind w:left="0"/>
      </w:pPr>
      <w:r>
        <w:rPr>
          <w:rFonts w:ascii="Times New Roman" w:cs="Times New Roman" w:eastAsia="Times New Roman" w:hAnsi="Times New Roman"/>
          <w:b/>
          <w:bCs/>
          <w:color w:val="1F3864"/>
          <w:sz w:val="24"/>
          <w:szCs w:val="24"/>
        </w:rPr>
        <w:t xml:space="preserve">5. </w:t>
      </w:r>
      <w:r>
        <w:rPr>
          <w:rFonts w:ascii="Times New Roman" w:cs="Times New Roman" w:eastAsia="Times New Roman" w:hAnsi="Times New Roman"/>
          <w:color w:val="2C2C2C"/>
          <w:sz w:val="24"/>
          <w:szCs w:val="24"/>
        </w:rPr>
        <w:t xml:space="preserve">Table Notes Should Report Within-R² for Panel Specifications. Tables 2 and A3 report overall R² for specifications with firm fixed effects. Following standard practice in corporate finance panels, within-R² (variance explained after partialling out firm fixed effects) should be reported instead.</w:t>
      </w:r>
    </w:p>
    <w:p>
      <w:pPr>
        <w:spacing w:after="60" w:before="160" w:line="360"/>
        <w:ind w:left="0"/>
      </w:pPr>
      <w:r>
        <w:rPr>
          <w:rFonts w:ascii="Times New Roman" w:cs="Times New Roman" w:eastAsia="Times New Roman" w:hAnsi="Times New Roman"/>
          <w:b/>
          <w:bCs/>
          <w:color w:val="1F3864"/>
          <w:sz w:val="24"/>
          <w:szCs w:val="24"/>
        </w:rPr>
        <w:t xml:space="preserve">6. </w:t>
      </w:r>
      <w:r>
        <w:rPr>
          <w:rFonts w:ascii="Times New Roman" w:cs="Times New Roman" w:eastAsia="Times New Roman" w:hAnsi="Times New Roman"/>
          <w:color w:val="2C2C2C"/>
          <w:sz w:val="24"/>
          <w:szCs w:val="24"/>
        </w:rPr>
        <w:t xml:space="preserve">Citation Gap — Gormley and Matsa (2014) on OLS with Fixed Effects. The authors' use of high-dimensional fixed effects (firm, year, country×year) in large panels should cite Gormley and Matsa (2014, Journal of Financial Economics) on the appropriate use of 'absorbing' estimators vs. within-transformation in nonlinear settings. This is a minor methodological citation that reviewers at JFE will expect.</w:t>
      </w:r>
    </w:p>
    <w:p>
      <w:pPr>
        <w:spacing w:after="60" w:before="160" w:line="360"/>
        <w:ind w:left="0"/>
      </w:pPr>
      <w:r>
        <w:rPr>
          <w:rFonts w:ascii="Times New Roman" w:cs="Times New Roman" w:eastAsia="Times New Roman" w:hAnsi="Times New Roman"/>
          <w:b/>
          <w:bCs/>
          <w:color w:val="1F3864"/>
          <w:sz w:val="24"/>
          <w:szCs w:val="24"/>
        </w:rPr>
        <w:t xml:space="preserve">7. </w:t>
      </w:r>
      <w:r>
        <w:rPr>
          <w:rFonts w:ascii="Times New Roman" w:cs="Times New Roman" w:eastAsia="Times New Roman" w:hAnsi="Times New Roman"/>
          <w:color w:val="2C2C2C"/>
          <w:sz w:val="24"/>
          <w:szCs w:val="24"/>
        </w:rPr>
        <w:t xml:space="preserve">Kacperczyk and Seru (2012) Citation is Listed as Working Paper. The reference list cites Kacperczyk and Seru (2012) as a working paper. This paper was subsequently published in the Review of Finance (2012, 16(4)) — a minor but important correction for a JFE submission.</w:t>
      </w:r>
    </w:p>
    <w:p>
      <w:pPr>
        <w:spacing w:after="0" w:before="200"/>
      </w:pPr>
    </w:p>
    <w:p>
      <w:pPr>
        <w:spacing w:after="120" w:before="280"/>
      </w:pPr>
      <w:r>
        <w:rPr>
          <w:rFonts w:ascii="Times New Roman" w:cs="Times New Roman" w:eastAsia="Times New Roman" w:hAnsi="Times New Roman"/>
          <w:b/>
          <w:bCs/>
          <w:caps/>
          <w:color w:val="1F3864"/>
          <w:sz w:val="28"/>
          <w:szCs w:val="28"/>
        </w:rPr>
        <w:t xml:space="preserve">VI. Decision and Recommendation</w:t>
      </w:r>
    </w:p>
    <w:p>
      <w:pPr>
        <w:pBdr>
          <w:bottom w:val="single" w:color="1F3864" w:sz="4" w:space="1"/>
        </w:pBdr>
        <w:spacing w:after="60" w:before="60"/>
      </w:pP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3864" w:sz="12"/>
              <w:left w:val="single" w:color="1F3864" w:sz="12"/>
              <w:bottom w:val="single" w:color="1F3864" w:sz="12"/>
              <w:right w:val="single" w:color="1F3864" w:sz="12"/>
            </w:tcBorders>
            <w:shd w:fill="D6E4F0" w:val="clear"/>
            <w:tcMar>
              <w:top w:type="dxa" w:w="160"/>
              <w:left w:type="dxa" w:w="240"/>
              <w:bottom w:type="dxa" w:w="160"/>
              <w:right w:type="dxa" w:w="240"/>
            </w:tcMar>
          </w:tcPr>
          <w:p>
            <w:pPr>
              <w:jc w:val="center"/>
            </w:pPr>
            <w:r>
              <w:rPr>
                <w:rFonts w:ascii="Times New Roman" w:cs="Times New Roman" w:eastAsia="Times New Roman" w:hAnsi="Times New Roman"/>
                <w:b/>
                <w:bCs/>
                <w:color w:val="1F3864"/>
                <w:sz w:val="26"/>
                <w:szCs w:val="26"/>
              </w:rPr>
              <w:t xml:space="preserve">RECOMMENDATION: MAJOR REVISION</w:t>
            </w:r>
          </w:p>
        </w:tc>
      </w:tr>
    </w:tbl>
    <w:p>
      <w:pPr>
        <w:spacing w:after="80" w:before="160"/>
      </w:pPr>
    </w:p>
    <w:p>
      <w:pPr>
        <w:spacing w:after="80" w:before="80" w:line="360"/>
        <w:jc w:val="both"/>
      </w:pPr>
      <w:r>
        <w:rPr>
          <w:rFonts w:ascii="Times New Roman" w:cs="Times New Roman" w:eastAsia="Times New Roman" w:hAnsi="Times New Roman"/>
          <w:b w:val="false"/>
          <w:bCs w:val="false"/>
          <w:i w:val="false"/>
          <w:iCs w:val="false"/>
          <w:color w:val="2C2C2C"/>
          <w:sz w:val="24"/>
          <w:szCs w:val="24"/>
        </w:rPr>
        <w:t xml:space="preserve">This paper makes a genuinely novel and policy-relevant contribution to the literature on ESG regulation, international capital markets, and price discovery. The research question is well-motivated, the data assembly is impressive, and the authors have equipped the paper with an appropriately sophisticated identification toolkit. The finding that ESG regulatory environments in investor home countries generate cross-border informational spillovers to host-country equity market efficiency is both surprising and important.</w:t>
      </w:r>
    </w:p>
    <w:p>
      <w:pPr>
        <w:spacing w:after="80" w:before="80" w:line="360"/>
        <w:jc w:val="both"/>
      </w:pPr>
      <w:r>
        <w:rPr>
          <w:rFonts w:ascii="Times New Roman" w:cs="Times New Roman" w:eastAsia="Times New Roman" w:hAnsi="Times New Roman"/>
          <w:b w:val="false"/>
          <w:bCs w:val="false"/>
          <w:i w:val="false"/>
          <w:iCs w:val="false"/>
          <w:color w:val="2C2C2C"/>
          <w:sz w:val="24"/>
          <w:szCs w:val="24"/>
        </w:rPr>
        <w:t xml:space="preserve">However, the causal identification — which the paper correctly identifies as its central contribution — rests on three pillars each of which has a significant unresolved concern: the BIT instrument's exclusion restriction requires a more rigorous defence; the treatment definition in the staggered DiD is circular; and the ESGReg index's construction, reliability, and normalisation methodology need to be made fully transparent and robustness-tested. The mechanism tests, while suggestive, do not yet cleanly identify the information production channel. Resolution of Major Concerns 1–4 is required before I can recommend acceptance. Concerns 5–7 are minor and should be addressed in revision.</w:t>
      </w:r>
    </w:p>
    <w:p>
      <w:pPr>
        <w:spacing w:after="80" w:before="80" w:line="360"/>
        <w:jc w:val="both"/>
      </w:pPr>
      <w:r>
        <w:rPr>
          <w:rFonts w:ascii="Times New Roman" w:cs="Times New Roman" w:eastAsia="Times New Roman" w:hAnsi="Times New Roman"/>
          <w:b w:val="false"/>
          <w:bCs w:val="false"/>
          <w:i w:val="false"/>
          <w:iCs w:val="false"/>
          <w:color w:val="2C2C2C"/>
          <w:sz w:val="24"/>
          <w:szCs w:val="24"/>
        </w:rPr>
        <w:t xml:space="preserve">I am willing to re-review a revised manuscript and remain open to a favourable recommendation if the authors address these concerns with the same methodological rigour evident in the rest of the paper.</w:t>
      </w:r>
    </w:p>
    <w:p>
      <w:pPr>
        <w:spacing w:after="0" w:before="200"/>
      </w:pPr>
    </w:p>
    <w:p>
      <w:pPr>
        <w:pBdr>
          <w:bottom w:val="single" w:color="1F3864" w:sz="8" w:space="1"/>
        </w:pBdr>
        <w:spacing w:after="60" w:before="60"/>
      </w:pPr>
    </w:p>
    <w:p>
      <w:pPr>
        <w:spacing w:after="0" w:before="200"/>
      </w:pPr>
    </w:p>
    <w:p>
      <w:pPr>
        <w:spacing w:after="120" w:before="280"/>
      </w:pPr>
      <w:r>
        <w:rPr>
          <w:rFonts w:ascii="Times New Roman" w:cs="Times New Roman" w:eastAsia="Times New Roman" w:hAnsi="Times New Roman"/>
          <w:b/>
          <w:bCs/>
          <w:caps/>
          <w:color w:val="1F3864"/>
          <w:sz w:val="28"/>
          <w:szCs w:val="28"/>
        </w:rPr>
        <w:t xml:space="preserve">VII. Confidential Note to the Editor</w:t>
      </w:r>
    </w:p>
    <w:p>
      <w:pPr>
        <w:pBdr>
          <w:bottom w:val="single" w:color="1F3864" w:sz="4" w:space="1"/>
        </w:pBdr>
        <w:spacing w:after="60" w:before="60"/>
      </w:pPr>
    </w:p>
    <w:p>
      <w:pPr>
        <w:spacing w:after="80" w:before="120" w:line="360"/>
        <w:jc w:val="both"/>
      </w:pPr>
      <w:r>
        <w:rPr>
          <w:rFonts w:ascii="Times New Roman" w:cs="Times New Roman" w:eastAsia="Times New Roman" w:hAnsi="Times New Roman"/>
          <w:b w:val="false"/>
          <w:bCs w:val="false"/>
          <w:i/>
          <w:iCs/>
          <w:color w:val="555555"/>
          <w:sz w:val="24"/>
          <w:szCs w:val="24"/>
        </w:rPr>
        <w:t xml:space="preserve">This note is not for transmission to the authors.</w:t>
      </w:r>
    </w:p>
    <w:p>
      <w:pPr>
        <w:spacing w:after="80" w:before="80" w:line="360"/>
        <w:jc w:val="both"/>
      </w:pPr>
      <w:r>
        <w:rPr>
          <w:rFonts w:ascii="Times New Roman" w:cs="Times New Roman" w:eastAsia="Times New Roman" w:hAnsi="Times New Roman"/>
          <w:b w:val="false"/>
          <w:bCs w:val="false"/>
          <w:i w:val="false"/>
          <w:iCs w:val="false"/>
          <w:color w:val="2C2C2C"/>
          <w:sz w:val="24"/>
          <w:szCs w:val="24"/>
        </w:rPr>
        <w:t xml:space="preserve">The paper is a strong working paper that has the potential to make a genuine Tier 1 contribution upon revision. The research design is ambitious and the authors have made a serious attempt at causal identification. My primary concern in the editorial assessment is whether the ESGReg index — which is entirely proprietary and central to every result in the paper — can be validated against an external benchmark. I would encourage the editors to require the authors to share the full ESGReg dataset as an Online Appendix upon acceptance, which would enable subsequent researchers to build on and stress-test the findings. This is particularly important given the paper's stated policy implications for ISSB regulatory convergence.</w:t>
      </w:r>
    </w:p>
    <w:p>
      <w:pPr>
        <w:spacing w:after="80" w:before="80" w:line="360"/>
        <w:jc w:val="both"/>
      </w:pPr>
      <w:r>
        <w:rPr>
          <w:rFonts w:ascii="Times New Roman" w:cs="Times New Roman" w:eastAsia="Times New Roman" w:hAnsi="Times New Roman"/>
          <w:b w:val="false"/>
          <w:bCs w:val="false"/>
          <w:i w:val="false"/>
          <w:iCs w:val="false"/>
          <w:color w:val="2C2C2C"/>
          <w:sz w:val="24"/>
          <w:szCs w:val="24"/>
        </w:rPr>
        <w:t xml:space="preserve">I note no ethical concerns regarding the submission. There is no indication of duplicate submission or potential plagiarism.</w:t>
      </w:r>
    </w:p>
    <w:p>
      <w:pPr>
        <w:spacing w:after="0" w:before="200"/>
      </w:pPr>
    </w:p>
    <w:p>
      <w:pPr>
        <w:pBdr>
          <w:bottom w:val="single" w:color="C9A84C" w:sz="10" w:space="1"/>
        </w:pBdr>
        <w:spacing w:after="60" w:before="60"/>
      </w:pPr>
    </w:p>
    <w:p>
      <w:pPr>
        <w:spacing w:after="160" w:before="160" w:line="360"/>
        <w:jc w:val="center"/>
      </w:pPr>
      <w:r>
        <w:rPr>
          <w:rFonts w:ascii="Times New Roman" w:cs="Times New Roman" w:eastAsia="Times New Roman" w:hAnsi="Times New Roman"/>
          <w:b w:val="false"/>
          <w:bCs w:val="false"/>
          <w:i/>
          <w:iCs/>
          <w:color w:val="555555"/>
          <w:sz w:val="24"/>
          <w:szCs w:val="24"/>
        </w:rPr>
        <w:t xml:space="preserve">— End of Confidential Referee Report —</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3864" w:sz="4" w:space="1"/>
      </w:pBdr>
      <w:spacing w:before="80"/>
      <w:jc w:val="center"/>
    </w:pPr>
    <w:r>
      <w:rPr>
        <w:rFonts w:ascii="Times New Roman" w:cs="Times New Roman" w:eastAsia="Times New Roman" w:hAnsi="Times New Roman"/>
        <w:color w:val="555555"/>
        <w:sz w:val="18"/>
        <w:szCs w:val="18"/>
      </w:rPr>
      <w:t xml:space="preserve">Page </w:t>
    </w:r>
    <w:r>
      <w:rPr>
        <w:rFonts w:ascii="Times New Roman" w:cs="Times New Roman" w:eastAsia="Times New Roman" w:hAnsi="Times New Roman"/>
        <w:color w:val="555555"/>
        <w:sz w:val="18"/>
        <w:szCs w:val="18"/>
      </w:rPr>
      <w:fldChar w:fldCharType="begin"/>
      <w:instrText xml:space="preserve">PAGE</w:instrText>
      <w:fldChar w:fldCharType="separate"/>
      <w:fldChar w:fldCharType="end"/>
    </w:r>
    <w:r>
      <w:rPr>
        <w:rFonts w:ascii="Times New Roman" w:cs="Times New Roman" w:eastAsia="Times New Roman" w:hAnsi="Times New Roman"/>
        <w:color w:val="555555"/>
        <w:sz w:val="18"/>
        <w:szCs w:val="18"/>
      </w:rPr>
      <w:t xml:space="preserve"> of </w:t>
    </w:r>
    <w:r>
      <w:rPr>
        <w:rFonts w:ascii="Times New Roman" w:cs="Times New Roman" w:eastAsia="Times New Roman" w:hAnsi="Times New Roman"/>
        <w:color w:val="555555"/>
        <w:sz w:val="18"/>
        <w:szCs w:val="18"/>
      </w:rPr>
      <w:fldChar w:fldCharType="begin"/>
      <w:instrText xml:space="preserve">NUMPAGES</w:instrText>
      <w:fldChar w:fldCharType="separate"/>
      <w:fldChar w:fldCharType="end"/>
    </w:r>
    <w:r>
      <w:rPr>
        <w:rFonts w:ascii="Times New Roman" w:cs="Times New Roman" w:eastAsia="Times New Roman" w:hAnsi="Times New Roman"/>
        <w:i/>
        <w:iCs/>
        <w:color w:val="555555"/>
        <w:sz w:val="18"/>
        <w:szCs w:val="18"/>
      </w:rPr>
      <w:t xml:space="preserve">   —   Confidential: Not for distribution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6" w:space="1"/>
      </w:pBdr>
      <w:spacing w:after="120"/>
    </w:pPr>
    <w:r>
      <w:rPr>
        <w:rFonts w:ascii="Times New Roman" w:cs="Times New Roman" w:eastAsia="Times New Roman" w:hAnsi="Times New Roman"/>
        <w:b/>
        <w:bCs/>
        <w:color w:val="1F3864"/>
        <w:sz w:val="18"/>
        <w:szCs w:val="18"/>
      </w:rPr>
      <w:t xml:space="preserve">CONFIDENTIAL REFEREE REPORT  —  </w:t>
    </w:r>
    <w:r>
      <w:rPr>
        <w:rFonts w:ascii="Times New Roman" w:cs="Times New Roman" w:eastAsia="Times New Roman" w:hAnsi="Times New Roman"/>
        <w:i/>
        <w:iCs/>
        <w:color w:val="555555"/>
        <w:sz w:val="18"/>
        <w:szCs w:val="18"/>
      </w:rPr>
      <w:t xml:space="preserve">Journal of Financial Economics / Review of Financial Studies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2C2C2C"/>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2026-04-26T11:14:58.225Z</dcterms:created>
  <dcterms:modified xsi:type="dcterms:W3CDTF">2026-04-26T11:14:58.227Z</dcterms:modified>
</cp:coreProperties>
</file>

<file path=docProps/custom.xml><?xml version="1.0" encoding="utf-8"?>
<Properties xmlns="http://schemas.openxmlformats.org/officeDocument/2006/custom-properties" xmlns:vt="http://schemas.openxmlformats.org/officeDocument/2006/docPropsVTypes"/>
</file>