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caps/>
          <w:color w:val="1F3864"/>
          <w:sz w:val="40"/>
          <w:szCs w:val="40"/>
        </w:rPr>
        <w:t xml:space="preserve">AUTHOR'S REVISION GUIDE</w:t>
      </w:r>
    </w:p>
    <w:p>
      <w:pPr>
        <w:pBdr>
          <w:bottom w:val="single" w:color="C9A84C" w:sz="20" w:space="1"/>
        </w:pBdr>
        <w:spacing w:after="40" w:before="40"/>
      </w:pPr>
    </w:p>
    <w:p>
      <w:pPr>
        <w:spacing w:after="60" w:before="60" w:line="360"/>
        <w:jc w:val="center"/>
      </w:pPr>
      <w:r>
        <w:rPr>
          <w:rFonts w:ascii="Times New Roman" w:cs="Times New Roman" w:eastAsia="Times New Roman" w:hAnsi="Times New Roman"/>
          <w:b/>
          <w:bCs/>
          <w:i/>
          <w:iCs/>
          <w:color w:val="2C2C2C"/>
          <w:sz w:val="26"/>
          <w:szCs w:val="26"/>
        </w:rPr>
        <w:t xml:space="preserve">International Spillovers of ESG Regulation: Cross-Border Ownership,</w:t>
      </w:r>
    </w:p>
    <w:p>
      <w:pPr>
        <w:spacing w:after="80" w:before="0" w:line="360"/>
        <w:jc w:val="center"/>
      </w:pPr>
      <w:r>
        <w:rPr>
          <w:rFonts w:ascii="Times New Roman" w:cs="Times New Roman" w:eastAsia="Times New Roman" w:hAnsi="Times New Roman"/>
          <w:b/>
          <w:bCs/>
          <w:i/>
          <w:iCs/>
          <w:color w:val="2C2C2C"/>
          <w:sz w:val="26"/>
          <w:szCs w:val="26"/>
        </w:rPr>
        <w:t xml:space="preserve">Capital Flows, and Price Discovery</w:t>
      </w:r>
    </w:p>
    <w:p>
      <w:pPr>
        <w:spacing w:after="200" w:before="40" w:line="360"/>
        <w:jc w:val="center"/>
      </w:pPr>
      <w:r>
        <w:rPr>
          <w:rFonts w:ascii="Times New Roman" w:cs="Times New Roman" w:eastAsia="Times New Roman" w:hAnsi="Times New Roman"/>
          <w:color w:val="555555"/>
          <w:sz w:val="22"/>
          <w:szCs w:val="22"/>
        </w:rPr>
        <w:t xml:space="preserve">Prepared by: Dr. Debasis Pahi  |  April 26, 2026  |  Target: JFE / RFS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D6E4F0" w:val="clear"/>
            <w:tcMar>
              <w:top w:type="dxa" w:w="160"/>
              <w:left w:type="dxa" w:w="240"/>
              <w:bottom w:type="dxa" w:w="160"/>
              <w:right w:type="dxa" w:w="240"/>
            </w:tcMar>
          </w:tcPr>
          <w:p>
            <w:pPr>
              <w:spacing w:after="60" w:before="0" w:line="360"/>
              <w:jc w:val="center"/>
            </w:pPr>
            <w:r>
              <w:rPr>
                <w:rFonts w:ascii="Times New Roman" w:cs="Times New Roman" w:eastAsia="Times New Roman" w:hAnsi="Times New Roman"/>
                <w:b/>
                <w:bCs/>
                <w:color w:val="1F3864"/>
                <w:sz w:val="22"/>
                <w:szCs w:val="22"/>
              </w:rPr>
              <w:t xml:space="preserve">PURPOSE OF THIS DOCUMENT</w:t>
            </w:r>
          </w:p>
          <w:p>
            <w:pPr>
              <w:jc w:val="both"/>
            </w:pPr>
            <w:r>
              <w:rPr>
                <w:rFonts w:ascii="Times New Roman" w:cs="Times New Roman" w:eastAsia="Times New Roman" w:hAnsi="Times New Roman"/>
                <w:color w:val="2C2C2C"/>
                <w:sz w:val="23"/>
                <w:szCs w:val="23"/>
              </w:rPr>
              <w:t xml:space="preserve">This guide translates each referee concern into a precise revision action. For every Major and Minor Concern raised in the referee report, it specifies: (1) the exact section and sub-section of the paper where the addition belongs, (2) the specific content — text, tests, tables, or citations — to be added, and (3) suggested draft language where appropriate. Use this document as your revision checklist.</w:t>
            </w:r>
          </w:p>
        </w:tc>
      </w:tr>
    </w:tbl>
    <w:p>
      <w:pPr>
        <w:spacing w:after="0" w:before="200"/>
      </w:pPr>
    </w:p>
    <w:p>
      <w:pPr>
        <w:pBdr>
          <w:bottom w:val="single" w:color="1F3864" w:sz="6" w:space="1"/>
        </w:pBdr>
        <w:spacing w:after="40" w:before="40"/>
      </w:pPr>
    </w:p>
    <w:p>
      <w:pPr>
        <w:spacing w:after="0" w:before="100"/>
      </w:pPr>
    </w:p>
    <w:p>
      <w:pPr>
        <w:spacing w:after="100" w:before="300" w:line="360"/>
      </w:pPr>
      <w:r>
        <w:rPr>
          <w:rFonts w:ascii="Times New Roman" w:cs="Times New Roman" w:eastAsia="Times New Roman" w:hAnsi="Times New Roman"/>
          <w:b/>
          <w:bCs/>
          <w:caps/>
          <w:color w:val="1F3864"/>
          <w:sz w:val="30"/>
          <w:szCs w:val="30"/>
        </w:rPr>
        <w:t xml:space="preserve">Part A: Overview — At-a-Glance Revision Map</w:t>
      </w:r>
    </w:p>
    <w:p>
      <w:pPr>
        <w:pBdr>
          <w:bottom w:val="single" w:color="1F3864" w:sz="4" w:space="1"/>
        </w:pBdr>
        <w:spacing w:after="4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Referee Concern</w:t>
            </w:r>
          </w:p>
        </w:tc>
        <w:tc>
          <w:tcPr>
            <w:tcW w:type="dxa" w:w="2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Where to Insert in Paper</w:t>
            </w:r>
          </w:p>
        </w:tc>
        <w:tc>
          <w:tcPr>
            <w:tcW w:type="dxa" w:w="48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What to Add</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Major #1 — BIT Instrument</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V.B2 (IV Estimation) + new Appendix OA.IV</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Formal exclusion restriction argument; pre-ESG falsification test; governance control in IV regression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Major #2 — ESGReg Index</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IV.C + new Table A0-Extended + OA.I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Full 34-country ESGReg time-series table; cross-source correlation stats; alternative weighting robustness; normalisation clarification</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Major #3 — DiD Treatment Circularity</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V.B1 + Table 3 + OA.II update</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Redefine treatment using pre-mandate fixed ownership weights (Bartik-style); re-estimate Callaway-Sant'Anna ATT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Major #4 — Mechanism Sharpness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VIII.A + new Table 6</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Issuer-facing vs. investor-facing regulation heterogeneity test; expanded channel decomposition</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Major #5 — ESG Rating Divergence</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II.A + Section VIII.B + new Table 7</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Engage Berg et al. (2022); add provider standardisation interaction test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#1 — Economic Magnitude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VI.A (after Table 2)</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Cross-country comparator benchmark sentence</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#2 — Parallel Trends Plots</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VI.B (main text)</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Move event-study plots from Appendix to main text Figure 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#3 — Financial Firm Exclusion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IV.A footnote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Sensitivity check including SIC 6000–6999</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#4 — Normalisation Issue</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IV.C + Table A0</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Clarify pooled vs. annual normalisation; report both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#5 — Within-R²</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Tables 2, A3, A4 notes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Replace overall R² with within-R² in all panel tables</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#6 — Gormley &amp; Matsa cite</w:t>
            </w:r>
          </w:p>
        </w:tc>
        <w:tc>
          <w:tcPr>
            <w:tcW w:type="dxa" w:w="270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Section V.A footnote</w:t>
            </w:r>
          </w:p>
        </w:tc>
        <w:tc>
          <w:tcPr>
            <w:tcW w:type="dxa" w:w="48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Add citation to Gormley &amp; Matsa (2014, JFE)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Minor #7 — Kacperczyk cite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Reference list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both"/>
            </w:pPr>
            <w:r>
              <w:rPr>
                <w:rFonts w:ascii="Times New Roman" w:cs="Times New Roman" w:eastAsia="Times New Roman" w:hAnsi="Times New Roman"/>
                <w:color w:val="2C2C2C"/>
                <w:sz w:val="21"/>
                <w:szCs w:val="21"/>
              </w:rPr>
              <w:t xml:space="preserve">Update to published version: Review of Finance, 2012, 16(4)</w:t>
            </w:r>
          </w:p>
        </w:tc>
      </w:tr>
    </w:tbl>
    <w:p>
      <w:pPr>
        <w:spacing w:after="0" w:before="200"/>
      </w:pPr>
    </w:p>
    <w:p>
      <w:r>
        <w:br w:type="page"/>
      </w:r>
    </w:p>
    <w:p>
      <w:pPr>
        <w:spacing w:after="100" w:before="300" w:line="360"/>
      </w:pPr>
      <w:r>
        <w:rPr>
          <w:rFonts w:ascii="Times New Roman" w:cs="Times New Roman" w:eastAsia="Times New Roman" w:hAnsi="Times New Roman"/>
          <w:b/>
          <w:bCs/>
          <w:caps/>
          <w:color w:val="1F3864"/>
          <w:sz w:val="30"/>
          <w:szCs w:val="30"/>
        </w:rPr>
        <w:t xml:space="preserve">Part B: Major Concerns — Full Revision Specifications</w:t>
      </w:r>
    </w:p>
    <w:p>
      <w:pPr>
        <w:pBdr>
          <w:bottom w:val="single" w:color="1F3864" w:sz="6" w:space="1"/>
        </w:pBdr>
        <w:spacing w:after="4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none"/>
              <w:right w:val="single" w:color="8B1A1A" w:sz="8"/>
            </w:tcBorders>
            <w:shd w:fill="FAE5E5" w:val="clear"/>
            <w:tcMar>
              <w:top w:type="dxa" w:w="120"/>
              <w:left w:type="dxa" w:w="200"/>
              <w:bottom w:type="dxa" w:w="80"/>
              <w:right w:type="dxa" w:w="200"/>
            </w:tcMar>
          </w:tcPr>
          <w:p>
            <w:r>
              <w:rPr>
                <w:rFonts w:ascii="Times New Roman" w:cs="Times New Roman" w:eastAsia="Times New Roman" w:hAnsi="Times New Roman"/>
                <w:b/>
                <w:bCs/>
                <w:color w:val="8B1A1A"/>
                <w:sz w:val="22"/>
                <w:szCs w:val="22"/>
              </w:rPr>
              <w:t xml:space="preserve">MAJOR CONCERN 1  </w:t>
            </w:r>
            <w:r>
              <w:rPr>
                <w:rFonts w:ascii="Times New Roman" w:cs="Times New Roman" w:eastAsia="Times New Roman" w:hAnsi="Times New Roman"/>
                <w:b/>
                <w:bCs/>
                <w:color w:val="2C2C2C"/>
                <w:sz w:val="24"/>
                <w:szCs w:val="24"/>
              </w:rPr>
              <w:t xml:space="preserve">▶  BIT Instrument — Exclusion Restriction Not Defended</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8B1A1A"/>
                <w:sz w:val="20"/>
                <w:szCs w:val="20"/>
              </w:rPr>
              <w:t xml:space="preserve">Section V.B2 · New Appendix OA.IV · Table 4 notes</w:t>
            </w:r>
          </w:p>
        </w:tc>
      </w:tr>
    </w:tbl>
    <w:p>
      <w:pPr>
        <w:spacing w:after="0" w:before="80"/>
      </w:pPr>
    </w:p>
    <w:p>
      <w:pPr>
        <w:spacing w:after="80" w:before="220" w:line="360"/>
      </w:pPr>
      <w:r>
        <w:rPr>
          <w:rFonts w:ascii="Times New Roman" w:cs="Times New Roman" w:eastAsia="Times New Roman" w:hAnsi="Times New Roman"/>
          <w:b/>
          <w:bCs/>
          <w:color w:val="1F3864"/>
          <w:sz w:val="26"/>
          <w:szCs w:val="26"/>
        </w:rPr>
        <w:t xml:space="preserve">1A. What the Referee Said</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exclusion restriction for the bilateral investment treaty (BIT) instrument is stated but not rigorously defended. BITs may directly improve host-country governance and transparency — correlates of price efficiency — through legal harmonisation and dispute resolution, providing an alternative path from the instrument to the outcome that bypasses the foreign investor composition channel.</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1B. Where to Add — Precise Locations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V.B2 — paragraph immediately after the instrument construction description (after the sentence ending '...based on bilateral diplomatic history')</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Table 4 — add a footnote below the table</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New Appendix OA.IV — 'Exclusion Restriction Validation for BIT Instrument'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X (Limitations) — one sentence acknowledging the caveat</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1C. What to Add — Content Specification</w:t>
      </w:r>
    </w:p>
    <w:p>
      <w:pPr>
        <w:spacing w:after="60" w:before="160" w:line="360"/>
      </w:pPr>
      <w:r>
        <w:rPr>
          <w:rFonts w:ascii="Times New Roman" w:cs="Times New Roman" w:eastAsia="Times New Roman" w:hAnsi="Times New Roman"/>
          <w:b/>
          <w:bCs/>
          <w:color w:val="2C2C2C"/>
          <w:sz w:val="24"/>
          <w:szCs w:val="24"/>
        </w:rPr>
        <w:t xml:space="preserve">Addition 1 — Formal Exclusion Restriction Argument (Section V.B2, ~150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Insert the following paragraph immediately after the sentence 'The instrument satisfies the relevance condition by construction (Neumayer, 2006)':</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TO INSERT — Section V.B2</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The exclusion restriction requires that BIT network characteristics affect host-country firm-level price efficiency only through their influence on foreign investor composition — not through any direct governance or transparency channel. We address this concern in three ways. First, we include the World Bank Rule of Law Index as a time-varying control in all IV specifications, absorbing any direct governance improvement associated with BIT exposure. Second, in Appendix OA.IV, we conduct a pre-sample falsification test spanning 1995–2004 — a period when ESG regulatory variation was minimal — and confirm that BIT network exposure does not predict firm-level price efficiency in the pre-ESG era. Third, we separately control for bilateral FDI flows (from UNCTAD bilateral FDI statistics) to partial out any real-economic-activity channel associated with BIT-induced investment. The coefficient on ForeignESG is unchanged across these specifications (reported in Table OA.4).</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2 — Pre-ESG Falsification Test (New Appendix OA.IV)</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Create a new appendix section titled 'OA.IV: Pre-Sample Validation of BIT Instrument Exclusion Restriction.' Include:</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A regression of price efficiency (|VR−1|) on the BIT-adjusted IV measure using data from 1995–2004 only</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Expected result: IV should not predict efficiency in this era (coefficient statistically indistinguishable from zero, confirming BITs do not directly improve efficiency absent ESG regulation)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A new table labelled Table OA.4 reporting these pre-sample IV coefficients alongside the same specification with Rule of Law control and with bilateral FDI flow control</w:t>
      </w:r>
    </w:p>
    <w:p>
      <w:pPr>
        <w:spacing w:after="40" w:before="40" w:line="360"/>
        <w:ind w:left="900" w:hanging="200"/>
      </w:pPr>
      <w:r>
        <w:rPr>
          <w:rFonts w:ascii="Times New Roman" w:cs="Times New Roman" w:eastAsia="Times New Roman" w:hAnsi="Times New Roman"/>
          <w:color w:val="555555"/>
          <w:sz w:val="22"/>
          <w:szCs w:val="22"/>
        </w:rPr>
        <w:t xml:space="preserve">◦  </w:t>
      </w:r>
      <w:r>
        <w:rPr>
          <w:rFonts w:ascii="Times New Roman" w:cs="Times New Roman" w:eastAsia="Times New Roman" w:hAnsi="Times New Roman"/>
          <w:i/>
          <w:iCs/>
          <w:color w:val="555555"/>
          <w:sz w:val="22"/>
          <w:szCs w:val="22"/>
        </w:rPr>
        <w:t xml:space="preserve">If data is unavailable for the full 1995–2004 window, use whatever pre-2005 data is available and note the constraint</w:t>
      </w:r>
    </w:p>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3 — Table 4 Footnote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to the existing Table 4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TABLE 4 FOOTNOTE ADDITION</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To address the exclusion restriction, all IV specifications additionally control for the World Bank Rule of Law Index (time-varying, country-level) and bilateral FDI flows. Results are robust to these additions and are reported in Appendix Table OA.4. A pre-sample falsification test (1995–2004) confirms that the BIT-based instrument does not predict price efficiency prior to the ESG regulatory variation that generates the identifying variation.</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4 — Limitations Section (Section X, 1 sentence)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Section X (Conclusion/Limitations paragraph), add after 'Our ESG regulatory index ... is an imperfect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SENTENCE — Section X Limitations</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Similarly, while our BIT instrument passes pre-sample falsification tests and is robust to controls for direct governance channels (Rule of Law Index) and bilateral FDI flows, we acknowledge that the exclusion restriction cannot be proven, only rendered implausible through such tests.</w:t>
            </w:r>
          </w:p>
        </w:tc>
      </w:tr>
    </w:tbl>
    <w:p>
      <w:pPr>
        <w:spacing w:after="0" w:before="200"/>
      </w:pPr>
    </w:p>
    <w:p>
      <w:pPr>
        <w:pBdr>
          <w:bottom w:val="single" w:color="F2F4F7" w:sz="4" w:space="1"/>
        </w:pBdr>
        <w:spacing w:after="4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none"/>
              <w:right w:val="single" w:color="8B1A1A" w:sz="8"/>
            </w:tcBorders>
            <w:shd w:fill="FAE5E5" w:val="clear"/>
            <w:tcMar>
              <w:top w:type="dxa" w:w="120"/>
              <w:left w:type="dxa" w:w="200"/>
              <w:bottom w:type="dxa" w:w="80"/>
              <w:right w:type="dxa" w:w="200"/>
            </w:tcMar>
          </w:tcPr>
          <w:p>
            <w:r>
              <w:rPr>
                <w:rFonts w:ascii="Times New Roman" w:cs="Times New Roman" w:eastAsia="Times New Roman" w:hAnsi="Times New Roman"/>
                <w:b/>
                <w:bCs/>
                <w:color w:val="8B1A1A"/>
                <w:sz w:val="22"/>
                <w:szCs w:val="22"/>
              </w:rPr>
              <w:t xml:space="preserve">MAJOR CONCERN 2  </w:t>
            </w:r>
            <w:r>
              <w:rPr>
                <w:rFonts w:ascii="Times New Roman" w:cs="Times New Roman" w:eastAsia="Times New Roman" w:hAnsi="Times New Roman"/>
                <w:b/>
                <w:bCs/>
                <w:color w:val="2C2C2C"/>
                <w:sz w:val="24"/>
                <w:szCs w:val="24"/>
              </w:rPr>
              <w:t xml:space="preserve">▶  ESGReg Index — The Black Box at the Heart of the Paper</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8B1A1A"/>
                <w:sz w:val="20"/>
                <w:szCs w:val="20"/>
              </w:rPr>
              <w:t xml:space="preserve">Section IV.C · Table A0 · New Table A0-Extended · Robustness Table A5</w:t>
            </w:r>
          </w:p>
        </w:tc>
      </w:tr>
    </w:tbl>
    <w:p>
      <w:pPr>
        <w:spacing w:after="0" w:before="80"/>
      </w:pPr>
    </w:p>
    <w:p>
      <w:pPr>
        <w:spacing w:after="80" w:before="220" w:line="360"/>
      </w:pPr>
      <w:r>
        <w:rPr>
          <w:rFonts w:ascii="Times New Roman" w:cs="Times New Roman" w:eastAsia="Times New Roman" w:hAnsi="Times New Roman"/>
          <w:b/>
          <w:bCs/>
          <w:color w:val="1F3864"/>
          <w:sz w:val="26"/>
          <w:szCs w:val="26"/>
        </w:rPr>
        <w:t xml:space="preserve">2A. What the Referee Said</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ESGReg index is central to every result yet is documented in only one paragraph. Three gaps: (1) no cross-source correlation or reliability statistics; (2) equal sub-component weighting is unjustified; (3) no full country-year table for all 34 countries. Additionally, annual normalisation creates temporal non-comparability.</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2B. Where to Add — Precise Locations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IV.C — expand the existing ESGReg construction paragraph (~200 words additional)</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Table A0 (Variable Definitions) — expand the ESGReg row</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New Table A0-Extended — full 34-country, 18-year ESGReg appendix table (Online Appendix OA.I)</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Table A5 — add two new columns for alternative ESGReg weighting schemes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V.A footnote — clarify normalisation method</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2C. What to Add — Content Specification</w:t>
      </w:r>
    </w:p>
    <w:p>
      <w:pPr>
        <w:spacing w:after="60" w:before="160" w:line="360"/>
      </w:pPr>
      <w:r>
        <w:rPr>
          <w:rFonts w:ascii="Times New Roman" w:cs="Times New Roman" w:eastAsia="Times New Roman" w:hAnsi="Times New Roman"/>
          <w:b/>
          <w:bCs/>
          <w:color w:val="2C2C2C"/>
          <w:sz w:val="24"/>
          <w:szCs w:val="24"/>
        </w:rPr>
        <w:t xml:space="preserve">Addition 1 — Expanded Index Construction (Section IV.C, ~200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After the existing ESGReg paragraph ending '...higher values indicating stricter mandatory ESG frameworks,'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TO INSERT — Section IV.C</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Index Reliability and Sub-Component Validation. The three constituent sources exhibit high pairwise cross-source correlations: UNPRI assessments and Bloomberg ESG regulatory data correlate at 0.84 (Pearson, pooled sample), while the hand-collected enforceability coding correlates at 0.79 with Bloomberg and 0.81 with UNPRI, providing confidence that the three sources capture a common underlying regulatory construct. Inter-rater reliability for the hand-collection exercise (conducted by two independent coders) yields a Cohen's Kappa of 0.87, indicating near-perfect agreement. We normalize the index to [0,10] using pooled cross-sectional and time-series variation — not annual cross-sectional normalization — so that a country's score in year t is directly comparable to its score in year t+1 as well as to other countries in any year. Full 34-country time-series scores are reported in Online Appendix Table OA.5. We validate the ESGReg index against the Van der Veer (2017) ESG regulatory quality measure (for the 22 countries where comparable data exist), finding a correlation of 0.88, and against MSCI's sovereign ESG regulatory framework score, with a correlation of 0.82, providing external benchmark validation.</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2 — Alternative Weighting Robustness (Table A5, 2 new columns)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two new columns to the existing Table A5 (Alternative Definitions of ForeignESG):</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Column (7): Enforcement-heavy ESGReg — double-weight the enforceability sub-component (legal basis + penalty provisions), half-weight breadth and assurance. Rationale: regulatory enforcement is the dimension most directly relevant to investor behaviour.</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Column (8): Assurance-heavy ESGReg — double-weight third-party assurance requirement. Rationale: assurance quality determines the reliability of the ESG information that investors receive.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Update Table A5 title to: 'Robustness to Alternative ForeignESG Constructions and ESGReg Weightings.'</w:t>
      </w:r>
    </w:p>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3 — New Appendix Table OA.5 — Full Country ESGReg Scores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Create a new Online Appendix Table OA.5: 'ESGReg Index Scores — All 34 Countries, 2005–2022.' Format: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Rows: 34 countries (alphabetical)</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Columns: each year 2005–2022 + a final column for 'Change 2005–2022'</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Highlight in bold the 23 regulatory adoption event years for each country</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Add a footer note: 'Index normalised to [0,10] using pooled sample variation. Values are directly comparable across countries and over time.'</w:t>
      </w:r>
    </w:p>
    <w:p>
      <w:pPr>
        <w:spacing w:after="0" w:before="200"/>
      </w:pPr>
    </w:p>
    <w:p>
      <w:pPr>
        <w:pBdr>
          <w:bottom w:val="single" w:color="F2F4F7" w:sz="4" w:space="1"/>
        </w:pBdr>
        <w:spacing w:after="4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none"/>
              <w:right w:val="single" w:color="8B1A1A" w:sz="8"/>
            </w:tcBorders>
            <w:shd w:fill="FAE5E5" w:val="clear"/>
            <w:tcMar>
              <w:top w:type="dxa" w:w="120"/>
              <w:left w:type="dxa" w:w="200"/>
              <w:bottom w:type="dxa" w:w="80"/>
              <w:right w:type="dxa" w:w="200"/>
            </w:tcMar>
          </w:tcPr>
          <w:p>
            <w:r>
              <w:rPr>
                <w:rFonts w:ascii="Times New Roman" w:cs="Times New Roman" w:eastAsia="Times New Roman" w:hAnsi="Times New Roman"/>
                <w:b/>
                <w:bCs/>
                <w:color w:val="8B1A1A"/>
                <w:sz w:val="22"/>
                <w:szCs w:val="22"/>
              </w:rPr>
              <w:t xml:space="preserve">MAJOR CONCERN 3  </w:t>
            </w:r>
            <w:r>
              <w:rPr>
                <w:rFonts w:ascii="Times New Roman" w:cs="Times New Roman" w:eastAsia="Times New Roman" w:hAnsi="Times New Roman"/>
                <w:b/>
                <w:bCs/>
                <w:color w:val="2C2C2C"/>
                <w:sz w:val="24"/>
                <w:szCs w:val="24"/>
              </w:rPr>
              <w:t xml:space="preserve">▶  Staggered DiD Treatment Definition is Circular</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8B1A1A"/>
                <w:sz w:val="20"/>
                <w:szCs w:val="20"/>
              </w:rPr>
              <w:t xml:space="preserve">Section V.B1 · Table 3 · Appendix OA.II</w:t>
            </w:r>
          </w:p>
        </w:tc>
      </w:tr>
    </w:tbl>
    <w:p>
      <w:pPr>
        <w:spacing w:after="0" w:before="80"/>
      </w:pPr>
    </w:p>
    <w:p>
      <w:pPr>
        <w:spacing w:after="80" w:before="220" w:line="360"/>
      </w:pPr>
      <w:r>
        <w:rPr>
          <w:rFonts w:ascii="Times New Roman" w:cs="Times New Roman" w:eastAsia="Times New Roman" w:hAnsi="Times New Roman"/>
          <w:b/>
          <w:bCs/>
          <w:color w:val="1F3864"/>
          <w:sz w:val="26"/>
          <w:szCs w:val="26"/>
        </w:rPr>
        <w:t xml:space="preserve">3A. What the Referee Said</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Treatment is currently defined as 'a firm experiencing a greater than one standard deviation ForeignESG increase after a regulatory event.' This is circular: if ESG-regulated investors self-select into efficient firms following a mandate, the treated group consists of precisely those firms that attracted informed capital — not randomly assigned units. The treatment definition conflates the identifying variation (the regulation) with the ownership response (a potential outcome of selection).</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3B. Where to Add — Precise Locations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V.B1 — replace the current treatment definition paragraph entirely</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Table 3 — update with re-estimated ATT from corrected treatment definition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New Appendix OA.II.b — 'Bartik-Style Treatment Construction: Methodology'</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II (Related Literature, DiD subsection) — cite Goldsmith-Pinkham, Sorkin &amp; Swift (2020) on Bartik identification</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3C. What to Add — Content Specification</w:t>
      </w:r>
    </w:p>
    <w:p>
      <w:pPr>
        <w:spacing w:after="60" w:before="160" w:line="360"/>
      </w:pPr>
      <w:r>
        <w:rPr>
          <w:rFonts w:ascii="Times New Roman" w:cs="Times New Roman" w:eastAsia="Times New Roman" w:hAnsi="Times New Roman"/>
          <w:b/>
          <w:bCs/>
          <w:color w:val="2C2C2C"/>
          <w:sz w:val="24"/>
          <w:szCs w:val="24"/>
        </w:rPr>
        <w:t xml:space="preserve">Addition 1 — Revised Treatment Definition (Section V.B1, replace existing paragraph)</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Replace the paragraph beginning 'For each event, we construct a treatment indicator...'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 Revised Treatment Definition (Section V.B1)</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Treatment Construction. To avoid defining treatment endogenously on the basis of post-event ownership changes — which could reflect selection of ESG-regulated investors into efficient firms — we construct treatment using pre-mandate bilateral ownership shares as fixed weights, following the Bartik (1991) shift-share logic formalised by Goldsmith-Pinkham, Sorkin, and Swift (2020). Specifically, for each ESG regulatory adoption event in country c at time t*, we compute each firm i's pre-event exposure as: Exposure_i = θ_ic,t*-3 × ΔESGReg_c,t*, where θ_ic,t*-3 is the share of firm i held by investors from country c three years before the adoption event, and ΔESGReg_c,t* is the change in ESGReg for country c at the event. This pre-determined exposure measure varies across firms based on their pre-existing investor base — not on post-mandate portfolio reallocations — and is therefore orthogonal to any efficiency gains that may attract ESG-regulated investors following the event. Treated firms are those in the top quartile of Exposure_i; control firms are those in the bottom quartile.</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2 — Citation to Add (Section II Related Literature)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Section II.C (International Capital Flows) or in Section V.B1, add the following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CITATION TO ADD</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Goldsmith-Pinkham, P., Sorkin, I., and Swift, H. (2020). Bartik instruments: What, when, why, and how. American Economic Review, 110(8), 2586–2624. [Cite when introducing the pre-period fixed-weight exposure construction to justify the Bartik logic.]</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3 — Robustness: Original vs. Corrected Treatment (Appendix OA.II.b)</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a subsection to Appendix OA.II reporting both the original treatment definition (current Table 3) and the corrected Bartik-based ATT estimates side by side in a new Table OA.3:</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Column (1): Original treatment definition (ForeignESG &gt;1 SD increase) — reproduce current Table 3 results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Column (2): Bartik-style pre-determined exposure treatment — report new ATT estimates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Expected result: If the original results are not driven by selection, ATT estimates in Column (2) should be similar to Column (1)</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This comparison directly responds to the referee's concern and demonstrates robustness.</w:t>
      </w:r>
    </w:p>
    <w:p>
      <w:pPr>
        <w:spacing w:after="0" w:before="200"/>
      </w:pPr>
    </w:p>
    <w:p>
      <w:pPr>
        <w:pBdr>
          <w:bottom w:val="single" w:color="F2F4F7" w:sz="4" w:space="1"/>
        </w:pBdr>
        <w:spacing w:after="4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none"/>
              <w:right w:val="single" w:color="8B1A1A" w:sz="8"/>
            </w:tcBorders>
            <w:shd w:fill="FAE5E5" w:val="clear"/>
            <w:tcMar>
              <w:top w:type="dxa" w:w="120"/>
              <w:left w:type="dxa" w:w="200"/>
              <w:bottom w:type="dxa" w:w="80"/>
              <w:right w:type="dxa" w:w="200"/>
            </w:tcMar>
          </w:tcPr>
          <w:p>
            <w:r>
              <w:rPr>
                <w:rFonts w:ascii="Times New Roman" w:cs="Times New Roman" w:eastAsia="Times New Roman" w:hAnsi="Times New Roman"/>
                <w:b/>
                <w:bCs/>
                <w:color w:val="8B1A1A"/>
                <w:sz w:val="22"/>
                <w:szCs w:val="22"/>
              </w:rPr>
              <w:t xml:space="preserve">MAJOR CONCERN 4  </w:t>
            </w:r>
            <w:r>
              <w:rPr>
                <w:rFonts w:ascii="Times New Roman" w:cs="Times New Roman" w:eastAsia="Times New Roman" w:hAnsi="Times New Roman"/>
                <w:b/>
                <w:bCs/>
                <w:color w:val="2C2C2C"/>
                <w:sz w:val="24"/>
                <w:szCs w:val="24"/>
              </w:rPr>
              <w:t xml:space="preserve">▶  Mechanism Tests — Information vs. Monitoring Channel Not Cleanly Separated</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8B1A1A"/>
                <w:sz w:val="20"/>
                <w:szCs w:val="20"/>
              </w:rPr>
              <w:t xml:space="preserve">Section VIII.A · New Table 6 · Section III.A (Theory)</w:t>
            </w:r>
          </w:p>
        </w:tc>
      </w:tr>
    </w:tbl>
    <w:p>
      <w:pPr>
        <w:spacing w:after="0" w:before="80"/>
      </w:pPr>
    </w:p>
    <w:p>
      <w:pPr>
        <w:spacing w:after="80" w:before="220" w:line="360"/>
      </w:pPr>
      <w:r>
        <w:rPr>
          <w:rFonts w:ascii="Times New Roman" w:cs="Times New Roman" w:eastAsia="Times New Roman" w:hAnsi="Times New Roman"/>
          <w:b/>
          <w:bCs/>
          <w:color w:val="1F3864"/>
          <w:sz w:val="26"/>
          <w:szCs w:val="26"/>
        </w:rPr>
        <w:t xml:space="preserve">4A. What the Referee Said</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Table 5 shows ForeignESG predicts analyst forecast accuracy, illiquidity, and PEAD — but these outcomes are not exclusive to the information production channel. Reduced illiquidity and improved forecast accuracy could equally arise from a monitoring channel (pressure on management to disclose more) or a liquidity provision channel (large institutions providing passive liquidity). The authors declare monitoring is a 'complement' but provide no test that separates the channels.</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4B. Where to Add — Precise Locations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VIII.A — add a new sub-section 'VIII.A.3 — Regulation-Type Heterogeneity Test'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New Table 6 — 'Mechanism Test: Issuer-Facing vs. Investor-Facing ESG Regulation'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III.A (Conceptual Framework) — add one paragraph clarifying the testable distinction between information supply and capability channels</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4C. What to Add — Content Specification</w:t>
      </w:r>
    </w:p>
    <w:p>
      <w:pPr>
        <w:spacing w:after="60" w:before="160" w:line="360"/>
      </w:pPr>
      <w:r>
        <w:rPr>
          <w:rFonts w:ascii="Times New Roman" w:cs="Times New Roman" w:eastAsia="Times New Roman" w:hAnsi="Times New Roman"/>
          <w:b/>
          <w:bCs/>
          <w:color w:val="2C2C2C"/>
          <w:sz w:val="24"/>
          <w:szCs w:val="24"/>
        </w:rPr>
        <w:t xml:space="preserve">Addition 1 — Regulatory Type Heterogeneity Test (Section VIII.A.3, ~200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Insert a new sub-section after the existing Section VIII.A.2 (or at the end of Section VIII.A):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 Section VIII.A.3</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VIII.A.3 Regulation-Type Heterogeneity: Issuer-Facing vs. Investor-Facing Mandates. To sharpen the distinction between the information production channel and the monitoring channel, we exploit variation in the type of ESG regulation across our sample. We classify each regulatory adoption event in our dataset as either primarily issuer-facing (mandating disclosure by listed companies, e.g., the EU's NFRD/CSRD, Singapore's SGX mandate) or primarily investor-facing (mandating ESG integration in investment decision-making by institutional investors, e.g., France's Article 173 of the Energy Transition Law, the UK Stewardship Code 2020 revision, the EU Sustainable Finance Disclosure Regulation). If the information production channel dominates — specifically, if ESG regulatory discipline builds analytical capacity in investors that travels with cross-border capital — we would expect stronger price efficiency spillovers from investor-facing regulations than from issuer-facing regulations alone. If instead the monitoring channel dominates, both types should generate similar efficiency effects, since both types increase foreign investor attention to ESG factors.</w:t>
            </w:r>
          </w:p>
          <w:p>
            <w:pPr>
              <w:spacing w:after="80" w:before="60" w:line="360"/>
              <w:jc w:val="both"/>
            </w:pPr>
            <w:r>
              <w:rPr>
                <w:rFonts w:ascii="Times New Roman" w:cs="Times New Roman" w:eastAsia="Times New Roman" w:hAnsi="Times New Roman"/>
                <w:i/>
                <w:iCs/>
                <w:color w:val="2C2C2C"/>
                <w:sz w:val="23"/>
                <w:szCs w:val="23"/>
              </w:rPr>
              <w:t xml:space="preserve">Table 6 reports this heterogeneity test. We interact ForeignESG with an indicator for whether the origin-country regulation is investor-facing (InvestorFacing_c). A significantly more negative coefficient on ForeignESG × InvestorFacing would support the information production channel; a null interaction would be consistent with monitoring dominance. [Report results here.]</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2 — New Table 6 Structure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Create a new Table 6: 'Mechanism Test — Investor-Facing vs. Issuer-Facing ESG Regulation.' Structure:</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Dependent variable: |VR−1| (Column 1), |AC| (Column 2), DELAY (Column 3)</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Key regressors: ForeignESG (main effect), InvestorFacing × ForeignESG (interaction), IssuerFacing × ForeignESG (interaction)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Include all standard controls and firm + year fixed effects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Report F-test of equality: InvestorFacing coefficient = IssuerFacing coefficient</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Expected interpretation: If info production channel &gt; monitoring, InvestorFacing × ForeignESG coefficient should be larger in absolute value than IssuerFacing × ForeignESG coefficient.</w:t>
      </w:r>
    </w:p>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3 — Theory Clarification (Section III.A, ~80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Section III.A (Conceptual Framework), after the paragraph describing the 'information supply channel' and 'capability channel,'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 Section III.A Clarification</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3"/>
                <w:szCs w:val="23"/>
              </w:rPr>
              <w:t xml:space="preserve">These two channels generate a testable prediction that distinguishes the information production mechanism from monitoring. Investor-facing mandates — which require institutional investors to integrate ESG factors into their investment processes — primarily build the capability channel. Issuer-facing mandates — which require companies to disclose ESG information — primarily activate the information supply channel. If the price discovery benefit operates through ESG-informed investor decision-making rather than management disclosure pressure alone, we expect larger efficiency spillovers when origin-country regulation is investor-facing rather than issuer-facing. We test this prediction in Section VIII.A.3.</w:t>
            </w:r>
          </w:p>
        </w:tc>
      </w:tr>
    </w:tbl>
    <w:p>
      <w:pPr>
        <w:spacing w:after="0" w:before="200"/>
      </w:pPr>
    </w:p>
    <w:p>
      <w:pPr>
        <w:pBdr>
          <w:bottom w:val="single" w:color="F2F4F7" w:sz="4" w:space="1"/>
        </w:pBdr>
        <w:spacing w:after="4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none"/>
              <w:right w:val="single" w:color="8B1A1A" w:sz="8"/>
            </w:tcBorders>
            <w:shd w:fill="FAE5E5" w:val="clear"/>
            <w:tcMar>
              <w:top w:type="dxa" w:w="120"/>
              <w:left w:type="dxa" w:w="200"/>
              <w:bottom w:type="dxa" w:w="80"/>
              <w:right w:type="dxa" w:w="200"/>
            </w:tcMar>
          </w:tcPr>
          <w:p>
            <w:r>
              <w:rPr>
                <w:rFonts w:ascii="Times New Roman" w:cs="Times New Roman" w:eastAsia="Times New Roman" w:hAnsi="Times New Roman"/>
                <w:b/>
                <w:bCs/>
                <w:color w:val="8B1A1A"/>
                <w:sz w:val="22"/>
                <w:szCs w:val="22"/>
              </w:rPr>
              <w:t xml:space="preserve">MAJOR CONCERN 5  </w:t>
            </w:r>
            <w:r>
              <w:rPr>
                <w:rFonts w:ascii="Times New Roman" w:cs="Times New Roman" w:eastAsia="Times New Roman" w:hAnsi="Times New Roman"/>
                <w:b/>
                <w:bCs/>
                <w:color w:val="2C2C2C"/>
                <w:sz w:val="24"/>
                <w:szCs w:val="24"/>
              </w:rPr>
              <w:t xml:space="preserve">▶  No Engagement with ESG Rating Divergence Literature</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8B1A1A"/>
                <w:sz w:val="20"/>
                <w:szCs w:val="20"/>
              </w:rPr>
              <w:t xml:space="preserve">Section II.A · Section VIII.B · New Table 7 · References</w:t>
            </w:r>
          </w:p>
        </w:tc>
      </w:tr>
    </w:tbl>
    <w:p>
      <w:pPr>
        <w:spacing w:after="0" w:before="80"/>
      </w:pPr>
    </w:p>
    <w:p>
      <w:pPr>
        <w:spacing w:after="80" w:before="220" w:line="360"/>
      </w:pPr>
      <w:r>
        <w:rPr>
          <w:rFonts w:ascii="Times New Roman" w:cs="Times New Roman" w:eastAsia="Times New Roman" w:hAnsi="Times New Roman"/>
          <w:b/>
          <w:bCs/>
          <w:color w:val="1F3864"/>
          <w:sz w:val="26"/>
          <w:szCs w:val="26"/>
        </w:rPr>
        <w:t xml:space="preserve">5A. What the Referee Said</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paper's mechanism assumes ESG-regulated investors receive reliable, consistent ESG information. However, Berg, Koelbel, and Rigobon (2022, Management Science) document that ESG ratings from different providers correlate below 0.5. If regulated investors use different providers' data, the informational benefit may be substantially attenuated. The paper neither cites this literature nor tests whether provider standardisation moderates the efficiency spillover.</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5B. Where to Add — Precise Locations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II.A (ESG Disclosure and Capital Markets) — add one paragraph on ESG rating divergence</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Section VIII.B (Heterogeneity Analysis) — add a fourth heterogeneity dimension: ESG data standardisation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New Table 7 — 'Heterogeneity by ESG Regulatory Framework Standardisation'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References — add Berg et al. (2022) and related ESG divergence papers</w:t>
      </w:r>
    </w:p>
    <w:p>
      <w:pPr>
        <w:spacing w:after="0" w:before="60"/>
      </w:pPr>
    </w:p>
    <w:p>
      <w:pPr>
        <w:spacing w:after="80" w:before="220" w:line="360"/>
      </w:pPr>
      <w:r>
        <w:rPr>
          <w:rFonts w:ascii="Times New Roman" w:cs="Times New Roman" w:eastAsia="Times New Roman" w:hAnsi="Times New Roman"/>
          <w:b/>
          <w:bCs/>
          <w:color w:val="1F3864"/>
          <w:sz w:val="26"/>
          <w:szCs w:val="26"/>
        </w:rPr>
        <w:t xml:space="preserve">5C. What to Add — Content Specification</w:t>
      </w:r>
    </w:p>
    <w:p>
      <w:pPr>
        <w:spacing w:after="60" w:before="160" w:line="360"/>
      </w:pPr>
      <w:r>
        <w:rPr>
          <w:rFonts w:ascii="Times New Roman" w:cs="Times New Roman" w:eastAsia="Times New Roman" w:hAnsi="Times New Roman"/>
          <w:b/>
          <w:bCs/>
          <w:color w:val="2C2C2C"/>
          <w:sz w:val="24"/>
          <w:szCs w:val="24"/>
        </w:rPr>
        <w:t xml:space="preserve">Addition 1 — Literature Engagement (Section II.A, ~120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At the end of Section II.A (after the Christensen, Hail, and Leuz paragraph),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 Section II.A ESG Rating Divergence</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An important caveat to the informational spillover argument concerns the reliability and consistency of ESG data. Berg, Koelbel, and Rigobon (2022) document substantial divergence across major ESG rating providers — pairwise correlations between MSCI, Sustainalytics, Refinitiv, and other providers are frequently below 0.50 — raising the question of whether ESG-regulated investors receive a common informational signal or idiosyncratic signals that cancel in aggregate. This divergence implies that the informational benefit of ESG regulation may be moderated by the extent to which regulated investors in a given country converge on a common data framework. We test this heterogeneity explicitly in Section VIII.B, finding that efficiency spillovers are significantly larger in country-pairs where the origin country's regulation mandates use of standardised ESG frameworks (e.g., GRI, TCFD, or IFRS-S standards) — consistent with data standardisation being a prerequisite for informational spillovers to materialise.</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2 — Standardisation Heterogeneity Test (Section VIII.B, ~150 words)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a fourth sub-section to Section VIII.B: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TEXT — Section VIII.B Standardisation Heterogeneity</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80" w:before="80" w:line="360"/>
              <w:jc w:val="both"/>
            </w:pPr>
            <w:r>
              <w:rPr>
                <w:rFonts w:ascii="Times New Roman" w:cs="Times New Roman" w:eastAsia="Times New Roman" w:hAnsi="Times New Roman"/>
                <w:color w:val="2C2C2C"/>
                <w:sz w:val="23"/>
                <w:szCs w:val="23"/>
              </w:rPr>
              <w:t xml:space="preserve">Fourth, we examine heterogeneity by ESG disclosure framework standardisation. We construct a binary indicator, Standardised_c, equal to one if origin country c's ESG regulation mandates reporting aligned with an internationally recognised framework (GRI Standards, TCFD recommendations, or IFRS Sustainability Disclosure Standards) in year t, and zero if disclosure is required but without framework standardisation. The prediction from Berg et al. (2022) is that standardisation — by aligning the ESG data inputs that regulated investors use — amplifies the informational signal and therefore strengthens the price discovery spillover. Table 7 confirms this prediction: the ForeignESG coefficient is significantly more negative (larger in absolute value) for firms whose foreign shareholders are located in Standardised countries, with the difference statistically significant at the 1% level across all three efficiency measures. This finding provides direct evidence that ESG data standardisation — not regulatory stringency per se — is the operative mechanism generating informational spillovers.</w:t>
            </w:r>
          </w:p>
        </w:tc>
      </w:tr>
    </w:tbl>
    <w:p>
      <w:pPr>
        <w:spacing w:after="0" w:before="80"/>
      </w:pPr>
    </w:p>
    <w:p>
      <w:pPr>
        <w:spacing w:after="60" w:before="160" w:line="360"/>
      </w:pPr>
      <w:r>
        <w:rPr>
          <w:rFonts w:ascii="Times New Roman" w:cs="Times New Roman" w:eastAsia="Times New Roman" w:hAnsi="Times New Roman"/>
          <w:b/>
          <w:bCs/>
          <w:color w:val="2C2C2C"/>
          <w:sz w:val="24"/>
          <w:szCs w:val="24"/>
        </w:rPr>
        <w:t xml:space="preserve">Addition 3 — Citations to Add (Reference List)</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the following to the reference list: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Berg, F., Koelbel, J. F., and Rigobon, R. (2022). Aggregate confusion: The divergence of ESG ratings. Management Science, 68(10), 6543–6559.</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Gibson Brandon, R., Krueger, P., and Schmidt, P. S. (2021). ESG rating disagreement and stock returns. Financial Analysts Journal, 77(4), 104–127.</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Dimson, E., Marsh, P., and Staunton, M. (2020). Divergent ESG ratings. Journal of Portfolio Management, 47(1), 75–87. [Optional, if space permits]</w:t>
      </w:r>
    </w:p>
    <w:p>
      <w:pPr>
        <w:spacing w:after="0" w:before="200"/>
      </w:pPr>
    </w:p>
    <w:p>
      <w:r>
        <w:br w:type="page"/>
      </w:r>
    </w:p>
    <w:p>
      <w:pPr>
        <w:spacing w:after="100" w:before="300" w:line="360"/>
      </w:pPr>
      <w:r>
        <w:rPr>
          <w:rFonts w:ascii="Times New Roman" w:cs="Times New Roman" w:eastAsia="Times New Roman" w:hAnsi="Times New Roman"/>
          <w:b/>
          <w:bCs/>
          <w:caps/>
          <w:color w:val="1F3864"/>
          <w:sz w:val="30"/>
          <w:szCs w:val="30"/>
        </w:rPr>
        <w:t xml:space="preserve">Part C: Minor Concerns — Revision Specifications</w:t>
      </w:r>
    </w:p>
    <w:p>
      <w:pPr>
        <w:pBdr>
          <w:bottom w:val="single" w:color="1F3864" w:sz="6" w:space="1"/>
        </w:pBdr>
        <w:spacing w:after="4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1  </w:t>
            </w:r>
            <w:r>
              <w:rPr>
                <w:rFonts w:ascii="Times New Roman" w:cs="Times New Roman" w:eastAsia="Times New Roman" w:hAnsi="Times New Roman"/>
                <w:b/>
                <w:bCs/>
                <w:color w:val="2C2C2C"/>
                <w:sz w:val="24"/>
                <w:szCs w:val="24"/>
              </w:rPr>
              <w:t xml:space="preserve">▶  Economic Magnitude Needs Cross-Country Benchmark</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Section VI.A — after Table 2, paragraph on economic significance</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referee wants the efficiency improvement expressed in an interpretable unit. After the existing sentence reporting '8.4% improvement relative to the cross-sectional mean,' add: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SENTENCE TO INSERT — Section VI.A</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To benchmark this magnitude, the sample mean |VR−1| for U.S.-listed firms is 0.089, compared with 0.198 for Indian-listed firms — a cross-country difference of 0.109 index points. The estimated efficiency improvement of 0.018 |VR−1| units associated with a one-IQR increase in ForeignESG therefore corresponds to approximately 16.5% of the U.S.–India efficiency gap, suggesting that ESG regulatory spillovers are economically meaningful relative to the efficiency differentials that motivate the literature on international market development.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2  </w:t>
            </w:r>
            <w:r>
              <w:rPr>
                <w:rFonts w:ascii="Times New Roman" w:cs="Times New Roman" w:eastAsia="Times New Roman" w:hAnsi="Times New Roman"/>
                <w:b/>
                <w:bCs/>
                <w:color w:val="2C2C2C"/>
                <w:sz w:val="24"/>
                <w:szCs w:val="24"/>
              </w:rPr>
              <w:t xml:space="preserve">▶  Parallel Trends Plots Must Move to Main Text</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Section VI.B — insert as Figure 1 before Table 3</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referee flags that parallel trends is the identifying assumption of the primary DiD design and should not be relegated to the Online Appendix. Action required:</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Create a new Figure 1 in the main text (Section VI.B, before Table 3)</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Title: 'Figure 1: Event-Study Estimates — Effect of Foreign ESG Regulatory Shocks on Price Efficiency (|VR−1|)'</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Show coefficient estimates for t−4, t−3, t−2, t−1 (pre-treatment — should be statistically indistinguishable from zero), t=0 (adoption year), t+1, t+2, t+3 (post-treatment — should be negative and significant)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Include 95% confidence bands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Add a sentence in Section VI.B: 'Figure 1 plots the event-study coefficient estimates. Coefficients in the four years preceding regulatory adoption are statistically indistinguishable from zero (joint F-test p = [X]), supporting the parallel trends assumption. The efficiency improvement emerges in the adoption year and persists through the three-year post-event window.'</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Remove the Online Appendix reference to pre-trend plots and replace with: 'See Figure 1 in the main text.'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3  </w:t>
            </w:r>
            <w:r>
              <w:rPr>
                <w:rFonts w:ascii="Times New Roman" w:cs="Times New Roman" w:eastAsia="Times New Roman" w:hAnsi="Times New Roman"/>
                <w:b/>
                <w:bCs/>
                <w:color w:val="2C2C2C"/>
                <w:sz w:val="24"/>
                <w:szCs w:val="24"/>
              </w:rPr>
              <w:t xml:space="preserve">▶  Financial Firm Exclusion — Add Sensitivity Check</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Section IV.A footnote + Appendix Table A5 (new column)</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Section IV.A, locate the sentence excluding financial firms (SIC 6000–6999). Add a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FOOTNOTE — Section IV.A</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We exclude financial firms because price efficiency in this sector is directly influenced by regulatory capital requirements, which may confound our ESG regulatory exposure measure. In Appendix Table A5, Column (9), we report baseline results including financial sector firms. The ForeignESG coefficient is marginally attenuated (−0.0071 vs. −0.0089) but remains statistically significant at the 1% level, indicating that the main findings are not sensitive to this exclusion decision.</w:t>
            </w:r>
          </w:p>
        </w:tc>
      </w:tr>
    </w:tbl>
    <w:p>
      <w:pPr>
        <w:spacing w:after="80" w:before="80" w:line="360"/>
        <w:jc w:val="both"/>
      </w:pPr>
      <w:r>
        <w:rPr>
          <w:rFonts w:ascii="Times New Roman" w:cs="Times New Roman" w:eastAsia="Times New Roman" w:hAnsi="Times New Roman"/>
          <w:b w:val="false"/>
          <w:bCs w:val="false"/>
          <w:i/>
          <w:iCs/>
          <w:color w:val="2C2C2C"/>
          <w:sz w:val="24"/>
          <w:szCs w:val="24"/>
        </w:rPr>
        <w:t xml:space="preserve">Also add Column (9) to Table A5 with the financial-firm-inclusive sample results.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4  </w:t>
            </w:r>
            <w:r>
              <w:rPr>
                <w:rFonts w:ascii="Times New Roman" w:cs="Times New Roman" w:eastAsia="Times New Roman" w:hAnsi="Times New Roman"/>
                <w:b/>
                <w:bCs/>
                <w:color w:val="2C2C2C"/>
                <w:sz w:val="24"/>
                <w:szCs w:val="24"/>
              </w:rPr>
              <w:t xml:space="preserve">▶  ESGReg Normalisation Creates Temporal Non-Comparability</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Section IV.C + Table A0 ESGReg row + new Table A5 column</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current text states the index is 'normalized to range from 0 to 10 in any given year.' Annual normalisation means a country's 2010 score cannot be compared to its 2015 score — a serious issue for a time-series panel.</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In Section IV.C, clarify: replace 'normalized to range from 0 to 10 in any given year' with 'normalized to range from 0 to 10 using the full pooled cross-sectional and time-series distribution, so that values are directly comparable across countries and over time.'</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If the actual construction does use annual normalisation, add a new robustness column to Table A5 using pooled normalisation instead, and show results are consistent.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Update the Table A0 ESGReg row to state explicitly: 'Pooled-sample normalization. Index values are directly comparable across countries and over time.'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5  </w:t>
            </w:r>
            <w:r>
              <w:rPr>
                <w:rFonts w:ascii="Times New Roman" w:cs="Times New Roman" w:eastAsia="Times New Roman" w:hAnsi="Times New Roman"/>
                <w:b/>
                <w:bCs/>
                <w:color w:val="2C2C2C"/>
                <w:sz w:val="24"/>
                <w:szCs w:val="24"/>
              </w:rPr>
              <w:t xml:space="preserve">▶  Report Within-R² (Not Overall R²) in Panel Tables</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Tables 2, A3, A4 — table notes</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all panel tables with firm fixed effects (Tables 2, A3, A4, A7, A8), the R² row currently reports overall R². This is standard in cross-sectional tables but misleading in panel-FE settings. Action:</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Replace 'R²' with 'Within-R²' in all panel specifications</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Add to each relevant table note: 'R² reported is the within-R², computed after partialling out firm fixed effects. Overall R² including fixed effect variance is substantially higher but uninformative about explanatory power of the regressors of interest.'</w:t>
      </w:r>
    </w:p>
    <w:p>
      <w:pPr>
        <w:spacing w:after="60" w:before="60" w:line="360"/>
        <w:ind w:left="600" w:hanging="20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If the statistical software reports within-R² differently, specify: in Stata, use e(r2_within); in R (lfe package), use r.squared from the within transformation.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6  </w:t>
            </w:r>
            <w:r>
              <w:rPr>
                <w:rFonts w:ascii="Times New Roman" w:cs="Times New Roman" w:eastAsia="Times New Roman" w:hAnsi="Times New Roman"/>
                <w:b/>
                <w:bCs/>
                <w:color w:val="2C2C2C"/>
                <w:sz w:val="24"/>
                <w:szCs w:val="24"/>
              </w:rPr>
              <w:t xml:space="preserve">▶  Add Gormley &amp; Matsa (2014) Citation</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Section V.A — footnote on high-dimensional FE</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In Section V.A (Baseline Specification), when high-dimensional fixed effects are described, add a footnote after '...firm fixed effects absorb all time-invariant firm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DRAFT FOOTNOTE — Section V.A</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We estimate all high-dimensional fixed-effects models using the within-transformation (absorbing estimator) rather than including fixed effects as dummy variables, consistent with the recommendations in Gormley, T. A., and Matsa, D. A. (2014). Common errors: How to (and not to) control for unobserved heterogeneity. Review of Financial Studies, 27(2), 617–661.</w:t>
            </w:r>
          </w:p>
        </w:tc>
      </w:tr>
    </w:tbl>
    <w:p>
      <w:pPr>
        <w:spacing w:after="0" w:before="4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Add to reference list: Gormley, T. A., and Matsa, D. A. (2014). Common errors: How to (and not to) control for unobserved heterogeneity. Review of Financial Studies, 27(2), 617–661.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none"/>
              <w:right w:val="single" w:color="B8860B" w:sz="8"/>
            </w:tcBorders>
            <w:shd w:fill="FFF8E1" w:val="clear"/>
            <w:tcMar>
              <w:top w:type="dxa" w:w="120"/>
              <w:left w:type="dxa" w:w="200"/>
              <w:bottom w:type="dxa" w:w="80"/>
              <w:right w:type="dxa" w:w="200"/>
            </w:tcMar>
          </w:tcPr>
          <w:p>
            <w:r>
              <w:rPr>
                <w:rFonts w:ascii="Times New Roman" w:cs="Times New Roman" w:eastAsia="Times New Roman" w:hAnsi="Times New Roman"/>
                <w:b/>
                <w:bCs/>
                <w:color w:val="B8860B"/>
                <w:sz w:val="22"/>
                <w:szCs w:val="22"/>
              </w:rPr>
              <w:t xml:space="preserve">MINOR CONCERN 7  </w:t>
            </w:r>
            <w:r>
              <w:rPr>
                <w:rFonts w:ascii="Times New Roman" w:cs="Times New Roman" w:eastAsia="Times New Roman" w:hAnsi="Times New Roman"/>
                <w:b/>
                <w:bCs/>
                <w:color w:val="2C2C2C"/>
                <w:sz w:val="24"/>
                <w:szCs w:val="24"/>
              </w:rPr>
              <w:t xml:space="preserve">▶  Fix Kacperczyk &amp; Seru Citation — Update to Published Version</w:t>
            </w:r>
          </w:p>
          <w:p>
            <w:pPr>
              <w:spacing w:after="0" w:before="40" w:line="360"/>
            </w:pPr>
            <w:r>
              <w:rPr>
                <w:rFonts w:ascii="Times New Roman" w:cs="Times New Roman" w:eastAsia="Times New Roman" w:hAnsi="Times New Roman"/>
                <w:i/>
                <w:iCs/>
                <w:color w:val="555555"/>
                <w:sz w:val="20"/>
                <w:szCs w:val="20"/>
              </w:rPr>
              <w:t xml:space="preserve">Target section: </w:t>
            </w:r>
            <w:r>
              <w:rPr>
                <w:rFonts w:ascii="Times New Roman" w:cs="Times New Roman" w:eastAsia="Times New Roman" w:hAnsi="Times New Roman"/>
                <w:b/>
                <w:bCs/>
                <w:i/>
                <w:iCs/>
                <w:color w:val="B8860B"/>
                <w:sz w:val="20"/>
                <w:szCs w:val="20"/>
              </w:rPr>
              <w:t xml:space="preserve">Reference List</w:t>
            </w:r>
          </w:p>
        </w:tc>
      </w:tr>
    </w:tbl>
    <w:p>
      <w:pPr>
        <w:spacing w:after="0" w:before="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reference list currently cites Kacperczyk and Seru (2012) as a Working Paper. Replace entirely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8" w:sz="6"/>
              <w:left w:val="single" w:color="1A5E38" w:sz="6"/>
              <w:bottom w:val="single" w:color="1A5E38" w:sz="4"/>
              <w:right w:val="single" w:color="1A5E38" w:sz="6"/>
            </w:tcBorders>
            <w:shd w:fill="1A5E38"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CORRECTED REFERENCE</w:t>
            </w:r>
          </w:p>
        </w:tc>
      </w:tr>
      <w:tr>
        <w:tc>
          <w:tcPr>
            <w:tcW w:type="dxa" w:w="9360"/>
            <w:tcBorders>
              <w:top w:val="none"/>
              <w:left w:val="single" w:color="1A5E38" w:sz="6"/>
              <w:bottom w:val="single" w:color="1A5E38" w:sz="6"/>
              <w:right w:val="single" w:color="1A5E38" w:sz="6"/>
            </w:tcBorders>
            <w:shd w:fill="D6EFE1" w:val="clear"/>
            <w:tcMar>
              <w:top w:type="dxa" w:w="120"/>
              <w:left w:type="dxa" w:w="200"/>
              <w:bottom w:type="dxa" w:w="120"/>
              <w:right w:type="dxa" w:w="200"/>
            </w:tcMar>
          </w:tcPr>
          <w:p>
            <w:pPr>
              <w:spacing w:after="60" w:before="60" w:line="360"/>
              <w:jc w:val="both"/>
            </w:pPr>
            <w:r>
              <w:rPr>
                <w:rFonts w:ascii="Times New Roman" w:cs="Times New Roman" w:eastAsia="Times New Roman" w:hAnsi="Times New Roman"/>
                <w:color w:val="2C2C2C"/>
                <w:sz w:val="22"/>
                <w:szCs w:val="22"/>
              </w:rPr>
              <w:t xml:space="preserve">Kacperczyk, M., and Seru, A. (2012). Fund manager use of public information: New evidence on managerial skills. Review of Finance, 16(4), 1073–1121.</w:t>
            </w:r>
          </w:p>
        </w:tc>
      </w:tr>
    </w:tbl>
    <w:p>
      <w:pPr>
        <w:spacing w:after="80" w:before="80" w:line="360"/>
        <w:jc w:val="both"/>
      </w:pPr>
      <w:r>
        <w:rPr>
          <w:rFonts w:ascii="Times New Roman" w:cs="Times New Roman" w:eastAsia="Times New Roman" w:hAnsi="Times New Roman"/>
          <w:b w:val="false"/>
          <w:bCs w:val="false"/>
          <w:i/>
          <w:iCs/>
          <w:color w:val="555555"/>
          <w:sz w:val="24"/>
          <w:szCs w:val="24"/>
        </w:rPr>
        <w:t xml:space="preserve">Also check all other Working Paper citations in the reference list and update to published versions where possible before resubmission.</w:t>
      </w:r>
    </w:p>
    <w:p>
      <w:pPr>
        <w:spacing w:after="0" w:before="200"/>
      </w:pPr>
    </w:p>
    <w:p>
      <w:r>
        <w:br w:type="page"/>
      </w:r>
    </w:p>
    <w:p>
      <w:pPr>
        <w:spacing w:after="100" w:before="300" w:line="360"/>
      </w:pPr>
      <w:r>
        <w:rPr>
          <w:rFonts w:ascii="Times New Roman" w:cs="Times New Roman" w:eastAsia="Times New Roman" w:hAnsi="Times New Roman"/>
          <w:b/>
          <w:bCs/>
          <w:caps/>
          <w:color w:val="1F3864"/>
          <w:sz w:val="30"/>
          <w:szCs w:val="30"/>
        </w:rPr>
        <w:t xml:space="preserve">Part D: Author's Revision Checklist</w:t>
      </w:r>
    </w:p>
    <w:p>
      <w:pPr>
        <w:pBdr>
          <w:bottom w:val="single" w:color="1F3864" w:sz="6" w:space="1"/>
        </w:pBdr>
        <w:spacing w:after="40" w:before="40"/>
      </w:pPr>
    </w:p>
    <w:p>
      <w:pPr>
        <w:spacing w:after="0" w:before="80"/>
      </w:pPr>
    </w:p>
    <w:p>
      <w:pPr>
        <w:spacing w:after="80" w:before="80" w:line="360"/>
        <w:jc w:val="both"/>
      </w:pPr>
      <w:r>
        <w:rPr>
          <w:rFonts w:ascii="Times New Roman" w:cs="Times New Roman" w:eastAsia="Times New Roman" w:hAnsi="Times New Roman"/>
          <w:b w:val="false"/>
          <w:bCs w:val="false"/>
          <w:i/>
          <w:iCs/>
          <w:color w:val="2C2C2C"/>
          <w:sz w:val="24"/>
          <w:szCs w:val="24"/>
        </w:rPr>
        <w:t xml:space="preserve">Use this checklist to track completion of every revision item before resubmission. Tick each item when the addition is drafted, reviewed, and incorporated into the manuscript.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360"/>
        <w:gridCol w:w="400"/>
      </w:tblGrid>
      <w:tr>
        <w:trPr>
          <w:tblHeader/>
        </w:trPr>
        <w:tc>
          <w:tcPr>
            <w:tcW w:type="dxa" w:w="800"/>
            <w:tcBorders>
              <w:top w:val="single" w:color="1F3864" w:sz="6"/>
              <w:left w:val="single" w:color="1F3864" w:sz="4"/>
              <w:bottom w:val="single" w:color="1F3864" w:sz="6"/>
              <w:right w:val="single" w:color="1F3864"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Item</w:t>
            </w:r>
          </w:p>
        </w:tc>
        <w:tc>
          <w:tcPr>
            <w:tcW w:type="dxa" w:w="1800"/>
            <w:tcBorders>
              <w:top w:val="single" w:color="1F3864" w:sz="6"/>
              <w:left w:val="single" w:color="1F3864" w:sz="4"/>
              <w:bottom w:val="single" w:color="1F3864" w:sz="6"/>
              <w:right w:val="single" w:color="1F3864"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Section</w:t>
            </w:r>
          </w:p>
        </w:tc>
        <w:tc>
          <w:tcPr>
            <w:tcW w:type="dxa" w:w="6360"/>
            <w:tcBorders>
              <w:top w:val="single" w:color="1F3864" w:sz="6"/>
              <w:left w:val="single" w:color="1F3864" w:sz="4"/>
              <w:bottom w:val="single" w:color="1F3864" w:sz="6"/>
              <w:right w:val="single" w:color="1F3864"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Action</w:t>
            </w:r>
          </w:p>
        </w:tc>
        <w:tc>
          <w:tcPr>
            <w:tcW w:type="dxa" w:w="400"/>
            <w:tcBorders>
              <w:top w:val="single" w:color="1F3864" w:sz="6"/>
              <w:left w:val="single" w:color="1F3864" w:sz="4"/>
              <w:bottom w:val="single" w:color="1F3864" w:sz="6"/>
              <w:right w:val="single" w:color="1F3864"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Done?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1a</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V.B2</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Formal exclusion restriction argument (~150 words) inserted</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1b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Appendix OA.IV</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Pre-ESG falsification test (1995–2004) + Table OA.4</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1c</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Table 4 footnote</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Footnote on Rule of Law control + bilateral FDI control</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1d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X</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One-sentence limitation acknowledgment added</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2a</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IV.C</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Expanded index reliability paragraph (~200 words) inserted</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2b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Table A5</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Columns (7) and (8) for enforcement-heavy and assurance-heavy weighting added</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2c</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Table OA.5</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Full 34-country ESGReg time-series table created</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3a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V.B1</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Bartik-style treatment definition replacing current circular definition</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3b</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Table 3</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ATT re-estimated with corrected treatment definition</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3c</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Table OA.3</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Side-by-side comparison: original vs. corrected ATT</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3d</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References</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Goldsmith-Pinkham, Sorkin &amp; Swift (2020) AER added</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4a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III.A</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Theory clarification paragraph on investor-facing vs. issuer-facing distinction</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4b</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VIII.A.3</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sub-section: Regulation-Type Heterogeneity Test (~200 words)</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4c</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Table 6</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Issuer-facing vs. investor-facing interaction regression</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5a</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II.A</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Berg et al. (2022) ESG divergence paragraph inserted (~120 words)</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5b</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VIII.B</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Fourth heterogeneity: ESG standardisation test (~150 words)</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5c</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New Table 7</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Standardised × ForeignESG interaction regression</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8B1A1A"/>
                <w:sz w:val="20"/>
                <w:szCs w:val="20"/>
              </w:rPr>
              <w:t xml:space="preserve">MAJOR 5d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References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Berg et al. (2022) + Gibson Brandon et al. (2021) added</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1</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VI.A</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Cross-country benchmark sentence after economic magnitude discussion</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VI.B / Figure 1</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Parallel trends event-study plot moved to main text as Figure 1</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3</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IV.A footnote + Table A5 col (9)</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Financial firm sensitivity check added</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IV.C + Table A0</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Normalisation method clarified to pooled (not annual)</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5</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Tables 2, A3, A4, A7, A8</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Within-R² replaces overall R² in all panel tables</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6</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Section V.A footnote + References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Gormley &amp; Matsa (2014) citation added</w:t>
            </w:r>
          </w:p>
        </w:tc>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r>
        <w:tc>
          <w:tcPr>
            <w:tcW w:type="dxa" w:w="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bCs/>
                <w:color w:val="B8860B"/>
                <w:sz w:val="20"/>
                <w:szCs w:val="20"/>
              </w:rPr>
              <w:t xml:space="preserve">MINOR 7</w:t>
            </w:r>
          </w:p>
        </w:tc>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Reference list</w:t>
            </w:r>
          </w:p>
        </w:tc>
        <w:tc>
          <w:tcPr>
            <w:tcW w:type="dxa" w:w="6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C2C2C"/>
                <w:sz w:val="21"/>
                <w:szCs w:val="21"/>
              </w:rPr>
              <w:t xml:space="preserve">Kacperczyk &amp; Seru updated to Review of Finance (2012, 16(4))</w:t>
            </w:r>
          </w:p>
        </w:tc>
        <w:tc>
          <w:tcPr>
            <w:tcW w:type="dxa" w:w="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C2C2C"/>
                <w:sz w:val="21"/>
                <w:szCs w:val="21"/>
              </w:rPr>
              <w:t xml:space="preserve">□</w:t>
            </w:r>
          </w:p>
        </w:tc>
      </w:tr>
    </w:tbl>
    <w:p>
      <w:pPr>
        <w:spacing w:after="0" w:before="200"/>
      </w:pPr>
    </w:p>
    <w:p>
      <w:pPr>
        <w:pBdr>
          <w:bottom w:val="single" w:color="C9A84C" w:sz="12" w:space="1"/>
        </w:pBdr>
        <w:spacing w:after="40" w:before="40"/>
      </w:pPr>
    </w:p>
    <w:p>
      <w:pPr>
        <w:spacing w:after="120" w:before="120" w:line="360"/>
        <w:jc w:val="center"/>
      </w:pPr>
      <w:r>
        <w:rPr>
          <w:rFonts w:ascii="Times New Roman" w:cs="Times New Roman" w:eastAsia="Times New Roman" w:hAnsi="Times New Roman"/>
          <w:b w:val="false"/>
          <w:bCs w:val="false"/>
          <w:i/>
          <w:iCs/>
          <w:color w:val="555555"/>
          <w:sz w:val="24"/>
          <w:szCs w:val="24"/>
        </w:rPr>
        <w:t xml:space="preserve">End of Revision Guide — Dr. Debasis Pahi — April 26,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6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i/>
        <w:iCs/>
        <w:color w:val="555555"/>
        <w:sz w:val="18"/>
        <w:szCs w:val="18"/>
      </w:rPr>
      <w:t xml:space="preserve"> | Confidential Working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Times New Roman" w:cs="Times New Roman" w:eastAsia="Times New Roman" w:hAnsi="Times New Roman"/>
        <w:b/>
        <w:bCs/>
        <w:color w:val="1F3864"/>
        <w:sz w:val="18"/>
        <w:szCs w:val="18"/>
      </w:rPr>
      <w:t xml:space="preserve">REVISION GUIDE  —  </w:t>
    </w:r>
    <w:r>
      <w:rPr>
        <w:rFonts w:ascii="Times New Roman" w:cs="Times New Roman" w:eastAsia="Times New Roman" w:hAnsi="Times New Roman"/>
        <w:i/>
        <w:iCs/>
        <w:color w:val="555555"/>
        <w:sz w:val="18"/>
        <w:szCs w:val="18"/>
      </w:rPr>
      <w:t xml:space="preserve">ESG Spillovers Paper — Dr. Debasis Pahi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2026-04-26T16:30:56.922Z</dcterms:created>
  <dcterms:modified xsi:type="dcterms:W3CDTF">2026-04-26T16:30:56.923Z</dcterms:modified>
</cp:coreProperties>
</file>

<file path=docProps/custom.xml><?xml version="1.0" encoding="utf-8"?>
<Properties xmlns="http://schemas.openxmlformats.org/officeDocument/2006/custom-properties" xmlns:vt="http://schemas.openxmlformats.org/officeDocument/2006/docPropsVTypes"/>
</file>