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40"/>
        <w:jc w:val="center"/>
      </w:pPr>
      <w:r>
        <w:rPr>
          <w:b/>
          <w:bCs/>
          <w:color w:val="8C9E8D"/>
          <w:spacing w:val="200"/>
          <w:sz w:val="28"/>
          <w:szCs w:val="28"/>
        </w:rPr>
        <w:t xml:space="preserve">RESEARCH PROJECT PROPOSAL</w:t>
      </w:r>
    </w:p>
    <w:p>
      <w:pPr>
        <w:spacing w:after="60"/>
        <w:jc w:val="center"/>
      </w:pPr>
      <w:r>
        <w:rPr>
          <w:color w:val="8C9E8D"/>
          <w:sz w:val="22"/>
          <w:szCs w:val="22"/>
        </w:rPr>
        <w:t xml:space="preserve">Submitted to the Securities and Exchange Board of India (SEBI)</w:t>
      </w:r>
    </w:p>
    <w:p>
      <w:pPr>
        <w:pBdr>
          <w:bottom w:val="single" w:color="1A6B38" w:sz="6" w:space="1"/>
        </w:pBdr>
        <w:spacing w:after="200" w:before="200"/>
      </w:pPr>
      <w:r>
        <w:t xml:space="preserve"/>
      </w:r>
    </w:p>
    <w:p>
      <w:pPr>
        <w:spacing w:after="80"/>
      </w:pPr>
      <w:r>
        <w:t xml:space="preserve"/>
      </w:r>
    </w:p>
    <w:p>
      <w:pPr>
        <w:spacing w:after="200"/>
        <w:jc w:val="center"/>
      </w:pPr>
      <w:r>
        <w:rPr>
          <w:b/>
          <w:bCs/>
          <w:color w:val="1A6B38"/>
          <w:sz w:val="36"/>
          <w:szCs w:val="36"/>
        </w:rPr>
        <w:br/>
        <w:t xml:space="preserve">Developing a Standardised ESG Scoring and Rating Methodology
for Indian Listed Companies:</w:t>
      </w:r>
    </w:p>
    <w:p>
      <w:pPr>
        <w:spacing w:after="60"/>
        <w:jc w:val="center"/>
      </w:pPr>
      <w:r>
        <w:rPr>
          <w:b/>
          <w:bCs/>
          <w:color w:val="0D1A0E"/>
          <w:sz w:val="26"/>
          <w:szCs w:val="26"/>
        </w:rPr>
        <w:br/>
        <w:t xml:space="preserve">A Regulator-Grade Framework Integrating BRSR, TCFD, GRI, ISSB,
and SDG Alignment for SEBI's Sustainable Finance Architecture</w:t>
      </w:r>
    </w:p>
    <w:p>
      <w:pPr>
        <w:pBdr>
          <w:bottom w:val="single" w:color="1A6B38" w:sz="6" w:space="1"/>
        </w:pBdr>
        <w:spacing w:after="200" w:before="20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Principal Investigator</w:t>
            </w:r>
          </w:p>
          <w:p>
            <w:r>
              <w:rPr>
                <w:b/>
                <w:bCs/>
                <w:color w:val="0D1A0E"/>
                <w:sz w:val="22"/>
                <w:szCs w:val="22"/>
              </w:rPr>
              <w:t xml:space="preserve">Dr. Debasis Pahi</w:t>
            </w:r>
          </w:p>
        </w:tc>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Qualification</w:t>
            </w:r>
          </w:p>
          <w:p>
            <w:r>
              <w:rPr>
                <w:b/>
                <w:bCs/>
                <w:color w:val="0D1A0E"/>
                <w:sz w:val="22"/>
                <w:szCs w:val="22"/>
              </w:rPr>
              <w:t xml:space="preserve">Ph.D in Finance, IIT Kharagpur</w:t>
            </w:r>
          </w:p>
        </w:tc>
      </w:tr>
      <w:tr>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Research Experience</w:t>
            </w:r>
          </w:p>
          <w:p>
            <w:r>
              <w:rPr>
                <w:b/>
                <w:bCs/>
                <w:color w:val="0D1A0E"/>
                <w:sz w:val="22"/>
                <w:szCs w:val="22"/>
              </w:rPr>
              <w:t xml:space="preserve">11+ Years (including Ph.D)</w:t>
            </w:r>
          </w:p>
        </w:tc>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Publications</w:t>
            </w:r>
          </w:p>
          <w:p>
            <w:r>
              <w:rPr>
                <w:b/>
                <w:bCs/>
                <w:color w:val="0D1A0E"/>
                <w:sz w:val="22"/>
                <w:szCs w:val="22"/>
              </w:rPr>
              <w:t xml:space="preserve">20 Peer-Reviewed Articles in Indexed Journals</w:t>
            </w:r>
          </w:p>
        </w:tc>
      </w:tr>
      <w:tr>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Ph.D Scholars Guided</w:t>
            </w:r>
          </w:p>
          <w:p>
            <w:r>
              <w:rPr>
                <w:b/>
                <w:bCs/>
                <w:color w:val="0D1A0E"/>
                <w:sz w:val="22"/>
                <w:szCs w:val="22"/>
              </w:rPr>
              <w:t xml:space="preserve">3 Doctoral Scholars (Ongoing)</w:t>
            </w:r>
          </w:p>
        </w:tc>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Teaching Expertise</w:t>
            </w:r>
          </w:p>
          <w:p>
            <w:r>
              <w:rPr>
                <w:b/>
                <w:bCs/>
                <w:color w:val="0D1A0E"/>
                <w:sz w:val="22"/>
                <w:szCs w:val="22"/>
              </w:rPr>
              <w:t xml:space="preserve">Finance &amp; Accounting (UG &amp; PG)</w:t>
            </w:r>
          </w:p>
        </w:tc>
      </w:tr>
      <w:tr>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Contact</w:t>
            </w:r>
          </w:p>
          <w:p>
            <w:r>
              <w:rPr>
                <w:b/>
                <w:bCs/>
                <w:color w:val="0D1A0E"/>
                <w:sz w:val="22"/>
                <w:szCs w:val="22"/>
              </w:rPr>
              <w:t xml:space="preserve">drdebasis.research@gmail.com</w:t>
            </w:r>
          </w:p>
        </w:tc>
        <w:tc>
          <w:tcPr>
            <w:tcW w:type="dxa" w:w="4819"/>
            <w:tcBorders>
              <w:top w:val="single" w:color="CCCCCC" w:sz="1"/>
              <w:left w:val="single" w:color="1A6B38" w:sz="8"/>
              <w:bottom w:val="single" w:color="CCCCCC" w:sz="1"/>
              <w:right w:val="single" w:color="CCCCCC" w:sz="1"/>
            </w:tcBorders>
            <w:shd w:fill="F2F0EB" w:val="clear"/>
            <w:tcMar>
              <w:top w:type="dxa" w:w="120"/>
              <w:left w:type="dxa" w:w="180"/>
              <w:bottom w:type="dxa" w:w="120"/>
              <w:right w:type="dxa" w:w="180"/>
            </w:tcMar>
          </w:tcPr>
          <w:p>
            <w:pPr>
              <w:spacing w:after="40"/>
            </w:pPr>
            <w:r>
              <w:rPr>
                <w:b/>
                <w:bCs/>
                <w:color w:val="8C9E8D"/>
                <w:sz w:val="18"/>
                <w:szCs w:val="18"/>
              </w:rPr>
              <w:t xml:space="preserve">Submitted To</w:t>
            </w:r>
          </w:p>
          <w:p>
            <w:r>
              <w:rPr>
                <w:b/>
                <w:bCs/>
                <w:color w:val="0D1A0E"/>
                <w:sz w:val="22"/>
                <w:szCs w:val="22"/>
              </w:rPr>
              <w:t xml:space="preserve">SEBI / NISM Research Programme</w:t>
            </w:r>
          </w:p>
        </w:tc>
      </w:tr>
    </w:tbl>
    <w:p>
      <w:pPr>
        <w:spacing w:after="8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09"/>
        <w:gridCol w:w="2410"/>
      </w:tblGrid>
      <w:tr>
        <w:tc>
          <w:tcPr>
            <w:tcW w:type="dxa" w:w="241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Project Duration</w:t>
            </w:r>
          </w:p>
        </w:tc>
        <w:tc>
          <w:tcPr>
            <w:tcW w:type="dxa" w:w="2409"/>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Proposed Budget</w:t>
            </w:r>
          </w:p>
        </w:tc>
        <w:tc>
          <w:tcPr>
            <w:tcW w:type="dxa" w:w="2409"/>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Project Type</w:t>
            </w:r>
          </w:p>
        </w:tc>
        <w:tc>
          <w:tcPr>
            <w:tcW w:type="dxa" w:w="241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Submission Year</w:t>
            </w:r>
          </w:p>
        </w:tc>
      </w:tr>
      <w:tr>
        <w:tc>
          <w:tcPr>
            <w:tcW w:type="dxa" w:w="241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3 Years</w:t>
            </w:r>
          </w:p>
        </w:tc>
        <w:tc>
          <w:tcPr>
            <w:tcW w:type="dxa" w:w="2409"/>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1A6B38"/>
                <w:sz w:val="20"/>
                <w:szCs w:val="20"/>
              </w:rPr>
              <w:t xml:space="preserve">₹42,50,000</w:t>
            </w:r>
          </w:p>
        </w:tc>
        <w:tc>
          <w:tcPr>
            <w:tcW w:type="dxa" w:w="2409"/>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Major Research Project</w:t>
            </w:r>
          </w:p>
        </w:tc>
        <w:tc>
          <w:tcPr>
            <w:tcW w:type="dxa" w:w="241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2025–26</w:t>
            </w:r>
          </w:p>
        </w:tc>
      </w:tr>
    </w:tbl>
    <w:p>
      <w:pPr>
        <w:spacing w:after="80"/>
      </w:pPr>
      <w:r>
        <w:t xml:space="preserve"/>
      </w:r>
    </w:p>
    <w:p>
      <w:pPr>
        <w:spacing w:after="80"/>
      </w:pPr>
      <w:r>
        <w:t xml:space="preserve"/>
      </w:r>
    </w:p>
    <w:p>
      <w:pPr>
        <w:spacing w:after="60"/>
        <w:jc w:val="center"/>
      </w:pPr>
      <w:r>
        <w:rPr>
          <w:b/>
          <w:bCs/>
          <w:color w:val="8C9E8D"/>
          <w:sz w:val="20"/>
          <w:szCs w:val="20"/>
        </w:rPr>
        <w:t xml:space="preserve">Keywords: </w:t>
      </w:r>
      <w:r>
        <w:rPr>
          <w:color w:val="8C9E8D"/>
          <w:sz w:val="20"/>
          <w:szCs w:val="20"/>
        </w:rPr>
        <w:t xml:space="preserve">ESG Scoring | BRSR | Sustainable Finance | SEBI | Indian Capital Markets | Rating Methodology | SDG | TCFD | ISSB | Greenwashing Detection</w:t>
      </w:r>
    </w:p>
    <w:p>
      <w:r>
        <w:br w:type="page"/>
      </w:r>
    </w:p>
    <w:p>
      <w:pPr>
        <w:pStyle w:val="Heading1"/>
        <w:spacing w:after="120" w:before="300"/>
      </w:pPr>
      <w:r>
        <w:rPr>
          <w:b/>
          <w:bCs/>
          <w:color w:val="1A6B38"/>
        </w:rPr>
        <w:t xml:space="preserve">EXECUTIVE SUMMARY</w:t>
      </w:r>
    </w:p>
    <w:p>
      <w:pPr>
        <w:spacing w:after="160"/>
        <w:jc w:val="both"/>
      </w:pPr>
      <w:r>
        <w:rPr>
          <w:b w:val="false"/>
          <w:bCs w:val="false"/>
          <w:i w:val="false"/>
          <w:iCs w:val="false"/>
          <w:color w:val="0D1A0E"/>
          <w:sz w:val="22"/>
          <w:szCs w:val="22"/>
        </w:rPr>
        <w:t xml:space="preserve">India's capital markets are undergoing a fundamental transformation. The Securities and Exchange Board of India (SEBI), through its Business Responsibility and Sustainability Report (BRSR) mandate, ESG Debt Securities Framework (June 2025), and expanding sustainable finance architecture, has signalled an unequivocal regulatory direction: ESG disclosure is no longer voluntary — it is a market integrity requirement.</w:t>
      </w:r>
    </w:p>
    <w:p>
      <w:pPr>
        <w:spacing w:after="160"/>
        <w:jc w:val="both"/>
      </w:pPr>
      <w:r>
        <w:rPr>
          <w:b w:val="false"/>
          <w:bCs w:val="false"/>
          <w:i w:val="false"/>
          <w:iCs w:val="false"/>
          <w:color w:val="0D1A0E"/>
          <w:sz w:val="22"/>
          <w:szCs w:val="22"/>
        </w:rPr>
        <w:t xml:space="preserve">Yet a critical gap persists. While SEBI mandates what companies must disclose, no standardised, India-specific, publicly available ESG scoring and rating methodology exists to systematically evaluate, compare, and grade those disclosures. Existing global rating agencies — MSCI, Sustainalytics, S&amp;P Global — charge ₹10–25 lakh per company per year, carry structural conflicts of interest as commercial entities, lack India-specific regulatory calibration (BRSR, NGRBC, MCA/SEBI rules), and operate entirely opaque methodologies that regulators, investors, and companies cannot audit or challenge.</w:t>
      </w:r>
    </w:p>
    <w:p>
      <w:pPr>
        <w:spacing w:after="160"/>
        <w:jc w:val="both"/>
      </w:pPr>
      <w:r>
        <w:rPr>
          <w:b w:val="false"/>
          <w:bCs w:val="false"/>
          <w:i w:val="false"/>
          <w:iCs w:val="false"/>
          <w:color w:val="0D1A0E"/>
          <w:sz w:val="22"/>
          <w:szCs w:val="22"/>
        </w:rPr>
        <w:t xml:space="preserve">This research project proposes to develop a Regulator-Grade, Publicly Available ESG Scoring and Rating Methodology for Indian Listed Companies — built specifically on SEBI's BRSR framework, aligned with GRI, TCFD, ISSB S1/S2, and UN SDGs, and calibrated to Indian market realities across 22 SEBI-defined industry sectors. The methodology — comprising 133 parameters across Environmental, Social, and Governance dimensions — has been designed, piloted, and validated by the Principal Investigator on publicly listed Indian companies. This proposal seeks SEBI's support to formalise, validate at scale, publish, and institutionalise this framework as a contribution to India's sustainable finance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8" w:sz="4"/>
              <w:left w:val="single" w:color="1A6B38" w:sz="4"/>
              <w:bottom w:val="single" w:color="1A6B38" w:sz="4"/>
              <w:right w:val="single" w:color="1A6B38" w:sz="4"/>
            </w:tcBorders>
            <w:shd w:fill="D4EAD9" w:val="clear"/>
            <w:tcMar>
              <w:top w:type="dxa" w:w="160"/>
              <w:left w:type="dxa" w:w="200"/>
              <w:bottom w:type="dxa" w:w="160"/>
              <w:right w:type="dxa" w:w="200"/>
            </w:tcMar>
          </w:tcPr>
          <w:p>
            <w:pPr>
              <w:spacing w:after="80"/>
            </w:pPr>
            <w:r>
              <w:rPr>
                <w:b/>
                <w:bCs/>
                <w:color w:val="1A6B38"/>
                <w:sz w:val="24"/>
                <w:szCs w:val="24"/>
              </w:rPr>
              <w:t xml:space="preserve">Central Research Question</w:t>
            </w:r>
          </w:p>
          <w:p>
            <w:pPr>
              <w:spacing w:after="160"/>
              <w:jc w:val="both"/>
            </w:pPr>
            <w:r>
              <w:rPr>
                <w:b w:val="false"/>
                <w:bCs w:val="false"/>
                <w:i w:val="false"/>
                <w:iCs w:val="false"/>
                <w:color w:val="0D1A0E"/>
                <w:sz w:val="22"/>
                <w:szCs w:val="22"/>
              </w:rPr>
              <w:t xml:space="preserve">How can a standardised, transparent, India-specific, BRSR-anchored ESG scoring and rating methodology be designed, validated, and institutionalised to serve SEBI's sustainable finance regulatory objectives — enabling investor-grade ESG comparability for Indian listed companies across all 22 SEBI-defined industry sectors?</w:t>
            </w:r>
          </w:p>
        </w:tc>
      </w:tr>
    </w:tbl>
    <w:p>
      <w:pPr>
        <w:spacing w:after="80"/>
      </w:pPr>
      <w:r>
        <w:t xml:space="preserve"/>
      </w:r>
    </w:p>
    <w:p>
      <w:r>
        <w:br w:type="page"/>
      </w:r>
    </w:p>
    <w:p>
      <w:pPr>
        <w:pStyle w:val="Heading1"/>
        <w:spacing w:after="120" w:before="300"/>
      </w:pPr>
      <w:r>
        <w:rPr>
          <w:b/>
          <w:bCs/>
          <w:color w:val="1A6B38"/>
        </w:rPr>
        <w:t xml:space="preserve">1. INTRODUCTION AND PROBLEM STATEMENT</w:t>
      </w:r>
    </w:p>
    <w:p>
      <w:pPr>
        <w:pStyle w:val="Heading2"/>
        <w:spacing w:after="120" w:before="300"/>
      </w:pPr>
      <w:r>
        <w:rPr>
          <w:b/>
          <w:bCs/>
          <w:color w:val="0D1A0E"/>
        </w:rPr>
        <w:t xml:space="preserve">1.1 The ESG Regulatory Context in India</w:t>
      </w:r>
    </w:p>
    <w:p>
      <w:pPr>
        <w:spacing w:after="160"/>
        <w:jc w:val="both"/>
      </w:pPr>
      <w:r>
        <w:rPr>
          <w:b w:val="false"/>
          <w:bCs w:val="false"/>
          <w:i w:val="false"/>
          <w:iCs w:val="false"/>
          <w:color w:val="0D1A0E"/>
          <w:sz w:val="22"/>
          <w:szCs w:val="22"/>
        </w:rPr>
        <w:t xml:space="preserve">The Indian securities regulatory landscape has undergone remarkable evolution in its approach to Environmental, Social, and Governance (ESG) considerations. SEBI's introduction of the Business Responsibility and Sustainability Report (BRSR) in 2021 — mandatory for the top 1000 listed companies from FY 2022-23, with BRSR Core assurance mandated from FY 2024-25 — represents the most significant structural reform of corporate sustainability disclosure in India's capital market history.</w:t>
      </w:r>
    </w:p>
    <w:p>
      <w:pPr>
        <w:spacing w:after="160"/>
        <w:jc w:val="both"/>
      </w:pPr>
      <w:r>
        <w:rPr>
          <w:b w:val="false"/>
          <w:bCs w:val="false"/>
          <w:i w:val="false"/>
          <w:iCs w:val="false"/>
          <w:color w:val="0D1A0E"/>
          <w:sz w:val="22"/>
          <w:szCs w:val="22"/>
        </w:rPr>
        <w:t xml:space="preserve">SEBI's June 2025 Framework for ESG Debt Securities (Circular SEBI/HO/DDHS/DDHS-POD-1/P/CIR/2025/84) extending beyond green bonds to include social bonds, sustainability bonds, and sustainability-linked bonds (SLBs), has further deepened the regulatory architecture. The Reserve Bank of India's climate risk guidelines for banks, the Ministry of Corporate Affairs' amendments to CSR reporting, and India's NDC commitments (net-zero by 2070, 500 GW renewable capacity by 2030) collectively create a policy ecosystem in which ESG measurement, scoring, and accountability are no longer peripheral — they are central to market functioning.</w:t>
      </w:r>
    </w:p>
    <w:p>
      <w:pPr>
        <w:pStyle w:val="Heading2"/>
        <w:spacing w:after="120" w:before="300"/>
      </w:pPr>
      <w:r>
        <w:rPr>
          <w:b/>
          <w:bCs/>
          <w:color w:val="0D1A0E"/>
        </w:rPr>
        <w:t xml:space="preserve">1.2 The Critical Gap: No Standardised India-Specific ESG Rating Framework</w:t>
      </w:r>
    </w:p>
    <w:p>
      <w:pPr>
        <w:spacing w:after="160"/>
        <w:jc w:val="both"/>
      </w:pPr>
      <w:r>
        <w:rPr>
          <w:b w:val="false"/>
          <w:bCs w:val="false"/>
          <w:i w:val="false"/>
          <w:iCs w:val="false"/>
          <w:color w:val="0D1A0E"/>
          <w:sz w:val="22"/>
          <w:szCs w:val="22"/>
        </w:rPr>
        <w:t xml:space="preserve">Despite this regulatory depth, a foundational infrastructure gap persists: India has no standardised, publicly available, regulator-endorsed ESG scoring methodology calibrated to its own disclosure framework (BRSR) and market structure. The consequences of this gap are significant:</w:t>
      </w:r>
    </w:p>
    <w:p>
      <w:pPr>
        <w:pStyle w:val="ListParagraph"/>
        <w:numPr>
          <w:ilvl w:val="0"/>
          <w:numId w:val="2"/>
        </w:numPr>
        <w:spacing w:after="100"/>
      </w:pPr>
      <w:r>
        <w:rPr>
          <w:b w:val="false"/>
          <w:bCs w:val="false"/>
          <w:color w:val="0D1A0E"/>
          <w:sz w:val="22"/>
          <w:szCs w:val="22"/>
        </w:rPr>
        <w:t xml:space="preserve">Global rating agencies (MSCI, Sustainalytics, S&amp;P Global ESG Scores) charge ₹10–25 lakh per company annually, rendering ESG ratings inaccessible to the 800+ mid-cap and small-cap companies within SEBI's expanding BRSR perimeter.</w:t>
      </w:r>
    </w:p>
    <w:p>
      <w:pPr>
        <w:pStyle w:val="ListParagraph"/>
        <w:numPr>
          <w:ilvl w:val="0"/>
          <w:numId w:val="2"/>
        </w:numPr>
        <w:spacing w:after="100"/>
      </w:pPr>
      <w:r>
        <w:rPr>
          <w:b w:val="false"/>
          <w:bCs w:val="false"/>
          <w:color w:val="0D1A0E"/>
          <w:sz w:val="22"/>
          <w:szCs w:val="22"/>
        </w:rPr>
        <w:t xml:space="preserve">These agencies operate opaque, proprietary methodologies that neither regulators nor investors can audit, reproduce, or challenge — a structural accountability deficit.</w:t>
      </w:r>
    </w:p>
    <w:p>
      <w:pPr>
        <w:pStyle w:val="ListParagraph"/>
        <w:numPr>
          <w:ilvl w:val="0"/>
          <w:numId w:val="2"/>
        </w:numPr>
        <w:spacing w:after="100"/>
      </w:pPr>
      <w:r>
        <w:rPr>
          <w:b w:val="false"/>
          <w:bCs w:val="false"/>
          <w:color w:val="0D1A0E"/>
          <w:sz w:val="22"/>
          <w:szCs w:val="22"/>
        </w:rPr>
        <w:t xml:space="preserve">Global methodologies are calibrated to international disclosure norms (CDP, GRI, SASB), not to India's BRSR framework — resulting in systematic scoring errors for Indian companies.</w:t>
      </w:r>
    </w:p>
    <w:p>
      <w:pPr>
        <w:pStyle w:val="ListParagraph"/>
        <w:numPr>
          <w:ilvl w:val="0"/>
          <w:numId w:val="2"/>
        </w:numPr>
        <w:spacing w:after="100"/>
      </w:pPr>
      <w:r>
        <w:rPr>
          <w:b w:val="false"/>
          <w:bCs w:val="false"/>
          <w:color w:val="0D1A0E"/>
          <w:sz w:val="22"/>
          <w:szCs w:val="22"/>
        </w:rPr>
        <w:t xml:space="preserve">The absence of a common scoring vocabulary creates fragmentation: companies, investors, proxy advisors, and lenders each use different ESG metrics, rendering comparability impossible.</w:t>
      </w:r>
    </w:p>
    <w:p>
      <w:pPr>
        <w:pStyle w:val="ListParagraph"/>
        <w:numPr>
          <w:ilvl w:val="0"/>
          <w:numId w:val="2"/>
        </w:numPr>
        <w:spacing w:after="100"/>
      </w:pPr>
      <w:r>
        <w:rPr>
          <w:b w:val="false"/>
          <w:bCs w:val="false"/>
          <w:color w:val="0D1A0E"/>
          <w:sz w:val="22"/>
          <w:szCs w:val="22"/>
        </w:rPr>
        <w:t xml:space="preserve">SEBI's own frameworks — BRSR, ESG Debt Securities, SEBI ESG mutual fund categorisation — have no scoring backbone. Enforcement, comparison, and investor guidance remain qualitative.</w:t>
      </w:r>
    </w:p>
    <w:p>
      <w:pPr>
        <w:spacing w:after="80"/>
      </w:pPr>
      <w:r>
        <w:t xml:space="preserve"/>
      </w:r>
    </w:p>
    <w:p>
      <w:pPr>
        <w:pStyle w:val="Heading2"/>
        <w:spacing w:after="120" w:before="300"/>
      </w:pPr>
      <w:r>
        <w:rPr>
          <w:b/>
          <w:bCs/>
          <w:color w:val="0D1A0E"/>
        </w:rPr>
        <w:t xml:space="preserve">1.3 The Opportunity: A SEBI-Backed Standardised Framework</w:t>
      </w:r>
    </w:p>
    <w:p>
      <w:pPr>
        <w:spacing w:after="160"/>
        <w:jc w:val="both"/>
      </w:pPr>
      <w:r>
        <w:rPr>
          <w:b w:val="false"/>
          <w:bCs w:val="false"/>
          <w:i w:val="false"/>
          <w:iCs w:val="false"/>
          <w:color w:val="0D1A0E"/>
          <w:sz w:val="22"/>
          <w:szCs w:val="22"/>
        </w:rPr>
        <w:t xml:space="preserve">This research proposes to close this gap by developing a Regulator-Grade ESG Scoring and Rating Methodology that is: (a) anchored in SEBI's BRSR disclosure structure; (b) aligned with GRI, TCFD, ISSB S1/S2, SASB, and UN SDGs; (c) calibrated across 22 SEBI-defined industry sectors; (d) validated on a nationally representative sample of 200 listed Indian companies across 3 financial years (FY 2021-22 to 2023-24); (e) published in the public domain as a contribution to India's sustainable finance infrastructure; and (f) designed for adoption as a reference framework by SEBI, NISM, institutional investors, and ESG rating providers.</w:t>
      </w:r>
    </w:p>
    <w:p>
      <w:r>
        <w:br w:type="page"/>
      </w:r>
    </w:p>
    <w:p>
      <w:pPr>
        <w:pStyle w:val="Heading1"/>
        <w:spacing w:after="120" w:before="300"/>
      </w:pPr>
      <w:r>
        <w:rPr>
          <w:b/>
          <w:bCs/>
          <w:color w:val="1A6B38"/>
        </w:rPr>
        <w:t xml:space="preserve">2. REVIEW OF LITERATURE AND RESEARCH GAPS</w:t>
      </w:r>
    </w:p>
    <w:p>
      <w:pPr>
        <w:pStyle w:val="Heading2"/>
        <w:spacing w:after="120" w:before="300"/>
      </w:pPr>
      <w:r>
        <w:rPr>
          <w:b/>
          <w:bCs/>
          <w:color w:val="0D1A0E"/>
        </w:rPr>
        <w:t xml:space="preserve">2.1 Global ESG Rating Methodologies: State of Knowledge</w:t>
      </w:r>
    </w:p>
    <w:p>
      <w:pPr>
        <w:spacing w:after="160"/>
        <w:jc w:val="both"/>
      </w:pPr>
      <w:r>
        <w:rPr>
          <w:b w:val="false"/>
          <w:bCs w:val="false"/>
          <w:i w:val="false"/>
          <w:iCs w:val="false"/>
          <w:color w:val="0D1A0E"/>
          <w:sz w:val="22"/>
          <w:szCs w:val="22"/>
        </w:rPr>
        <w:t xml:space="preserve">The academic and practitioner literature on ESG rating methodologies reveals several well-established findings. Berg, Koelbel and Rigobon (2022, Review of Finance) demonstrated a striking divergence between six major ESG rating agencies — with pairwise correlations as low as 0.38 — attributable to differences in scope (what is measured), measurement (how it is measured), and weights (how dimensions are combined). This divergence undermines investor decision-making and creates a 'rating shopping' problem analogous to credit rating shopping pre-2008.</w:t>
      </w:r>
    </w:p>
    <w:p>
      <w:pPr>
        <w:spacing w:after="160"/>
        <w:jc w:val="both"/>
      </w:pPr>
      <w:r>
        <w:rPr>
          <w:b w:val="false"/>
          <w:bCs w:val="false"/>
          <w:i w:val="false"/>
          <w:iCs w:val="false"/>
          <w:color w:val="0D1A0E"/>
          <w:sz w:val="22"/>
          <w:szCs w:val="22"/>
        </w:rPr>
        <w:t xml:space="preserve">Chatterji et al. (2016, Strategic Management Journal) showed that ESG ratings are driven as much by disclosure sophistication as by underlying performance — a finding with particular relevance for BRSR, where disclosure quality varies enormously by company size and sector. Gibson Brandon et al. (2021, Journal of Finance) found that portfolio managers relying on heterogeneous ESG ratings make systematically different decisions, with material financial consequences.</w:t>
      </w:r>
    </w:p>
    <w:p>
      <w:pPr>
        <w:spacing w:after="160"/>
        <w:jc w:val="both"/>
      </w:pPr>
      <w:r>
        <w:rPr>
          <w:b w:val="false"/>
          <w:bCs w:val="false"/>
          <w:i w:val="false"/>
          <w:iCs w:val="false"/>
          <w:color w:val="0D1A0E"/>
          <w:sz w:val="22"/>
          <w:szCs w:val="22"/>
        </w:rPr>
        <w:t xml:space="preserve">For Indian markets specifically, the literature is nascent. Vashisht and Gupta (2020, Finance Research Letters) examined BSE 100 companies and found ESG reporting quality positively associated with firm value — but used a self-constructed, unvalidated index. Mishra and Yadav (2023, Journal of Cleaner Production) analysed BRSR adoption patterns in Indian manufacturing, identifying sector-specific disclosure gaps. The absence of a validated, sector-calibrated, BRSR-anchored ESG scoring methodology remains the central lacuna in this literature.</w:t>
      </w:r>
    </w:p>
    <w:p>
      <w:pPr>
        <w:pStyle w:val="Heading2"/>
        <w:spacing w:after="120" w:before="300"/>
      </w:pPr>
      <w:r>
        <w:rPr>
          <w:b/>
          <w:bCs/>
          <w:color w:val="0D1A0E"/>
        </w:rPr>
        <w:t xml:space="preserve">2.2 Key Research Gaps Identified</w:t>
      </w:r>
    </w:p>
    <w:p>
      <w:pPr>
        <w:pStyle w:val="ListParagraph"/>
        <w:numPr>
          <w:ilvl w:val="0"/>
          <w:numId w:val="2"/>
        </w:numPr>
        <w:spacing w:after="100"/>
      </w:pPr>
      <w:r>
        <w:rPr>
          <w:b/>
          <w:bCs/>
          <w:color w:val="0D1A0E"/>
          <w:sz w:val="22"/>
          <w:szCs w:val="22"/>
        </w:rPr>
        <w:t xml:space="preserve">No peer-reviewed study has developed or validated a comprehensive ESG scoring methodology anchored in India's BRSR framework across all 22 SEBI industry sectors.</w:t>
      </w:r>
    </w:p>
    <w:p>
      <w:pPr>
        <w:pStyle w:val="ListParagraph"/>
        <w:numPr>
          <w:ilvl w:val="0"/>
          <w:numId w:val="2"/>
        </w:numPr>
        <w:spacing w:after="100"/>
      </w:pPr>
      <w:r>
        <w:rPr>
          <w:b w:val="false"/>
          <w:bCs w:val="false"/>
          <w:color w:val="0D1A0E"/>
          <w:sz w:val="22"/>
          <w:szCs w:val="22"/>
        </w:rPr>
        <w:t xml:space="preserve">Existing global methodologies (MSCI, Sustainalytics) have not been subjected to external replication, validation, or comparison against BRSR-specific disclosure parameters.</w:t>
      </w:r>
    </w:p>
    <w:p>
      <w:pPr>
        <w:pStyle w:val="ListParagraph"/>
        <w:numPr>
          <w:ilvl w:val="0"/>
          <w:numId w:val="2"/>
        </w:numPr>
        <w:spacing w:after="100"/>
      </w:pPr>
      <w:r>
        <w:rPr>
          <w:b w:val="false"/>
          <w:bCs w:val="false"/>
          <w:color w:val="0D1A0E"/>
          <w:sz w:val="22"/>
          <w:szCs w:val="22"/>
        </w:rPr>
        <w:t xml:space="preserve">The relationship between BRSR disclosure quality and ESG scoring divergence (vs. global ratings) has not been empirically examined for Indian listed companies.</w:t>
      </w:r>
    </w:p>
    <w:p>
      <w:pPr>
        <w:pStyle w:val="ListParagraph"/>
        <w:numPr>
          <w:ilvl w:val="0"/>
          <w:numId w:val="2"/>
        </w:numPr>
        <w:spacing w:after="100"/>
      </w:pPr>
      <w:r>
        <w:rPr>
          <w:b w:val="false"/>
          <w:bCs w:val="false"/>
          <w:color w:val="0D1A0E"/>
          <w:sz w:val="22"/>
          <w:szCs w:val="22"/>
        </w:rPr>
        <w:t xml:space="preserve">No study has developed a greenwashing detection protocol calibrated to India's BRSR disclosure context and SEBI's regulatory requirements.</w:t>
      </w:r>
    </w:p>
    <w:p>
      <w:pPr>
        <w:pStyle w:val="ListParagraph"/>
        <w:numPr>
          <w:ilvl w:val="0"/>
          <w:numId w:val="2"/>
        </w:numPr>
        <w:spacing w:after="100"/>
      </w:pPr>
      <w:r>
        <w:rPr>
          <w:b w:val="false"/>
          <w:bCs w:val="false"/>
          <w:color w:val="0D1A0E"/>
          <w:sz w:val="22"/>
          <w:szCs w:val="22"/>
        </w:rPr>
        <w:t xml:space="preserve">SDG contribution mapping integrated with ESG scoring — a critical requirement for SEBI's ESG Debt Securities framework — remains methodologically underdeveloped in the Indian context.</w:t>
      </w:r>
    </w:p>
    <w:p>
      <w:pPr>
        <w:spacing w:after="80"/>
      </w:pPr>
      <w:r>
        <w:t xml:space="preserve"/>
      </w:r>
    </w:p>
    <w:p>
      <w:r>
        <w:br w:type="page"/>
      </w:r>
    </w:p>
    <w:p>
      <w:pPr>
        <w:pStyle w:val="Heading1"/>
        <w:spacing w:after="120" w:before="300"/>
      </w:pPr>
      <w:r>
        <w:rPr>
          <w:b/>
          <w:bCs/>
          <w:color w:val="1A6B38"/>
        </w:rPr>
        <w:t xml:space="preserve">3. RESEARCH OBJECTIVES</w:t>
      </w:r>
    </w:p>
    <w:p>
      <w:pPr>
        <w:spacing w:after="160"/>
        <w:jc w:val="both"/>
      </w:pPr>
      <w:r>
        <w:rPr>
          <w:b w:val="false"/>
          <w:bCs w:val="false"/>
          <w:i w:val="false"/>
          <w:iCs w:val="false"/>
          <w:color w:val="0D1A0E"/>
          <w:sz w:val="22"/>
          <w:szCs w:val="22"/>
        </w:rPr>
        <w:t xml:space="preserve">This project has six primary objectives, structured across a three-year timeline:</w:t>
      </w:r>
    </w:p>
    <w:p>
      <w:pPr>
        <w:pStyle w:val="ListParagraph"/>
        <w:numPr>
          <w:ilvl w:val="0"/>
          <w:numId w:val="3"/>
        </w:numPr>
        <w:spacing w:after="100"/>
      </w:pPr>
      <w:r>
        <w:rPr>
          <w:color w:val="0D1A0E"/>
          <w:sz w:val="22"/>
          <w:szCs w:val="22"/>
        </w:rPr>
        <w:t xml:space="preserve">Develop a comprehensive, validated ESG Scoring Methodology comprising 133 parameters across Environmental (52), Social (48), and Governance (33) dimensions, calibrated to SEBI's BRSR framework and aligned with GRI, TCFD, ISSB S1/S2, SASB, and UN SDGs.</w:t>
      </w:r>
    </w:p>
    <w:p>
      <w:pPr>
        <w:pStyle w:val="ListParagraph"/>
        <w:numPr>
          <w:ilvl w:val="0"/>
          <w:numId w:val="3"/>
        </w:numPr>
        <w:spacing w:after="100"/>
      </w:pPr>
      <w:r>
        <w:rPr>
          <w:color w:val="0D1A0E"/>
          <w:sz w:val="22"/>
          <w:szCs w:val="22"/>
        </w:rPr>
        <w:t xml:space="preserve">Design and validate Industry-Specific ESG Weight Matrices for all 22 SEBI-defined industry sectors — recognising that material ESG topics vary fundamentally between petrochemicals, banking, IT, healthcare, and consumer goods.</w:t>
      </w:r>
    </w:p>
    <w:p>
      <w:pPr>
        <w:pStyle w:val="ListParagraph"/>
        <w:numPr>
          <w:ilvl w:val="0"/>
          <w:numId w:val="3"/>
        </w:numPr>
        <w:spacing w:after="100"/>
      </w:pPr>
      <w:r>
        <w:rPr>
          <w:color w:val="0D1A0E"/>
          <w:sz w:val="22"/>
          <w:szCs w:val="22"/>
        </w:rPr>
        <w:t xml:space="preserve">Conduct large-scale empirical validation of the methodology on a sample of 200 NSE/BSE-listed companies across 3 financial years (FY 2021-22 to 2023-24), generating India's first nationally representative ESG score database.</w:t>
      </w:r>
    </w:p>
    <w:p>
      <w:pPr>
        <w:pStyle w:val="ListParagraph"/>
        <w:numPr>
          <w:ilvl w:val="0"/>
          <w:numId w:val="3"/>
        </w:numPr>
        <w:spacing w:after="100"/>
      </w:pPr>
      <w:r>
        <w:rPr>
          <w:color w:val="0D1A0E"/>
          <w:sz w:val="22"/>
          <w:szCs w:val="22"/>
        </w:rPr>
        <w:t xml:space="preserve">Develop a Greenwashing Detection Protocol calibrated to BRSR disclosure patterns, SEBI's regulatory requirements for ESG Debt Securities, and the six-indicator greenwashing taxonomy derived from IOSCO and ESMA frameworks.</w:t>
      </w:r>
    </w:p>
    <w:p>
      <w:pPr>
        <w:pStyle w:val="ListParagraph"/>
        <w:numPr>
          <w:ilvl w:val="0"/>
          <w:numId w:val="3"/>
        </w:numPr>
        <w:spacing w:after="100"/>
      </w:pPr>
      <w:r>
        <w:rPr>
          <w:color w:val="0D1A0E"/>
          <w:sz w:val="22"/>
          <w:szCs w:val="22"/>
        </w:rPr>
        <w:t xml:space="preserve">Create an SDG Contribution Scoring Module for all 17 UN SDGs, enabling integration with SEBI's ESG Debt Securities framework, SLB structuring, and impact investor reporting.</w:t>
      </w:r>
    </w:p>
    <w:p>
      <w:pPr>
        <w:pStyle w:val="ListParagraph"/>
        <w:numPr>
          <w:ilvl w:val="0"/>
          <w:numId w:val="3"/>
        </w:numPr>
        <w:spacing w:after="100"/>
      </w:pPr>
      <w:r>
        <w:rPr>
          <w:color w:val="0D1A0E"/>
          <w:sz w:val="22"/>
          <w:szCs w:val="22"/>
        </w:rPr>
        <w:t xml:space="preserve">Publish the complete Methodology as an open-access resource and submit a Policy Brief to SEBI recommending its adoption as a reference framework for BRSR scoring, ESG mutual fund benchmarking, and ESG Debt Securities verification.</w:t>
      </w:r>
    </w:p>
    <w:p>
      <w:pPr>
        <w:spacing w:after="80"/>
      </w:pPr>
      <w:r>
        <w:t xml:space="preserve"/>
      </w:r>
    </w:p>
    <w:p>
      <w:r>
        <w:br w:type="page"/>
      </w:r>
    </w:p>
    <w:p>
      <w:pPr>
        <w:pStyle w:val="Heading1"/>
        <w:spacing w:after="120" w:before="300"/>
      </w:pPr>
      <w:r>
        <w:rPr>
          <w:b/>
          <w:bCs/>
          <w:color w:val="1A6B38"/>
        </w:rPr>
        <w:t xml:space="preserve">4. RESEARCH METHODOLOGY</w:t>
      </w:r>
    </w:p>
    <w:p>
      <w:pPr>
        <w:pStyle w:val="Heading2"/>
        <w:spacing w:after="120" w:before="300"/>
      </w:pPr>
      <w:r>
        <w:rPr>
          <w:b/>
          <w:bCs/>
          <w:color w:val="0D1A0E"/>
        </w:rPr>
        <w:t xml:space="preserve">4.1 Methodological Overview</w:t>
      </w:r>
    </w:p>
    <w:p>
      <w:pPr>
        <w:spacing w:after="160"/>
        <w:jc w:val="both"/>
      </w:pPr>
      <w:r>
        <w:rPr>
          <w:b w:val="false"/>
          <w:bCs w:val="false"/>
          <w:i w:val="false"/>
          <w:iCs w:val="false"/>
          <w:color w:val="0D1A0E"/>
          <w:sz w:val="22"/>
          <w:szCs w:val="22"/>
        </w:rPr>
        <w:t xml:space="preserve">This research employs a mixed-methods design integrating: (a) systematic literature review and framework synthesis; (b) expert validation through Delphi method; (c) quantitative panel data analysis for validation; and (d) case-based methodology validation through pilot ESG ratings of 200 Indian listed companies. The methodology builds upon the Principal Investigator's existing 133-parameter ESG scoring framework, which has been designed and pilot-tested prior to this proposal.</w:t>
      </w:r>
    </w:p>
    <w:p>
      <w:pPr>
        <w:pStyle w:val="Heading2"/>
        <w:spacing w:after="120" w:before="300"/>
      </w:pPr>
      <w:r>
        <w:rPr>
          <w:b/>
          <w:bCs/>
          <w:color w:val="0D1A0E"/>
        </w:rPr>
        <w:t xml:space="preserve">4.2 Phase 1 (Year 1): Framework Development and Expert Validation</w:t>
      </w:r>
    </w:p>
    <w:p>
      <w:pPr>
        <w:pStyle w:val="Heading3"/>
        <w:spacing w:after="120" w:before="300"/>
      </w:pPr>
      <w:r>
        <w:rPr>
          <w:b/>
          <w:bCs/>
          <w:color w:val="0D1A0E"/>
        </w:rPr>
        <w:t xml:space="preserve">4.2.1 Parameter Architecture Development</w:t>
      </w:r>
    </w:p>
    <w:p>
      <w:pPr>
        <w:spacing w:after="160"/>
        <w:jc w:val="both"/>
      </w:pPr>
      <w:r>
        <w:rPr>
          <w:b w:val="false"/>
          <w:bCs w:val="false"/>
          <w:i w:val="false"/>
          <w:iCs w:val="false"/>
          <w:color w:val="0D1A0E"/>
          <w:sz w:val="22"/>
          <w:szCs w:val="22"/>
        </w:rPr>
        <w:t xml:space="preserve">The 133-parameter ESG scoring framework will be comprehensively documented, mapped to BRSR disclosure requirements (all 9 Principles and BRSR Core parameters), and cross-referenced against GRI Universal and Topic Standards, TCFD four-pillar structure, ISSB S1/S2 requirements, SASB industry-specific standards, and UN SDG indicators. Parameter scoring rubrics will be operationalised for each of the 133 parameters across four sub-dimensions: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38"/>
        <w:gridCol w:w="5000"/>
      </w:tblGrid>
      <w:tr>
        <w:trPr>
          <w:tblHeader/>
        </w:trPr>
        <w:tc>
          <w:tcPr>
            <w:tcW w:type="dxa" w:w="20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Sub-Dimension</w:t>
            </w:r>
          </w:p>
        </w:tc>
        <w:tc>
          <w:tcPr>
            <w:tcW w:type="dxa" w:w="16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Weight</w:t>
            </w:r>
          </w:p>
        </w:tc>
        <w:tc>
          <w:tcPr>
            <w:tcW w:type="dxa" w:w="50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Operationalisation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Disclosure Presence</w:t>
            </w:r>
          </w:p>
        </w:tc>
        <w:tc>
          <w:tcPr>
            <w:tcW w:type="dxa" w:w="1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25%</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Binary score (disclosed / not disclosed) + partial disclosure gradations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Data Quality</w:t>
            </w:r>
          </w:p>
        </w:tc>
        <w:tc>
          <w:tcPr>
            <w:tcW w:type="dxa" w:w="1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25%</w:t>
            </w:r>
          </w:p>
        </w:tc>
        <w:tc>
          <w:tcPr>
            <w:tcW w:type="dxa" w:w="50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Third-party verification, quantification, consistent units, YoY comparability</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Performance Level</w:t>
            </w:r>
          </w:p>
        </w:tc>
        <w:tc>
          <w:tcPr>
            <w:tcW w:type="dxa" w:w="1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30%</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Absolute performance vs. industry peer median (sector-adjusted)</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YoY Trend</w:t>
            </w:r>
          </w:p>
        </w:tc>
        <w:tc>
          <w:tcPr>
            <w:tcW w:type="dxa" w:w="1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20%</w:t>
            </w:r>
          </w:p>
        </w:tc>
        <w:tc>
          <w:tcPr>
            <w:tcW w:type="dxa" w:w="50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3-year directional trend: improving (+), stable (0), deteriorating (−)</w:t>
            </w:r>
          </w:p>
        </w:tc>
      </w:tr>
    </w:tbl>
    <w:p>
      <w:pPr>
        <w:spacing w:after="80"/>
      </w:pPr>
      <w:r>
        <w:t xml:space="preserve"/>
      </w:r>
    </w:p>
    <w:p>
      <w:pPr>
        <w:pStyle w:val="Heading3"/>
        <w:spacing w:after="120" w:before="300"/>
      </w:pPr>
      <w:r>
        <w:rPr>
          <w:b/>
          <w:bCs/>
          <w:color w:val="0D1A0E"/>
        </w:rPr>
        <w:t xml:space="preserve">4.2.2 Industry Weight Matrix Development</w:t>
      </w:r>
    </w:p>
    <w:p>
      <w:pPr>
        <w:spacing w:after="160"/>
        <w:jc w:val="both"/>
      </w:pPr>
      <w:r>
        <w:rPr>
          <w:b w:val="false"/>
          <w:bCs w:val="false"/>
          <w:i w:val="false"/>
          <w:iCs w:val="false"/>
          <w:color w:val="0D1A0E"/>
          <w:sz w:val="22"/>
          <w:szCs w:val="22"/>
        </w:rPr>
        <w:t xml:space="preserve">Industry-specific E/S/G weight matrices will be developed for all 22 SEBI industry sectors through a structured three-stage process: (a) materiality analysis drawing on SASB Materiality Map, GRI sector standards, and SEBI BRSR sector-specific requirements; (b) expert validation through two rounds of Delphi with a panel of 30 experts comprising SEBI officials, institutional investors, ESG rating professionals, and sustainability practitioners; and (c) empirical validation through regression analysis testing whether sector-adjusted scores predict financial outcomes better than generic weights.</w:t>
      </w:r>
    </w:p>
    <w:p>
      <w:pPr>
        <w:pStyle w:val="Heading3"/>
        <w:spacing w:after="120" w:before="300"/>
      </w:pPr>
      <w:r>
        <w:rPr>
          <w:b/>
          <w:bCs/>
          <w:color w:val="0D1A0E"/>
        </w:rPr>
        <w:t xml:space="preserve">4.2.3 Delphi Expert Panel</w:t>
      </w:r>
    </w:p>
    <w:p>
      <w:pPr>
        <w:spacing w:after="160"/>
        <w:jc w:val="both"/>
      </w:pPr>
      <w:r>
        <w:rPr>
          <w:b w:val="false"/>
          <w:bCs w:val="false"/>
          <w:i w:val="false"/>
          <w:iCs w:val="false"/>
          <w:color w:val="0D1A0E"/>
          <w:sz w:val="22"/>
          <w:szCs w:val="22"/>
        </w:rPr>
        <w:t xml:space="preserve">A structured 30-member expert panel will be constituted comprising: 5 SEBI/NISM officials (sustainability policy domain), 5 institutional investor ESG analysts (FPI, MF, insurance), 5 ESG rating professionals (domestic rating agencies, ESG data firms), 5 corporate sustainability heads (representing different sectors), 5 academic ESG/finance researchers (IIM/IIT/central university affiliations), and 5 civil society and development finance representatives. Two Delphi rounds will be conducted — Round 1 assessing parameter relevance and weight appropriateness, Round 2 validating revised weights and resolving divergences.</w:t>
      </w:r>
    </w:p>
    <w:p>
      <w:pPr>
        <w:pStyle w:val="Heading2"/>
        <w:spacing w:after="120" w:before="300"/>
      </w:pPr>
      <w:r>
        <w:rPr>
          <w:b/>
          <w:bCs/>
          <w:color w:val="0D1A0E"/>
        </w:rPr>
        <w:t xml:space="preserve">4.3 Phase 2 (Year 2): Large-Scale Empirical Validation</w:t>
      </w:r>
    </w:p>
    <w:p>
      <w:pPr>
        <w:pStyle w:val="Heading3"/>
        <w:spacing w:after="120" w:before="300"/>
      </w:pPr>
      <w:r>
        <w:rPr>
          <w:b/>
          <w:bCs/>
          <w:color w:val="0D1A0E"/>
        </w:rPr>
        <w:t xml:space="preserve">4.3.1 Sample Design</w:t>
      </w:r>
    </w:p>
    <w:p>
      <w:pPr>
        <w:spacing w:after="160"/>
        <w:jc w:val="both"/>
      </w:pPr>
      <w:r>
        <w:rPr>
          <w:b w:val="false"/>
          <w:bCs w:val="false"/>
          <w:i w:val="false"/>
          <w:iCs w:val="false"/>
          <w:color w:val="0D1A0E"/>
          <w:sz w:val="22"/>
          <w:szCs w:val="22"/>
        </w:rPr>
        <w:t xml:space="preserve">The validation sample will comprise 200 NSE/BSE-listed companies, stratified across: (a) 22 SEBI industry sectors (proportional representation); (b) 3 market cap tiers (large-cap, mid-cap, small-cap in ratio 80:80:40); (c) 3 financial years (FY 2021-22, 2022-23, 2023-24), generating a panel dataset of 600 company-year observations. Companies will be selected using stratified random sampling from the NSE500 and BSE500 universe, supplemented by smaller companies for sector balance.</w:t>
      </w:r>
    </w:p>
    <w:p>
      <w:pPr>
        <w:pStyle w:val="Heading3"/>
        <w:spacing w:after="120" w:before="300"/>
      </w:pPr>
      <w:r>
        <w:rPr>
          <w:b/>
          <w:bCs/>
          <w:color w:val="0D1A0E"/>
        </w:rPr>
        <w:t xml:space="preserve">4.3.2 Data Sources</w:t>
      </w:r>
    </w:p>
    <w:p>
      <w:pPr>
        <w:pStyle w:val="ListParagraph"/>
        <w:numPr>
          <w:ilvl w:val="0"/>
          <w:numId w:val="2"/>
        </w:numPr>
        <w:spacing w:after="100"/>
      </w:pPr>
      <w:r>
        <w:rPr>
          <w:b w:val="false"/>
          <w:bCs w:val="false"/>
          <w:color w:val="0D1A0E"/>
          <w:sz w:val="22"/>
          <w:szCs w:val="22"/>
        </w:rPr>
        <w:t xml:space="preserve">Primary: Integrated Annual Reports, BRSR filings, TCFD disclosures, corporate sustainability reports, CSR reports, exchange filings (NSE/BSE), MCA databases</w:t>
      </w:r>
    </w:p>
    <w:p>
      <w:pPr>
        <w:pStyle w:val="ListParagraph"/>
        <w:numPr>
          <w:ilvl w:val="0"/>
          <w:numId w:val="2"/>
        </w:numPr>
        <w:spacing w:after="100"/>
      </w:pPr>
      <w:r>
        <w:rPr>
          <w:b w:val="false"/>
          <w:bCs w:val="false"/>
          <w:color w:val="0D1A0E"/>
          <w:sz w:val="22"/>
          <w:szCs w:val="22"/>
        </w:rPr>
        <w:t xml:space="preserve">Secondary: Bloomberg ESG, CMIE Prowess, Refinitiv Eikon (for financial data normalisation), RBI DBIE (sector benchmarks)</w:t>
      </w:r>
    </w:p>
    <w:p>
      <w:pPr>
        <w:pStyle w:val="ListParagraph"/>
        <w:numPr>
          <w:ilvl w:val="0"/>
          <w:numId w:val="2"/>
        </w:numPr>
        <w:spacing w:after="100"/>
      </w:pPr>
      <w:r>
        <w:rPr>
          <w:b w:val="false"/>
          <w:bCs w:val="false"/>
          <w:color w:val="0D1A0E"/>
          <w:sz w:val="22"/>
          <w:szCs w:val="22"/>
        </w:rPr>
        <w:t xml:space="preserve">Validation: MSCI ESG Rating public disclosures, Sustainalytics publicly available data, CDP public scores — for convergent validity testing</w:t>
      </w:r>
    </w:p>
    <w:p>
      <w:pPr>
        <w:pStyle w:val="Heading3"/>
        <w:spacing w:after="120" w:before="300"/>
      </w:pPr>
      <w:r>
        <w:rPr>
          <w:b/>
          <w:bCs/>
          <w:color w:val="0D1A0E"/>
        </w:rPr>
        <w:t xml:space="preserve">4.3.3 Analytical Framework</w:t>
      </w:r>
    </w:p>
    <w:p>
      <w:pPr>
        <w:spacing w:after="160"/>
        <w:jc w:val="both"/>
      </w:pPr>
      <w:r>
        <w:rPr>
          <w:b w:val="false"/>
          <w:bCs w:val="false"/>
          <w:i w:val="false"/>
          <w:iCs w:val="false"/>
          <w:color w:val="0D1A0E"/>
          <w:sz w:val="22"/>
          <w:szCs w:val="22"/>
        </w:rPr>
        <w:t xml:space="preserve">Validation will employ: (a) Confirmatory Factor Analysis (CFA) to validate the three-factor E/S/G structure; (b) Structural Equation Modelling (SEM) to test whether ESG scores predict financial outcomes (Tobin's Q, ROE, cost of capital); (c) Convergent validity analysis comparing scores with available MSCI/Sustainalytics ratings; (d) Discriminant validity analysis testing whether sector-adjusted scores differentiate companies meaningfully within industries; (e) Inter-rater reliability testing across 3 trained coders.</w:t>
      </w:r>
    </w:p>
    <w:p>
      <w:pPr>
        <w:pStyle w:val="Heading2"/>
        <w:spacing w:after="120" w:before="300"/>
      </w:pPr>
      <w:r>
        <w:rPr>
          <w:b/>
          <w:bCs/>
          <w:color w:val="0D1A0E"/>
        </w:rPr>
        <w:t xml:space="preserve">4.4 Phase 3 (Year 3): Greenwashing Detection, SDG Module, and Policy Output</w:t>
      </w:r>
    </w:p>
    <w:p>
      <w:pPr>
        <w:pStyle w:val="Heading3"/>
        <w:spacing w:after="120" w:before="300"/>
      </w:pPr>
      <w:r>
        <w:rPr>
          <w:b/>
          <w:bCs/>
          <w:color w:val="0D1A0E"/>
        </w:rPr>
        <w:t xml:space="preserve">4.4.1 Greenwashing Detection Protocol</w:t>
      </w:r>
    </w:p>
    <w:p>
      <w:pPr>
        <w:spacing w:after="160"/>
        <w:jc w:val="both"/>
      </w:pPr>
      <w:r>
        <w:rPr>
          <w:b w:val="false"/>
          <w:bCs w:val="false"/>
          <w:i w:val="false"/>
          <w:iCs w:val="false"/>
          <w:color w:val="0D1A0E"/>
          <w:sz w:val="22"/>
          <w:szCs w:val="22"/>
        </w:rPr>
        <w:t xml:space="preserve">A structured six-indicator greenwashing detection protocol will be developed and validated, covering: (1) Specificity of claims (quantified vs. narrative-only); (2) Scope completeness (Scope 1/2/3 alignment with Net Zero claims); (3) Third-party verification quality; (4) Consistency between disclosed actions and core business trajectory; (5) Material controversy transparency; and (6) Peer comparison accuracy. Each indicator will be operationalised into a binary or ordinal scoring rubric applicable to any company's ESG disclosure.</w:t>
      </w:r>
    </w:p>
    <w:p>
      <w:pPr>
        <w:pStyle w:val="Heading3"/>
        <w:spacing w:after="120" w:before="300"/>
      </w:pPr>
      <w:r>
        <w:rPr>
          <w:b/>
          <w:bCs/>
          <w:color w:val="0D1A0E"/>
        </w:rPr>
        <w:t xml:space="preserve">4.4.2 SDG Contribution Scoring Module</w:t>
      </w:r>
    </w:p>
    <w:p>
      <w:pPr>
        <w:spacing w:after="160"/>
        <w:jc w:val="both"/>
      </w:pPr>
      <w:r>
        <w:rPr>
          <w:b w:val="false"/>
          <w:bCs w:val="false"/>
          <w:i w:val="false"/>
          <w:iCs w:val="false"/>
          <w:color w:val="0D1A0E"/>
          <w:sz w:val="22"/>
          <w:szCs w:val="22"/>
        </w:rPr>
        <w:t xml:space="preserve">A 17-goal SDG contribution scoring module will be developed, mapping specific BRSR parameters and additional indicators to each SDG's target-level indicators. Positive contribution scores (0–10 per SDG) and negative impact adjustments will be computed. This module will be integrated with the ESG scoring framework to generate SDG alignment reports usable for green bond second-party opinions, SLB target-setting, and impact investor reporting under SEBI's ESG Debt Securities framework.</w:t>
      </w:r>
    </w:p>
    <w:p>
      <w:pPr>
        <w:pStyle w:val="Heading3"/>
        <w:spacing w:after="120" w:before="300"/>
      </w:pPr>
      <w:r>
        <w:rPr>
          <w:b/>
          <w:bCs/>
          <w:color w:val="0D1A0E"/>
        </w:rPr>
        <w:t xml:space="preserve">4.4.3 Policy Output</w:t>
      </w:r>
    </w:p>
    <w:p>
      <w:pPr>
        <w:spacing w:after="160"/>
        <w:jc w:val="both"/>
      </w:pPr>
      <w:r>
        <w:rPr>
          <w:b w:val="false"/>
          <w:bCs w:val="false"/>
          <w:i w:val="false"/>
          <w:iCs w:val="false"/>
          <w:color w:val="0D1A0E"/>
          <w:sz w:val="22"/>
          <w:szCs w:val="22"/>
        </w:rPr>
        <w:t xml:space="preserve">The final year will produce: (a) the complete open-access methodology document; (b) a validated ESG score database for 200 companies × 3 years; (c) a Policy Brief for SEBI recommending framework adoption; (d) a NISM Technical Note for practitioner use; and (e) three peer-reviewed publications in ABDC A/Scopus Q1 journals.</w:t>
      </w:r>
    </w:p>
    <w:p>
      <w:r>
        <w:br w:type="page"/>
      </w:r>
    </w:p>
    <w:p>
      <w:pPr>
        <w:pStyle w:val="Heading1"/>
        <w:spacing w:after="120" w:before="300"/>
      </w:pPr>
      <w:r>
        <w:rPr>
          <w:b/>
          <w:bCs/>
          <w:color w:val="1A6B38"/>
        </w:rPr>
        <w:t xml:space="preserve">5. SIGNIFICANCE AND EXPECTED CONTRIBUTIONS</w:t>
      </w:r>
    </w:p>
    <w:p>
      <w:pPr>
        <w:pStyle w:val="Heading2"/>
        <w:spacing w:after="120" w:before="300"/>
      </w:pPr>
      <w:r>
        <w:rPr>
          <w:b/>
          <w:bCs/>
          <w:color w:val="0D1A0E"/>
        </w:rPr>
        <w:t xml:space="preserve">5.1 Academic Contributions</w:t>
      </w:r>
    </w:p>
    <w:p>
      <w:pPr>
        <w:pStyle w:val="ListParagraph"/>
        <w:numPr>
          <w:ilvl w:val="0"/>
          <w:numId w:val="2"/>
        </w:numPr>
        <w:spacing w:after="100"/>
      </w:pPr>
      <w:r>
        <w:rPr>
          <w:b/>
          <w:bCs/>
          <w:color w:val="0D1A0E"/>
          <w:sz w:val="22"/>
          <w:szCs w:val="22"/>
        </w:rPr>
        <w:t xml:space="preserve">First peer-reviewed, empirically validated ESG scoring methodology anchored in India's BRSR framework — filling a critical gap in the sustainable finance literature.</w:t>
      </w:r>
    </w:p>
    <w:p>
      <w:pPr>
        <w:pStyle w:val="ListParagraph"/>
        <w:numPr>
          <w:ilvl w:val="0"/>
          <w:numId w:val="2"/>
        </w:numPr>
        <w:spacing w:after="100"/>
      </w:pPr>
      <w:r>
        <w:rPr>
          <w:b w:val="false"/>
          <w:bCs w:val="false"/>
          <w:color w:val="0D1A0E"/>
          <w:sz w:val="22"/>
          <w:szCs w:val="22"/>
        </w:rPr>
        <w:t xml:space="preserve">Methodological contribution to the ESG rating divergence literature (Berg et al., 2022 branch) — introducing BRSR-calibrated scoring as a solution to divergence in the Indian context.</w:t>
      </w:r>
    </w:p>
    <w:p>
      <w:pPr>
        <w:pStyle w:val="ListParagraph"/>
        <w:numPr>
          <w:ilvl w:val="0"/>
          <w:numId w:val="2"/>
        </w:numPr>
        <w:spacing w:after="100"/>
      </w:pPr>
      <w:r>
        <w:rPr>
          <w:b w:val="false"/>
          <w:bCs w:val="false"/>
          <w:color w:val="0D1A0E"/>
          <w:sz w:val="22"/>
          <w:szCs w:val="22"/>
        </w:rPr>
        <w:t xml:space="preserve">Novel greenwashing detection protocol validated against Indian disclosure patterns — contributing to the emerging literature on ESG data integrity.</w:t>
      </w:r>
    </w:p>
    <w:p>
      <w:pPr>
        <w:pStyle w:val="ListParagraph"/>
        <w:numPr>
          <w:ilvl w:val="0"/>
          <w:numId w:val="2"/>
        </w:numPr>
        <w:spacing w:after="100"/>
      </w:pPr>
      <w:r>
        <w:rPr>
          <w:b w:val="false"/>
          <w:bCs w:val="false"/>
          <w:color w:val="0D1A0E"/>
          <w:sz w:val="22"/>
          <w:szCs w:val="22"/>
        </w:rPr>
        <w:t xml:space="preserve">Panel dataset of 200 companies × 3 years — the largest India-specific ESG score dataset in the academic public domain.</w:t>
      </w:r>
    </w:p>
    <w:p>
      <w:pPr>
        <w:pStyle w:val="Heading2"/>
        <w:spacing w:after="120" w:before="300"/>
      </w:pPr>
      <w:r>
        <w:rPr>
          <w:b/>
          <w:bCs/>
          <w:color w:val="0D1A0E"/>
        </w:rPr>
        <w:t xml:space="preserve">5.2 Policy Contributions</w:t>
      </w:r>
    </w:p>
    <w:p>
      <w:pPr>
        <w:pStyle w:val="ListParagraph"/>
        <w:numPr>
          <w:ilvl w:val="0"/>
          <w:numId w:val="2"/>
        </w:numPr>
        <w:spacing w:after="100"/>
      </w:pPr>
      <w:r>
        <w:rPr>
          <w:b/>
          <w:bCs/>
          <w:color w:val="0D1A0E"/>
          <w:sz w:val="22"/>
          <w:szCs w:val="22"/>
        </w:rPr>
        <w:t xml:space="preserve">Provides SEBI with a methodological backbone for ESG scoring — enabling regulatory benchmarking, investor guidance, and ESG Debt Securities verification.</w:t>
      </w:r>
    </w:p>
    <w:p>
      <w:pPr>
        <w:pStyle w:val="ListParagraph"/>
        <w:numPr>
          <w:ilvl w:val="0"/>
          <w:numId w:val="2"/>
        </w:numPr>
        <w:spacing w:after="100"/>
      </w:pPr>
      <w:r>
        <w:rPr>
          <w:b w:val="false"/>
          <w:bCs w:val="false"/>
          <w:color w:val="0D1A0E"/>
          <w:sz w:val="22"/>
          <w:szCs w:val="22"/>
        </w:rPr>
        <w:t xml:space="preserve">Addresses SEBI's expressed concern (Annual Report 2023-24) about the lack of a standardised ESG rating framework for Indian markets.</w:t>
      </w:r>
    </w:p>
    <w:p>
      <w:pPr>
        <w:pStyle w:val="ListParagraph"/>
        <w:numPr>
          <w:ilvl w:val="0"/>
          <w:numId w:val="2"/>
        </w:numPr>
        <w:spacing w:after="100"/>
      </w:pPr>
      <w:r>
        <w:rPr>
          <w:b w:val="false"/>
          <w:bCs w:val="false"/>
          <w:color w:val="0D1A0E"/>
          <w:sz w:val="22"/>
          <w:szCs w:val="22"/>
        </w:rPr>
        <w:t xml:space="preserve">Supports SEBI's ESG Debt Securities Framework (June 2025) by providing a validated methodology for SLB target-setting, second-party opinions, and post-issuance impact reporting.</w:t>
      </w:r>
    </w:p>
    <w:p>
      <w:pPr>
        <w:pStyle w:val="ListParagraph"/>
        <w:numPr>
          <w:ilvl w:val="0"/>
          <w:numId w:val="2"/>
        </w:numPr>
        <w:spacing w:after="100"/>
      </w:pPr>
      <w:r>
        <w:rPr>
          <w:b w:val="false"/>
          <w:bCs w:val="false"/>
          <w:color w:val="0D1A0E"/>
          <w:sz w:val="22"/>
          <w:szCs w:val="22"/>
        </w:rPr>
        <w:t xml:space="preserve">Contributes to NISM's capacity-building mandate by providing a publicly available, teachable ESG scoring curriculum.</w:t>
      </w:r>
    </w:p>
    <w:p>
      <w:pPr>
        <w:pStyle w:val="Heading2"/>
        <w:spacing w:after="120" w:before="300"/>
      </w:pPr>
      <w:r>
        <w:rPr>
          <w:b/>
          <w:bCs/>
          <w:color w:val="0D1A0E"/>
        </w:rPr>
        <w:t xml:space="preserve">5.3 Market Contributions</w:t>
      </w:r>
    </w:p>
    <w:p>
      <w:pPr>
        <w:pStyle w:val="ListParagraph"/>
        <w:numPr>
          <w:ilvl w:val="0"/>
          <w:numId w:val="2"/>
        </w:numPr>
        <w:spacing w:after="100"/>
      </w:pPr>
      <w:r>
        <w:rPr>
          <w:b/>
          <w:bCs/>
          <w:color w:val="0D1A0E"/>
          <w:sz w:val="22"/>
          <w:szCs w:val="22"/>
        </w:rPr>
        <w:t xml:space="preserve">Reduces ESG rating costs for Indian listed companies — particularly mid-caps and small-caps facing BRSR compliance requirements without access to MSCI-level ratings.</w:t>
      </w:r>
    </w:p>
    <w:p>
      <w:pPr>
        <w:pStyle w:val="ListParagraph"/>
        <w:numPr>
          <w:ilvl w:val="0"/>
          <w:numId w:val="2"/>
        </w:numPr>
        <w:spacing w:after="100"/>
      </w:pPr>
      <w:r>
        <w:rPr>
          <w:b w:val="false"/>
          <w:bCs w:val="false"/>
          <w:color w:val="0D1A0E"/>
          <w:sz w:val="22"/>
          <w:szCs w:val="22"/>
        </w:rPr>
        <w:t xml:space="preserve">Provides institutional investors (domestic MFs, insurance companies, FPIs) with a transparent, auditable ESG scoring tool aligned with SEBI regulations.</w:t>
      </w:r>
    </w:p>
    <w:p>
      <w:pPr>
        <w:pStyle w:val="ListParagraph"/>
        <w:numPr>
          <w:ilvl w:val="0"/>
          <w:numId w:val="2"/>
        </w:numPr>
        <w:spacing w:after="100"/>
      </w:pPr>
      <w:r>
        <w:rPr>
          <w:b w:val="false"/>
          <w:bCs w:val="false"/>
          <w:color w:val="0D1A0E"/>
          <w:sz w:val="22"/>
          <w:szCs w:val="22"/>
        </w:rPr>
        <w:t xml:space="preserve">Enables listed companies to conduct self-assessment against the methodology, improving BRSR disclosure quality and reducing greenwashing risk.</w:t>
      </w:r>
    </w:p>
    <w:p>
      <w:pPr>
        <w:pStyle w:val="ListParagraph"/>
        <w:numPr>
          <w:ilvl w:val="0"/>
          <w:numId w:val="2"/>
        </w:numPr>
        <w:spacing w:after="100"/>
      </w:pPr>
      <w:r>
        <w:rPr>
          <w:b w:val="false"/>
          <w:bCs w:val="false"/>
          <w:color w:val="0D1A0E"/>
          <w:sz w:val="22"/>
          <w:szCs w:val="22"/>
        </w:rPr>
        <w:t xml:space="preserve">Supports India's ambition to develop domestic ESG rating capacity — reducing dependence on foreign rating agencies for a strategically important market function.</w:t>
      </w:r>
    </w:p>
    <w:p>
      <w:r>
        <w:br w:type="page"/>
      </w:r>
    </w:p>
    <w:p>
      <w:pPr>
        <w:pStyle w:val="Heading1"/>
        <w:spacing w:after="120" w:before="300"/>
      </w:pPr>
      <w:r>
        <w:rPr>
          <w:b/>
          <w:bCs/>
          <w:color w:val="1A6B38"/>
        </w:rPr>
        <w:t xml:space="preserve">6. WORK PLAN AND TIMELINE</w:t>
      </w:r>
    </w:p>
    <w:p>
      <w:pPr>
        <w:pStyle w:val="Heading2"/>
        <w:spacing w:after="120" w:before="300"/>
      </w:pPr>
      <w:r>
        <w:rPr>
          <w:b/>
          <w:bCs/>
          <w:color w:val="0D1A0E"/>
        </w:rPr>
        <w:t xml:space="preserve">6.1 Three-Year Phased Work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38"/>
        <w:gridCol w:w="2200"/>
      </w:tblGrid>
      <w:tr>
        <w:trPr>
          <w:tblHeader/>
        </w:trPr>
        <w:tc>
          <w:tcPr>
            <w:tcW w:type="dxa" w:w="14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Phase / Year</w:t>
            </w:r>
          </w:p>
        </w:tc>
        <w:tc>
          <w:tcPr>
            <w:tcW w:type="dxa" w:w="28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Key Activities</w:t>
            </w:r>
          </w:p>
        </w:tc>
        <w:tc>
          <w:tcPr>
            <w:tcW w:type="dxa" w:w="32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D4EAD9" w:val="clear"/>
            <w:tcMar>
              <w:top w:type="dxa" w:w="100"/>
              <w:left w:type="dxa" w:w="150"/>
              <w:bottom w:type="dxa" w:w="100"/>
              <w:right w:type="dxa" w:w="150"/>
            </w:tcMar>
            <w:vAlign w:val="center"/>
          </w:tcPr>
          <w:p>
            <w:pPr>
              <w:jc w:val="left"/>
            </w:pPr>
            <w:r>
              <w:rPr>
                <w:b/>
                <w:bCs/>
                <w:i w:val="false"/>
                <w:iCs w:val="false"/>
                <w:color w:val="0D1A0E"/>
                <w:sz w:val="20"/>
                <w:szCs w:val="20"/>
              </w:rPr>
              <w:t xml:space="preserve">Phase 1 (Year 1): Framework Development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Literature review; BRSR-GRI-TCFD-ISSB parameter mapping; Delphi Round 1 &amp; 2; Industry weight matrix development; Pilot rating of 20 companies</w:t>
            </w:r>
          </w:p>
        </w:tc>
        <w:tc>
          <w:tcPr>
            <w:tcW w:type="dxa" w:w="32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Framework Document v1.0; Delphi Report; Industry Weight Matrix; 20 pilot ESG ratings; Paper 1 (methodology)</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Months 1–12</w:t>
            </w:r>
          </w:p>
        </w:tc>
      </w:tr>
      <w:tr>
        <w:tc>
          <w:tcPr>
            <w:tcW w:type="dxa" w:w="1400"/>
            <w:tcBorders>
              <w:top w:val="single" w:color="CCCCCC" w:sz="1"/>
              <w:left w:val="single" w:color="CCCCCC" w:sz="1"/>
              <w:bottom w:val="single" w:color="CCCCCC" w:sz="1"/>
              <w:right w:val="single" w:color="CCCCCC" w:sz="1"/>
            </w:tcBorders>
            <w:shd w:fill="F5E3CC" w:val="clear"/>
            <w:tcMar>
              <w:top w:type="dxa" w:w="100"/>
              <w:left w:type="dxa" w:w="150"/>
              <w:bottom w:type="dxa" w:w="100"/>
              <w:right w:type="dxa" w:w="150"/>
            </w:tcMar>
            <w:vAlign w:val="center"/>
          </w:tcPr>
          <w:p>
            <w:pPr>
              <w:jc w:val="left"/>
            </w:pPr>
            <w:r>
              <w:rPr>
                <w:b/>
                <w:bCs/>
                <w:i w:val="false"/>
                <w:iCs w:val="false"/>
                <w:color w:val="0D1A0E"/>
                <w:sz w:val="20"/>
                <w:szCs w:val="20"/>
              </w:rPr>
              <w:t xml:space="preserve">Phase 2 (Year 2): Large-Scale Validation</w:t>
            </w:r>
          </w:p>
        </w:tc>
        <w:tc>
          <w:tcPr>
            <w:tcW w:type="dxa" w:w="28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Data collection (200 companies × 3 years); ESG scoring; CFA/SEM analysis; Convergent validity testing; Greenwashing protocol development</w:t>
            </w:r>
          </w:p>
        </w:tc>
        <w:tc>
          <w:tcPr>
            <w:tcW w:type="dxa" w:w="32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ESG score database (600 obs.); Validation Report; Greenwashing Protocol; Paper 2 (validation); Paper 3 (greenwashing)</w:t>
            </w:r>
          </w:p>
        </w:tc>
        <w:tc>
          <w:tcPr>
            <w:tcW w:type="dxa" w:w="2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Months 13–24</w:t>
            </w:r>
          </w:p>
        </w:tc>
      </w:tr>
      <w:tr>
        <w:tc>
          <w:tcPr>
            <w:tcW w:type="dxa" w:w="1400"/>
            <w:tcBorders>
              <w:top w:val="single" w:color="CCCCCC" w:sz="1"/>
              <w:left w:val="single" w:color="CCCCCC" w:sz="1"/>
              <w:bottom w:val="single" w:color="CCCCCC" w:sz="1"/>
              <w:right w:val="single" w:color="CCCCCC" w:sz="1"/>
            </w:tcBorders>
            <w:shd w:fill="CDE8E5" w:val="clear"/>
            <w:tcMar>
              <w:top w:type="dxa" w:w="100"/>
              <w:left w:type="dxa" w:w="150"/>
              <w:bottom w:type="dxa" w:w="100"/>
              <w:right w:type="dxa" w:w="150"/>
            </w:tcMar>
            <w:vAlign w:val="center"/>
          </w:tcPr>
          <w:p>
            <w:pPr>
              <w:jc w:val="left"/>
            </w:pPr>
            <w:r>
              <w:rPr>
                <w:b/>
                <w:bCs/>
                <w:i w:val="false"/>
                <w:iCs w:val="false"/>
                <w:color w:val="0D1A0E"/>
                <w:sz w:val="20"/>
                <w:szCs w:val="20"/>
              </w:rPr>
              <w:t xml:space="preserve">Phase 3 (Year 3): SDG Module &amp; Policy Output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SDG contribution module development; Policy brief preparation; Open-access methodology publication; NISM technical note; Dissemination</w:t>
            </w:r>
          </w:p>
        </w:tc>
        <w:tc>
          <w:tcPr>
            <w:tcW w:type="dxa" w:w="32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SDG Scoring Module; Open-access Methodology; SEBI Policy Brief; NISM Technical Note; Final Project Report; Paper 4</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Months 25–36</w:t>
            </w:r>
          </w:p>
        </w:tc>
      </w:tr>
    </w:tbl>
    <w:p>
      <w:pPr>
        <w:spacing w:after="80"/>
      </w:pPr>
      <w:r>
        <w:t xml:space="preserve"/>
      </w:r>
    </w:p>
    <w:p>
      <w:pPr>
        <w:pStyle w:val="Heading2"/>
        <w:spacing w:after="120" w:before="300"/>
      </w:pPr>
      <w:r>
        <w:rPr>
          <w:b/>
          <w:bCs/>
          <w:color w:val="0D1A0E"/>
        </w:rPr>
        <w:t xml:space="preserve">6.2 Milestone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200"/>
        <w:gridCol w:w="1400"/>
        <w:gridCol w:w="1400"/>
      </w:tblGrid>
      <w:tr>
        <w:trPr>
          <w:tblHeader/>
        </w:trPr>
        <w:tc>
          <w:tcPr>
            <w:tcW w:type="dxa" w:w="56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Quarter</w:t>
            </w:r>
          </w:p>
        </w:tc>
        <w:tc>
          <w:tcPr>
            <w:tcW w:type="dxa" w:w="14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Year</w:t>
            </w:r>
          </w:p>
        </w:tc>
        <w:tc>
          <w:tcPr>
            <w:tcW w:type="dxa" w:w="14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Status</w:t>
            </w:r>
          </w:p>
        </w:tc>
      </w:tr>
      <w:tr>
        <w:tc>
          <w:tcPr>
            <w:tcW w:type="dxa" w:w="5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Complete BRSR-GRI-TCFD-ISSB parameter mapping (133 parameters)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B5620A"/>
                <w:sz w:val="20"/>
                <w:szCs w:val="20"/>
              </w:rPr>
              <w:t xml:space="preserve">In Progress</w:t>
            </w:r>
          </w:p>
        </w:tc>
      </w:tr>
      <w:tr>
        <w:tc>
          <w:tcPr>
            <w:tcW w:type="dxa" w:w="5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Delphi Round 1 — Expert panel weight validation</w:t>
            </w:r>
          </w:p>
        </w:tc>
        <w:tc>
          <w:tcPr>
            <w:tcW w:type="dxa" w:w="1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Q2</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1</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Delphi Round 2 — Consensus finalisation and pilot testing</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Q3</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First research paper submitted (methodology paper)</w:t>
            </w:r>
          </w:p>
        </w:tc>
        <w:tc>
          <w:tcPr>
            <w:tcW w:type="dxa" w:w="1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Q4</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1</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Data collection complete (200 companies × 3 years)</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Q2</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2</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Full ESG scoring complete; validation analysis finalised</w:t>
            </w:r>
          </w:p>
        </w:tc>
        <w:tc>
          <w:tcPr>
            <w:tcW w:type="dxa" w:w="1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Q3</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2</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Papers 2 &amp; 3 submitted; Greenwashing Protocol published</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Q4</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2</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SDG Scoring Module finalised and validated</w:t>
            </w:r>
          </w:p>
        </w:tc>
        <w:tc>
          <w:tcPr>
            <w:tcW w:type="dxa" w:w="1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Q2</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3</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SEBI Policy Brief and NISM Technical Note submitted</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Q3</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3</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r>
        <w:tc>
          <w:tcPr>
            <w:tcW w:type="dxa" w:w="5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Open-access methodology published; Final Report submitted to SEBI</w:t>
            </w:r>
          </w:p>
        </w:tc>
        <w:tc>
          <w:tcPr>
            <w:tcW w:type="dxa" w:w="1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Q4</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Year 3</w:t>
            </w:r>
          </w:p>
        </w:tc>
        <w:tc>
          <w:tcPr>
            <w:tcW w:type="dxa" w:w="14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Planned</w:t>
            </w:r>
          </w:p>
        </w:tc>
      </w:tr>
    </w:tbl>
    <w:p>
      <w:r>
        <w:br w:type="page"/>
      </w:r>
    </w:p>
    <w:p>
      <w:pPr>
        <w:pStyle w:val="Heading1"/>
        <w:spacing w:after="120" w:before="300"/>
      </w:pPr>
      <w:r>
        <w:rPr>
          <w:b/>
          <w:bCs/>
          <w:color w:val="1A6B38"/>
        </w:rPr>
        <w:t xml:space="preserve">7. BUDGET JUSTIFICATION</w:t>
      </w:r>
    </w:p>
    <w:p>
      <w:pPr>
        <w:pStyle w:val="Heading2"/>
        <w:spacing w:after="120" w:before="300"/>
      </w:pPr>
      <w:r>
        <w:rPr>
          <w:b/>
          <w:bCs/>
          <w:color w:val="0D1A0E"/>
        </w:rPr>
        <w:t xml:space="preserve">7.1 Proposed Budget — Three-Year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500"/>
        <w:gridCol w:w="1500"/>
        <w:gridCol w:w="1500"/>
        <w:gridCol w:w="500"/>
      </w:tblGrid>
      <w:tr>
        <w:trPr>
          <w:tblHeader/>
        </w:trPr>
        <w:tc>
          <w:tcPr>
            <w:tcW w:type="dxa" w:w="46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Budget Head</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Year 1 (₹)</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Year 2 (₹)</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Year 3 (₹)</w:t>
            </w:r>
          </w:p>
        </w:tc>
        <w:tc>
          <w:tcPr>
            <w:tcW w:type="dxa" w:w="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Total (₹)</w:t>
            </w:r>
          </w:p>
        </w:tc>
      </w:tr>
      <w:tr>
        <w:tc>
          <w:tcPr>
            <w:tcW w:type="dxa" w:w="4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1. Personnel — Research Assistants (2 FTE × 3 yrs)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3,60,000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3,84,000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4,08,000</w:t>
            </w:r>
          </w:p>
        </w:tc>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11,52,000</w:t>
            </w:r>
          </w:p>
        </w:tc>
      </w:tr>
      <w:tr>
        <w:tc>
          <w:tcPr>
            <w:tcW w:type="dxa" w:w="4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2. Data Acquisition (Bloomberg/CMIE/Refinitiv access)</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2,50,000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2,50,000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1,00,000</w:t>
            </w:r>
          </w:p>
        </w:tc>
        <w:tc>
          <w:tcPr>
            <w:tcW w:type="dxa" w:w="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bCs/>
                <w:i w:val="false"/>
                <w:iCs w:val="false"/>
                <w:color w:val="0D1A0E"/>
                <w:sz w:val="20"/>
                <w:szCs w:val="20"/>
              </w:rPr>
              <w:t xml:space="preserve">6,00,000</w:t>
            </w:r>
          </w:p>
        </w:tc>
      </w:tr>
      <w:tr>
        <w:tc>
          <w:tcPr>
            <w:tcW w:type="dxa" w:w="4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3. Expert Delphi Panel (honoraria, travel, venue)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1,50,000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0</w:t>
            </w:r>
          </w:p>
        </w:tc>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1,50,000</w:t>
            </w:r>
          </w:p>
        </w:tc>
      </w:tr>
      <w:tr>
        <w:tc>
          <w:tcPr>
            <w:tcW w:type="dxa" w:w="4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4. Field Data Collection &amp; Company Report Procurement</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1,00,000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2,00,000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50,000</w:t>
            </w:r>
          </w:p>
        </w:tc>
        <w:tc>
          <w:tcPr>
            <w:tcW w:type="dxa" w:w="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bCs/>
                <w:i w:val="false"/>
                <w:iCs w:val="false"/>
                <w:color w:val="0D1A0E"/>
                <w:sz w:val="20"/>
                <w:szCs w:val="20"/>
              </w:rPr>
              <w:t xml:space="preserve">3,50,000</w:t>
            </w:r>
          </w:p>
        </w:tc>
      </w:tr>
      <w:tr>
        <w:tc>
          <w:tcPr>
            <w:tcW w:type="dxa" w:w="4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5. Software &amp; Statistical Tools (STATA/R/NVIVO licences)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80,000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80,000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80,000</w:t>
            </w:r>
          </w:p>
        </w:tc>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2,40,000</w:t>
            </w:r>
          </w:p>
        </w:tc>
      </w:tr>
      <w:tr>
        <w:tc>
          <w:tcPr>
            <w:tcW w:type="dxa" w:w="4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6. National Conferences &amp; Dissemination (4 events)</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60,000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80,000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1,20,000</w:t>
            </w:r>
          </w:p>
        </w:tc>
        <w:tc>
          <w:tcPr>
            <w:tcW w:type="dxa" w:w="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bCs/>
                <w:i w:val="false"/>
                <w:iCs w:val="false"/>
                <w:color w:val="0D1A0E"/>
                <w:sz w:val="20"/>
                <w:szCs w:val="20"/>
              </w:rPr>
              <w:t xml:space="preserve">2,60,000</w:t>
            </w:r>
          </w:p>
        </w:tc>
      </w:tr>
      <w:tr>
        <w:tc>
          <w:tcPr>
            <w:tcW w:type="dxa" w:w="4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7. International Conference (EFMA / AFA / FMA) — Year 2 &amp; 3</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1,50,000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1,50,000</w:t>
            </w:r>
          </w:p>
        </w:tc>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3,00,000</w:t>
            </w:r>
          </w:p>
        </w:tc>
      </w:tr>
      <w:tr>
        <w:tc>
          <w:tcPr>
            <w:tcW w:type="dxa" w:w="4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8. Open-Access Publication Charges (4 papers × ~₹1.5L APC)</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1,50,000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1,50,000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3,00,000</w:t>
            </w:r>
          </w:p>
        </w:tc>
        <w:tc>
          <w:tcPr>
            <w:tcW w:type="dxa" w:w="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bCs/>
                <w:i w:val="false"/>
                <w:iCs w:val="false"/>
                <w:color w:val="0D1A0E"/>
                <w:sz w:val="20"/>
                <w:szCs w:val="20"/>
              </w:rPr>
              <w:t xml:space="preserve">6,00,000</w:t>
            </w:r>
          </w:p>
        </w:tc>
      </w:tr>
      <w:tr>
        <w:tc>
          <w:tcPr>
            <w:tcW w:type="dxa" w:w="4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9. Research Equipment &amp; Infrastructure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1,00,000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0</w:t>
            </w:r>
          </w:p>
        </w:tc>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b/>
                <w:bCs/>
                <w:i w:val="false"/>
                <w:iCs w:val="false"/>
                <w:color w:val="0D1A0E"/>
                <w:sz w:val="20"/>
                <w:szCs w:val="20"/>
              </w:rPr>
              <w:t xml:space="preserve">1,00,000</w:t>
            </w:r>
          </w:p>
        </w:tc>
      </w:tr>
      <w:tr>
        <w:tc>
          <w:tcPr>
            <w:tcW w:type="dxa" w:w="4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10. Institutional Overheads (15%)</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1,87,500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1,94,250</w:t>
            </w:r>
          </w:p>
        </w:tc>
        <w:tc>
          <w:tcPr>
            <w:tcW w:type="dxa" w:w="1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val="false"/>
                <w:bCs w:val="false"/>
                <w:i w:val="false"/>
                <w:iCs w:val="false"/>
                <w:color w:val="0D1A0E"/>
                <w:sz w:val="20"/>
                <w:szCs w:val="20"/>
              </w:rPr>
              <w:t xml:space="preserve">1,80,750</w:t>
            </w:r>
          </w:p>
        </w:tc>
        <w:tc>
          <w:tcPr>
            <w:tcW w:type="dxa" w:w="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center"/>
            </w:pPr>
            <w:r>
              <w:rPr>
                <w:b/>
                <w:bCs/>
                <w:i w:val="false"/>
                <w:iCs w:val="false"/>
                <w:color w:val="0D1A0E"/>
                <w:sz w:val="20"/>
                <w:szCs w:val="20"/>
              </w:rPr>
              <w:t xml:space="preserve">5,62,500</w:t>
            </w:r>
          </w:p>
        </w:tc>
      </w:tr>
      <w:tr>
        <w:tc>
          <w:tcPr>
            <w:tcW w:type="dxa" w:w="46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TOTAL PROJECT BUDGET</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14,37,500</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14,88,250</w:t>
            </w:r>
          </w:p>
        </w:tc>
        <w:tc>
          <w:tcPr>
            <w:tcW w:type="dxa" w:w="1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13,88,750</w:t>
            </w:r>
          </w:p>
        </w:tc>
        <w:tc>
          <w:tcPr>
            <w:tcW w:type="dxa" w:w="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center"/>
            </w:pPr>
            <w:r>
              <w:rPr>
                <w:b/>
                <w:bCs/>
                <w:i w:val="false"/>
                <w:iCs w:val="false"/>
                <w:color w:val="FFFFFF"/>
                <w:sz w:val="20"/>
                <w:szCs w:val="20"/>
              </w:rPr>
              <w:t xml:space="preserve">43,14,500</w:t>
            </w:r>
          </w:p>
        </w:tc>
      </w:tr>
    </w:tbl>
    <w:p>
      <w:pPr>
        <w:spacing w:after="160"/>
        <w:jc w:val="both"/>
      </w:pPr>
      <w:r>
        <w:rPr>
          <w:b/>
          <w:bCs/>
          <w:i w:val="false"/>
          <w:iCs w:val="false"/>
          <w:color w:val="0D1A0E"/>
          <w:sz w:val="22"/>
          <w:szCs w:val="22"/>
        </w:rPr>
        <w:t xml:space="preserve">Note: </w:t>
      </w:r>
      <w:r>
        <w:rPr>
          <w:b w:val="false"/>
          <w:bCs w:val="false"/>
          <w:i w:val="false"/>
          <w:iCs w:val="false"/>
          <w:color w:val="0D1A0E"/>
          <w:sz w:val="22"/>
          <w:szCs w:val="22"/>
        </w:rPr>
        <w:t xml:space="preserve">Total project budget rounded to ₹42,50,000 for proposal purposes. Exact figures will be confirmed in detailed budget schedule. All costs are inclusive of applicable GST.</w:t>
      </w:r>
    </w:p>
    <w:p>
      <w:r>
        <w:br w:type="page"/>
      </w:r>
    </w:p>
    <w:p>
      <w:pPr>
        <w:pStyle w:val="Heading1"/>
        <w:spacing w:after="120" w:before="300"/>
      </w:pPr>
      <w:r>
        <w:rPr>
          <w:b/>
          <w:bCs/>
          <w:color w:val="1A6B38"/>
        </w:rPr>
        <w:t xml:space="preserve">8. EXPECTED OUTPUTS AND DELIVERABLES</w:t>
      </w:r>
    </w:p>
    <w:p>
      <w:pPr>
        <w:pStyle w:val="Heading2"/>
        <w:spacing w:after="120" w:before="300"/>
      </w:pPr>
      <w:r>
        <w:rPr>
          <w:b/>
          <w:bCs/>
          <w:color w:val="0D1A0E"/>
        </w:rPr>
        <w:t xml:space="preserve">8.1 Research Publications</w:t>
      </w:r>
    </w:p>
    <w:p>
      <w:pPr>
        <w:pStyle w:val="ListParagraph"/>
        <w:numPr>
          <w:ilvl w:val="0"/>
          <w:numId w:val="2"/>
        </w:numPr>
        <w:spacing w:after="100"/>
      </w:pPr>
      <w:r>
        <w:rPr>
          <w:b/>
          <w:bCs/>
          <w:color w:val="0D1A0E"/>
          <w:sz w:val="22"/>
          <w:szCs w:val="22"/>
        </w:rPr>
        <w:t xml:space="preserve">Paper 1 (Year 1): "A BRSR-Anchored ESG Scoring Methodology for Indian Listed Companies: Design, Parameterisation, and Expert Validation" — Target: Journal of Financial Regulation (Oxford) / IIMB Management Review (ABDC A)</w:t>
      </w:r>
    </w:p>
    <w:p>
      <w:pPr>
        <w:pStyle w:val="ListParagraph"/>
        <w:numPr>
          <w:ilvl w:val="0"/>
          <w:numId w:val="2"/>
        </w:numPr>
        <w:spacing w:after="100"/>
      </w:pPr>
      <w:r>
        <w:rPr>
          <w:b w:val="false"/>
          <w:bCs w:val="false"/>
          <w:color w:val="0D1A0E"/>
          <w:sz w:val="22"/>
          <w:szCs w:val="22"/>
        </w:rPr>
        <w:t xml:space="preserve">Paper 2 (Year 2): "Does ESG Scoring Predict Financial Performance? Evidence from Indian Listed Companies" — Target: Emerging Markets Review / Journal of Cleaner Production (Scopus Q1)</w:t>
      </w:r>
    </w:p>
    <w:p>
      <w:pPr>
        <w:pStyle w:val="ListParagraph"/>
        <w:numPr>
          <w:ilvl w:val="0"/>
          <w:numId w:val="2"/>
        </w:numPr>
        <w:spacing w:after="100"/>
      </w:pPr>
      <w:r>
        <w:rPr>
          <w:b w:val="false"/>
          <w:bCs w:val="false"/>
          <w:color w:val="0D1A0E"/>
          <w:sz w:val="22"/>
          <w:szCs w:val="22"/>
        </w:rPr>
        <w:t xml:space="preserve">Paper 3 (Year 2): "Greenwashing in BRSR Disclosures: Detection, Prevalence, and Regulatory Implications" — Target: Journal of Business Ethics (ABDC A*)</w:t>
      </w:r>
    </w:p>
    <w:p>
      <w:pPr>
        <w:pStyle w:val="ListParagraph"/>
        <w:numPr>
          <w:ilvl w:val="0"/>
          <w:numId w:val="2"/>
        </w:numPr>
        <w:spacing w:after="100"/>
      </w:pPr>
      <w:r>
        <w:rPr>
          <w:b w:val="false"/>
          <w:bCs w:val="false"/>
          <w:color w:val="0D1A0E"/>
          <w:sz w:val="22"/>
          <w:szCs w:val="22"/>
        </w:rPr>
        <w:t xml:space="preserve">Paper 4 (Year 3): "SDG Contribution Scoring and Sustainable Finance: Implications for SEBI's ESG Debt Securities Framework" — Target: Business Strategy and the Environment (ABDC A)</w:t>
      </w:r>
    </w:p>
    <w:p>
      <w:pPr>
        <w:pStyle w:val="Heading2"/>
        <w:spacing w:after="120" w:before="300"/>
      </w:pPr>
      <w:r>
        <w:rPr>
          <w:b/>
          <w:bCs/>
          <w:color w:val="0D1A0E"/>
        </w:rPr>
        <w:t xml:space="preserve">8.2 Policy Outputs</w:t>
      </w:r>
    </w:p>
    <w:p>
      <w:pPr>
        <w:pStyle w:val="ListParagraph"/>
        <w:numPr>
          <w:ilvl w:val="0"/>
          <w:numId w:val="2"/>
        </w:numPr>
        <w:spacing w:after="100"/>
      </w:pPr>
      <w:r>
        <w:rPr>
          <w:b/>
          <w:bCs/>
          <w:color w:val="0D1A0E"/>
          <w:sz w:val="22"/>
          <w:szCs w:val="22"/>
        </w:rPr>
        <w:t xml:space="preserve">SEBI Policy Brief: "Towards a Standardised ESG Rating Framework for Indian Capital Markets: Methodology, Validation, and Implementation Roadmap" (50 pages)</w:t>
      </w:r>
    </w:p>
    <w:p>
      <w:pPr>
        <w:pStyle w:val="ListParagraph"/>
        <w:numPr>
          <w:ilvl w:val="0"/>
          <w:numId w:val="2"/>
        </w:numPr>
        <w:spacing w:after="100"/>
      </w:pPr>
      <w:r>
        <w:rPr>
          <w:b w:val="false"/>
          <w:bCs w:val="false"/>
          <w:color w:val="0D1A0E"/>
          <w:sz w:val="22"/>
          <w:szCs w:val="22"/>
        </w:rPr>
        <w:t xml:space="preserve">NISM Technical Note: "ESG Scoring for BRSR-Compliant Companies: A Practitioner's Guide" (for use in NISM certification programmes)</w:t>
      </w:r>
    </w:p>
    <w:p>
      <w:pPr>
        <w:pStyle w:val="ListParagraph"/>
        <w:numPr>
          <w:ilvl w:val="0"/>
          <w:numId w:val="2"/>
        </w:numPr>
        <w:spacing w:after="100"/>
      </w:pPr>
      <w:r>
        <w:rPr>
          <w:b w:val="false"/>
          <w:bCs w:val="false"/>
          <w:color w:val="0D1A0E"/>
          <w:sz w:val="22"/>
          <w:szCs w:val="22"/>
        </w:rPr>
        <w:t xml:space="preserve">Open-Access Methodology Document: Full 133-parameter methodology with scoring rubrics, industry weights, and worked examples — published on the PI's institutional website and submitted to SEBI</w:t>
      </w:r>
    </w:p>
    <w:p>
      <w:pPr>
        <w:pStyle w:val="ListParagraph"/>
        <w:numPr>
          <w:ilvl w:val="0"/>
          <w:numId w:val="2"/>
        </w:numPr>
        <w:spacing w:after="100"/>
      </w:pPr>
      <w:r>
        <w:rPr>
          <w:b w:val="false"/>
          <w:bCs w:val="false"/>
          <w:color w:val="0D1A0E"/>
          <w:sz w:val="22"/>
          <w:szCs w:val="22"/>
        </w:rPr>
        <w:t xml:space="preserve">ESG Score Database: Validated scores for 200 companies × 3 years — made available to SEBI, NISM, and institutional investors upon request</w:t>
      </w:r>
    </w:p>
    <w:p>
      <w:pPr>
        <w:pStyle w:val="Heading2"/>
        <w:spacing w:after="120" w:before="300"/>
      </w:pPr>
      <w:r>
        <w:rPr>
          <w:b/>
          <w:bCs/>
          <w:color w:val="0D1A0E"/>
        </w:rPr>
        <w:t xml:space="preserve">8.3 Capacity Building Outputs</w:t>
      </w:r>
    </w:p>
    <w:p>
      <w:pPr>
        <w:pStyle w:val="ListParagraph"/>
        <w:numPr>
          <w:ilvl w:val="0"/>
          <w:numId w:val="2"/>
        </w:numPr>
        <w:spacing w:after="100"/>
      </w:pPr>
      <w:r>
        <w:rPr>
          <w:b/>
          <w:bCs/>
          <w:color w:val="0D1A0E"/>
          <w:sz w:val="22"/>
          <w:szCs w:val="22"/>
        </w:rPr>
        <w:t xml:space="preserve">Faculty Development Programme (FDP) on ESG Scoring Methodology — conducted for 2 B-schools / NISM in Year 3</w:t>
      </w:r>
    </w:p>
    <w:p>
      <w:pPr>
        <w:pStyle w:val="ListParagraph"/>
        <w:numPr>
          <w:ilvl w:val="0"/>
          <w:numId w:val="2"/>
        </w:numPr>
        <w:spacing w:after="100"/>
      </w:pPr>
      <w:r>
        <w:rPr>
          <w:b w:val="false"/>
          <w:bCs w:val="false"/>
          <w:color w:val="0D1A0E"/>
          <w:sz w:val="22"/>
          <w:szCs w:val="22"/>
        </w:rPr>
        <w:t xml:space="preserve">SEBI-NISM Research Conference presentation — Years 2 and 3</w:t>
      </w:r>
    </w:p>
    <w:p>
      <w:pPr>
        <w:pStyle w:val="ListParagraph"/>
        <w:numPr>
          <w:ilvl w:val="0"/>
          <w:numId w:val="2"/>
        </w:numPr>
        <w:spacing w:after="100"/>
      </w:pPr>
      <w:r>
        <w:rPr>
          <w:b w:val="false"/>
          <w:bCs w:val="false"/>
          <w:color w:val="0D1A0E"/>
          <w:sz w:val="22"/>
          <w:szCs w:val="22"/>
        </w:rPr>
        <w:t xml:space="preserve">Training of 2 Research Assistants to doctoral-level proficiency in ESG research methodology</w:t>
      </w:r>
    </w:p>
    <w:p>
      <w:r>
        <w:br w:type="page"/>
      </w:r>
    </w:p>
    <w:p>
      <w:pPr>
        <w:pStyle w:val="Heading1"/>
        <w:spacing w:after="120" w:before="300"/>
      </w:pPr>
      <w:r>
        <w:rPr>
          <w:b/>
          <w:bCs/>
          <w:color w:val="1A6B38"/>
        </w:rPr>
        <w:t xml:space="preserve">9. PRINCIPAL INVESTIGATOR CREDENTIALS</w:t>
      </w:r>
    </w:p>
    <w:p>
      <w:pPr>
        <w:pStyle w:val="Heading2"/>
        <w:spacing w:after="120" w:before="300"/>
      </w:pPr>
      <w:r>
        <w:rPr>
          <w:b/>
          <w:bCs/>
          <w:color w:val="0D1A0E"/>
        </w:rPr>
        <w:t xml:space="preserve">9.1 Academic Qualifications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Qualification</w:t>
            </w:r>
          </w:p>
        </w:tc>
        <w:tc>
          <w:tcPr>
            <w:tcW w:type="dxa" w:w="40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Institution</w:t>
            </w:r>
          </w:p>
        </w:tc>
        <w:tc>
          <w:tcPr>
            <w:tcW w:type="dxa" w:w="34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Specialisation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Ph.D in Finance</w:t>
            </w:r>
          </w:p>
        </w:tc>
        <w:tc>
          <w:tcPr>
            <w:tcW w:type="dxa" w:w="40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Indian Institute of Technology (IIT) Kharagpur — Institution of National Importance</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Finance, Capital Markets, Corporate Governance</w:t>
            </w:r>
          </w:p>
        </w:tc>
      </w:tr>
    </w:tbl>
    <w:p>
      <w:pPr>
        <w:spacing w:after="80"/>
      </w:pPr>
      <w:r>
        <w:t xml:space="preserve"/>
      </w:r>
    </w:p>
    <w:p>
      <w:pPr>
        <w:pStyle w:val="Heading2"/>
        <w:spacing w:after="120" w:before="300"/>
      </w:pPr>
      <w:r>
        <w:rPr>
          <w:b/>
          <w:bCs/>
          <w:color w:val="0D1A0E"/>
        </w:rPr>
        <w:t xml:space="preserve">9.2 Research and Professional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Profile Item</w:t>
            </w:r>
          </w:p>
        </w:tc>
        <w:tc>
          <w:tcPr>
            <w:tcW w:type="dxa" w:w="64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Research Experience</w:t>
            </w:r>
          </w:p>
        </w:tc>
        <w:tc>
          <w:tcPr>
            <w:tcW w:type="dxa" w:w="64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11+ years (including Ph.D period) in Finance, Capital Markets, ESG, and Sustainable Finance</w:t>
            </w:r>
          </w:p>
        </w:tc>
      </w:tr>
      <w:tr>
        <w:tc>
          <w:tcPr>
            <w:tcW w:type="dxa" w:w="3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bCs/>
                <w:i w:val="false"/>
                <w:iCs w:val="false"/>
                <w:color w:val="0D1A0E"/>
                <w:sz w:val="20"/>
                <w:szCs w:val="20"/>
              </w:rPr>
              <w:t xml:space="preserve">Peer-Reviewed Publications</w:t>
            </w:r>
          </w:p>
        </w:tc>
        <w:tc>
          <w:tcPr>
            <w:tcW w:type="dxa" w:w="64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20 articles in Scopus/ABDC indexed journals; focus areas: ESG, corporate finance, capital markets, behavioural finance, Indian markets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Ph.D Scholars Guided</w:t>
            </w:r>
          </w:p>
        </w:tc>
        <w:tc>
          <w:tcPr>
            <w:tcW w:type="dxa" w:w="64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3 ongoing doctoral scholars in Finance (areas: ESG disclosure, sustainable banking, corporate governance)</w:t>
            </w:r>
          </w:p>
        </w:tc>
      </w:tr>
      <w:tr>
        <w:tc>
          <w:tcPr>
            <w:tcW w:type="dxa" w:w="3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bCs/>
                <w:i w:val="false"/>
                <w:iCs w:val="false"/>
                <w:color w:val="0D1A0E"/>
                <w:sz w:val="20"/>
                <w:szCs w:val="20"/>
              </w:rPr>
              <w:t xml:space="preserve">Teaching Experience</w:t>
            </w:r>
          </w:p>
        </w:tc>
        <w:tc>
          <w:tcPr>
            <w:tcW w:type="dxa" w:w="64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Finance and Accounting (undergraduate and postgraduate levels); courses include Financial Management, Security Analysis, Corporate Finance, Research Methods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ESG Methodology Development</w:t>
            </w:r>
          </w:p>
        </w:tc>
        <w:tc>
          <w:tcPr>
            <w:tcW w:type="dxa" w:w="64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Designed, operationalised, and pilot-tested 133-parameter ESG scoring framework (MSCI-aligned); applied to publicly listed Indian companies including Reliance Industries (FY 2023-24 demonstration report)</w:t>
            </w:r>
          </w:p>
        </w:tc>
      </w:tr>
      <w:tr>
        <w:tc>
          <w:tcPr>
            <w:tcW w:type="dxa" w:w="32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bCs/>
                <w:i w:val="false"/>
                <w:iCs w:val="false"/>
                <w:color w:val="0D1A0E"/>
                <w:sz w:val="20"/>
                <w:szCs w:val="20"/>
              </w:rPr>
              <w:t xml:space="preserve">Industry Advisory</w:t>
            </w:r>
          </w:p>
        </w:tc>
        <w:tc>
          <w:tcPr>
            <w:tcW w:type="dxa" w:w="64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Independent ESG Advisor; BRSR gap analysis; ESG due diligence for investors; sustainable finance training for B-schools and corporates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Contact</w:t>
            </w:r>
          </w:p>
        </w:tc>
        <w:tc>
          <w:tcPr>
            <w:tcW w:type="dxa" w:w="64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1A6B38"/>
                <w:sz w:val="20"/>
                <w:szCs w:val="20"/>
              </w:rPr>
              <w:t xml:space="preserve">drdebasis.research@gmail.com</w:t>
            </w:r>
          </w:p>
        </w:tc>
      </w:tr>
    </w:tbl>
    <w:p>
      <w:pPr>
        <w:spacing w:after="80"/>
      </w:pPr>
      <w:r>
        <w:t xml:space="preserve"/>
      </w:r>
    </w:p>
    <w:p>
      <w:pPr>
        <w:pStyle w:val="Heading2"/>
        <w:spacing w:after="120" w:before="300"/>
      </w:pPr>
      <w:r>
        <w:rPr>
          <w:b/>
          <w:bCs/>
          <w:color w:val="0D1A0E"/>
        </w:rPr>
        <w:t xml:space="preserve">9.3 Relevance of PI Background to Proposed Research</w:t>
      </w:r>
    </w:p>
    <w:p>
      <w:pPr>
        <w:spacing w:after="160"/>
        <w:jc w:val="both"/>
      </w:pPr>
      <w:r>
        <w:rPr>
          <w:b w:val="false"/>
          <w:bCs w:val="false"/>
          <w:i w:val="false"/>
          <w:iCs w:val="false"/>
          <w:color w:val="0D1A0E"/>
          <w:sz w:val="22"/>
          <w:szCs w:val="22"/>
        </w:rPr>
        <w:t xml:space="preserve">The proposed research sits precisely at the intersection of the PI's doctoral training (Finance, IIT Kharagpur), research expertise (capital markets, corporate governance, ESG disclosure), and practitioner experience (independent ESG advisor, BRSR auditor). Uniquely, the PI has already designed and piloted the core methodology that this project proposes to formalise, validate, and institutionalise — demonstrating both feasibility and advanced readiness. The combination of IIT-level academic rigour, 20 peer-reviewed publications establishing research credibility, and active industry engagement providing market calibration is rare in the Indian ESG research landscape.</w:t>
      </w:r>
    </w:p>
    <w:p>
      <w:r>
        <w:br w:type="page"/>
      </w:r>
    </w:p>
    <w:p>
      <w:pPr>
        <w:pStyle w:val="Heading1"/>
        <w:spacing w:after="120" w:before="300"/>
      </w:pPr>
      <w:r>
        <w:rPr>
          <w:b/>
          <w:bCs/>
          <w:color w:val="1A6B38"/>
        </w:rPr>
        <w:t xml:space="preserve">10. ETHICAL CONSIDERATIONS AND DATA MANAGEMENT</w:t>
      </w:r>
    </w:p>
    <w:p>
      <w:pPr>
        <w:pStyle w:val="Heading2"/>
        <w:spacing w:after="120" w:before="300"/>
      </w:pPr>
      <w:r>
        <w:rPr>
          <w:b/>
          <w:bCs/>
          <w:color w:val="0D1A0E"/>
        </w:rPr>
        <w:t xml:space="preserve">10.1 Research Ethics</w:t>
      </w:r>
    </w:p>
    <w:p>
      <w:pPr>
        <w:spacing w:after="160"/>
        <w:jc w:val="both"/>
      </w:pPr>
      <w:r>
        <w:rPr>
          <w:b w:val="false"/>
          <w:bCs w:val="false"/>
          <w:i w:val="false"/>
          <w:iCs w:val="false"/>
          <w:color w:val="0D1A0E"/>
          <w:sz w:val="22"/>
          <w:szCs w:val="22"/>
        </w:rPr>
        <w:t xml:space="preserve">This research involves no human subjects in the clinical or social science sense. Data sources are publicly disclosed documents (Annual Reports, BRSR filings, Exchange filings, company websites). Expert Delphi participation will be voluntary, with informed consent, anonymised responses, and the option to withdraw at any stage. All data collection and analysis will adhere to the PI's institutional research ethics framework and applicable SEBI data use guidelines.</w:t>
      </w:r>
    </w:p>
    <w:p>
      <w:pPr>
        <w:pStyle w:val="Heading2"/>
        <w:spacing w:after="120" w:before="300"/>
      </w:pPr>
      <w:r>
        <w:rPr>
          <w:b/>
          <w:bCs/>
          <w:color w:val="0D1A0E"/>
        </w:rPr>
        <w:t xml:space="preserve">10.2 Data Management Plan</w:t>
      </w:r>
    </w:p>
    <w:p>
      <w:pPr>
        <w:pStyle w:val="ListParagraph"/>
        <w:numPr>
          <w:ilvl w:val="0"/>
          <w:numId w:val="2"/>
        </w:numPr>
        <w:spacing w:after="100"/>
      </w:pPr>
      <w:r>
        <w:rPr>
          <w:b w:val="false"/>
          <w:bCs w:val="false"/>
          <w:color w:val="0D1A0E"/>
          <w:sz w:val="22"/>
          <w:szCs w:val="22"/>
        </w:rPr>
        <w:t xml:space="preserve">Raw data (company ESG disclosures, extracted parameter scores) will be stored in password-protected institutional servers with daily backups.</w:t>
      </w:r>
    </w:p>
    <w:p>
      <w:pPr>
        <w:pStyle w:val="ListParagraph"/>
        <w:numPr>
          <w:ilvl w:val="0"/>
          <w:numId w:val="2"/>
        </w:numPr>
        <w:spacing w:after="100"/>
      </w:pPr>
      <w:r>
        <w:rPr>
          <w:b w:val="false"/>
          <w:bCs w:val="false"/>
          <w:color w:val="0D1A0E"/>
          <w:sz w:val="22"/>
          <w:szCs w:val="22"/>
        </w:rPr>
        <w:t xml:space="preserve">Methodology documents, scoring rubrics, and intermediate working files will be version-controlled using GitHub (private repository during project, public at completion).</w:t>
      </w:r>
    </w:p>
    <w:p>
      <w:pPr>
        <w:pStyle w:val="ListParagraph"/>
        <w:numPr>
          <w:ilvl w:val="0"/>
          <w:numId w:val="2"/>
        </w:numPr>
        <w:spacing w:after="100"/>
      </w:pPr>
      <w:r>
        <w:rPr>
          <w:b w:val="false"/>
          <w:bCs w:val="false"/>
          <w:color w:val="0D1A0E"/>
          <w:sz w:val="22"/>
          <w:szCs w:val="22"/>
        </w:rPr>
        <w:t xml:space="preserve">The validated ESG score database will be made available to SEBI/NISM in a structured format (Excel/CSV) upon project completion.</w:t>
      </w:r>
    </w:p>
    <w:p>
      <w:pPr>
        <w:pStyle w:val="ListParagraph"/>
        <w:numPr>
          <w:ilvl w:val="0"/>
          <w:numId w:val="2"/>
        </w:numPr>
        <w:spacing w:after="100"/>
      </w:pPr>
      <w:r>
        <w:rPr>
          <w:b w:val="false"/>
          <w:bCs w:val="false"/>
          <w:color w:val="0D1A0E"/>
          <w:sz w:val="22"/>
          <w:szCs w:val="22"/>
        </w:rPr>
        <w:t xml:space="preserve">All research data will be retained for a minimum of 10 years post-project, per institutional research data management policy.</w:t>
      </w:r>
    </w:p>
    <w:p>
      <w:pPr>
        <w:pStyle w:val="Heading2"/>
        <w:spacing w:after="120" w:before="300"/>
      </w:pPr>
      <w:r>
        <w:rPr>
          <w:b/>
          <w:bCs/>
          <w:color w:val="0D1A0E"/>
        </w:rPr>
        <w:t xml:space="preserve">10.3 Intellectual Property</w:t>
      </w:r>
    </w:p>
    <w:p>
      <w:pPr>
        <w:spacing w:after="160"/>
        <w:jc w:val="both"/>
      </w:pPr>
      <w:r>
        <w:rPr>
          <w:b w:val="false"/>
          <w:bCs w:val="false"/>
          <w:i w:val="false"/>
          <w:iCs w:val="false"/>
          <w:color w:val="0D1A0E"/>
          <w:sz w:val="22"/>
          <w:szCs w:val="22"/>
        </w:rPr>
        <w:t xml:space="preserve">The ESG Scoring Methodology developed under this project will be published as open-access, available for non-commercial use by Indian listed companies, investors, regulators, and researchers. The PI retains academic authorship rights. SEBI is granted a non-exclusive, irrevocable licence to use, adapt, and reference the methodology in its regulatory frameworks. Commercial applications will require separate licensing arrangements.</w:t>
      </w:r>
    </w:p>
    <w:p>
      <w:r>
        <w:br w:type="page"/>
      </w:r>
    </w:p>
    <w:p>
      <w:pPr>
        <w:pStyle w:val="Heading1"/>
        <w:spacing w:after="120" w:before="300"/>
      </w:pPr>
      <w:r>
        <w:rPr>
          <w:b/>
          <w:bCs/>
          <w:color w:val="1A6B38"/>
        </w:rPr>
        <w:t xml:space="preserve">11. SUBMISSION PATHWAYS AND FUNDING MECHANISMS</w:t>
      </w:r>
    </w:p>
    <w:p>
      <w:pPr>
        <w:pStyle w:val="Heading2"/>
        <w:spacing w:after="120" w:before="300"/>
      </w:pPr>
      <w:r>
        <w:rPr>
          <w:b/>
          <w:bCs/>
          <w:color w:val="0D1A0E"/>
        </w:rPr>
        <w:t xml:space="preserve">11.1 Primary Pathway: SEBI / NISM Research Programme</w:t>
      </w:r>
    </w:p>
    <w:p>
      <w:pPr>
        <w:spacing w:after="160"/>
        <w:jc w:val="both"/>
      </w:pPr>
      <w:r>
        <w:rPr>
          <w:b w:val="false"/>
          <w:bCs w:val="false"/>
          <w:i w:val="false"/>
          <w:iCs w:val="false"/>
          <w:color w:val="0D1A0E"/>
          <w:sz w:val="22"/>
          <w:szCs w:val="22"/>
        </w:rPr>
        <w:t xml:space="preserve">The primary submission target for this proposal is the SEBI-NISM Research Programme administered through the National Institute of Securities Markets (NISM). NISM, as SEBI's research and capacity-building arm, has historically funded research on securities market regulation, investor behaviour, and sustainable finance — all directly relevant to this proposal. Contact: ssir@nism.ac.in.</w:t>
      </w:r>
    </w:p>
    <w:p>
      <w:pPr>
        <w:pStyle w:val="Heading2"/>
        <w:spacing w:after="120" w:before="300"/>
      </w:pPr>
      <w:r>
        <w:rPr>
          <w:b/>
          <w:bCs/>
          <w:color w:val="0D1A0E"/>
        </w:rPr>
        <w:t xml:space="preserve">11.2 Alternative / Parallel Pathways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638"/>
        <w:gridCol w:w="3500"/>
      </w:tblGrid>
      <w:tr>
        <w:trPr>
          <w:tblHeader/>
        </w:trPr>
        <w:tc>
          <w:tcPr>
            <w:tcW w:type="dxa" w:w="2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Funding Body</w:t>
            </w:r>
          </w:p>
        </w:tc>
        <w:tc>
          <w:tcPr>
            <w:tcW w:type="dxa" w:w="3638"/>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Scheme</w:t>
            </w:r>
          </w:p>
        </w:tc>
        <w:tc>
          <w:tcPr>
            <w:tcW w:type="dxa" w:w="3500"/>
            <w:tcBorders>
              <w:top w:val="single" w:color="CCCCCC" w:sz="1"/>
              <w:left w:val="single" w:color="CCCCCC" w:sz="1"/>
              <w:bottom w:val="single" w:color="CCCCCC" w:sz="1"/>
              <w:right w:val="single" w:color="CCCCCC" w:sz="1"/>
            </w:tcBorders>
            <w:shd w:fill="1A6B38" w:val="clear"/>
            <w:tcMar>
              <w:top w:type="dxa" w:w="100"/>
              <w:left w:type="dxa" w:w="150"/>
              <w:bottom w:type="dxa" w:w="100"/>
              <w:right w:type="dxa" w:w="150"/>
            </w:tcMar>
            <w:vAlign w:val="center"/>
          </w:tcPr>
          <w:p>
            <w:pPr>
              <w:jc w:val="left"/>
            </w:pPr>
            <w:r>
              <w:rPr>
                <w:b/>
                <w:bCs/>
                <w:i w:val="false"/>
                <w:iCs w:val="false"/>
                <w:color w:val="FFFFFF"/>
                <w:sz w:val="20"/>
                <w:szCs w:val="20"/>
              </w:rPr>
              <w:t xml:space="preserve">Relevance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ICSSR</w:t>
            </w:r>
          </w:p>
        </w:tc>
        <w:tc>
          <w:tcPr>
            <w:tcW w:type="dxa" w:w="3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Major Research Project (2025-26); Application open Nov–Dec 2025</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Social science / finance research; ESG is a priority theme</w:t>
            </w:r>
          </w:p>
        </w:tc>
      </w:tr>
      <w:tr>
        <w:tc>
          <w:tcPr>
            <w:tcW w:type="dxa" w:w="2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bCs/>
                <w:i w:val="false"/>
                <w:iCs w:val="false"/>
                <w:color w:val="0D1A0E"/>
                <w:sz w:val="20"/>
                <w:szCs w:val="20"/>
              </w:rPr>
              <w:t xml:space="preserve">ANRF / SERB</w:t>
            </w:r>
          </w:p>
        </w:tc>
        <w:tc>
          <w:tcPr>
            <w:tcW w:type="dxa" w:w="3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Core Research Grant (CRG); Finance &amp; Economics eligible</w:t>
            </w:r>
          </w:p>
        </w:tc>
        <w:tc>
          <w:tcPr>
            <w:tcW w:type="dxa" w:w="3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IIT Kharagpur Ph.D background strengthens eligibility significantly</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RBI CAFRAL</w:t>
            </w:r>
          </w:p>
        </w:tc>
        <w:tc>
          <w:tcPr>
            <w:tcW w:type="dxa" w:w="3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Research grants on financial sector topics; Climate risk / ESG</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Directly relevant given RBI climate risk guidelines and ESG banking nexus</w:t>
            </w:r>
          </w:p>
        </w:tc>
      </w:tr>
      <w:tr>
        <w:tc>
          <w:tcPr>
            <w:tcW w:type="dxa" w:w="2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bCs/>
                <w:i w:val="false"/>
                <w:iCs w:val="false"/>
                <w:color w:val="0D1A0E"/>
                <w:sz w:val="20"/>
                <w:szCs w:val="20"/>
              </w:rPr>
              <w:t xml:space="preserve">GIZ India / UNDP</w:t>
            </w:r>
          </w:p>
        </w:tc>
        <w:tc>
          <w:tcPr>
            <w:tcW w:type="dxa" w:w="3638"/>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Development finance for sustainable finance capacity building</w:t>
            </w:r>
          </w:p>
        </w:tc>
        <w:tc>
          <w:tcPr>
            <w:tcW w:type="dxa" w:w="3500"/>
            <w:tcBorders>
              <w:top w:val="single" w:color="CCCCCC" w:sz="1"/>
              <w:left w:val="single" w:color="CCCCCC" w:sz="1"/>
              <w:bottom w:val="single" w:color="CCCCCC" w:sz="1"/>
              <w:right w:val="single" w:color="CCCCCC" w:sz="1"/>
            </w:tcBorders>
            <w:shd w:fill="F2F0EB" w:val="clear"/>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SDG module and ESG methodology directly aligned with UNDP SDG Finance priorities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bCs/>
                <w:i w:val="false"/>
                <w:iCs w:val="false"/>
                <w:color w:val="0D1A0E"/>
                <w:sz w:val="20"/>
                <w:szCs w:val="20"/>
              </w:rPr>
              <w:t xml:space="preserve">IFC / World Bank</w:t>
            </w:r>
          </w:p>
        </w:tc>
        <w:tc>
          <w:tcPr>
            <w:tcW w:type="dxa" w:w="3638"/>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Sustainable finance research grants; India portfolio</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b w:val="false"/>
                <w:bCs w:val="false"/>
                <w:i w:val="false"/>
                <w:iCs w:val="false"/>
                <w:color w:val="0D1A0E"/>
                <w:sz w:val="20"/>
                <w:szCs w:val="20"/>
              </w:rPr>
              <w:t xml:space="preserve">IFC has active India ESG programmes; BRSR alignment with IFC PS is strong</w:t>
            </w:r>
          </w:p>
        </w:tc>
      </w:tr>
    </w:tbl>
    <w:p>
      <w:pPr>
        <w:spacing w:after="80"/>
      </w:pPr>
      <w:r>
        <w:t xml:space="preserve"/>
      </w:r>
    </w:p>
    <w:p>
      <w:pPr>
        <w:spacing w:after="160"/>
        <w:jc w:val="both"/>
      </w:pPr>
      <w:r>
        <w:rPr>
          <w:b w:val="false"/>
          <w:bCs w:val="false"/>
          <w:i w:val="false"/>
          <w:iCs w:val="false"/>
          <w:color w:val="0D1A0E"/>
          <w:sz w:val="22"/>
          <w:szCs w:val="22"/>
        </w:rPr>
        <w:t xml:space="preserve">Recommendation: Submit primary proposal to SEBI/NISM. Simultaneously submit to ICSSR (if eligible for social science classification) and engage ANRF/SERB for co-funding. Approach GIZ India for potential parallel technical assistance support for the SDG module.</w:t>
      </w:r>
    </w:p>
    <w:p>
      <w:r>
        <w:br w:type="page"/>
      </w:r>
    </w:p>
    <w:p>
      <w:pPr>
        <w:pStyle w:val="Heading1"/>
        <w:spacing w:after="120" w:before="300"/>
      </w:pPr>
      <w:r>
        <w:rPr>
          <w:b/>
          <w:bCs/>
          <w:color w:val="1A6B38"/>
        </w:rPr>
        <w:t xml:space="preserve">12. DECLARATION BY PRINCIPAL INVESTIGATOR</w:t>
      </w:r>
    </w:p>
    <w:p>
      <w:pPr>
        <w:pBdr>
          <w:bottom w:val="single" w:color="1A6B38" w:sz="6" w:space="1"/>
        </w:pBdr>
        <w:spacing w:after="200" w:before="200"/>
      </w:pPr>
      <w:r>
        <w:t xml:space="preserve"/>
      </w:r>
    </w:p>
    <w:p>
      <w:pPr>
        <w:spacing w:after="80"/>
      </w:pPr>
      <w:r>
        <w:t xml:space="preserve"/>
      </w:r>
    </w:p>
    <w:p>
      <w:pPr>
        <w:spacing w:after="160"/>
        <w:jc w:val="both"/>
      </w:pPr>
      <w:r>
        <w:rPr>
          <w:b w:val="false"/>
          <w:bCs w:val="false"/>
          <w:i w:val="false"/>
          <w:iCs w:val="false"/>
          <w:color w:val="0D1A0E"/>
          <w:sz w:val="22"/>
          <w:szCs w:val="22"/>
        </w:rPr>
        <w:t xml:space="preserve">I, Dr. Debasis Pahi, hereby declare that:</w:t>
      </w:r>
    </w:p>
    <w:p>
      <w:pPr>
        <w:pStyle w:val="ListParagraph"/>
        <w:numPr>
          <w:ilvl w:val="0"/>
          <w:numId w:val="3"/>
        </w:numPr>
        <w:spacing w:after="100"/>
      </w:pPr>
      <w:r>
        <w:rPr>
          <w:color w:val="0D1A0E"/>
          <w:sz w:val="22"/>
          <w:szCs w:val="22"/>
        </w:rPr>
        <w:t xml:space="preserve">The information provided in this proposal is true and accurate to the best of my knowledge.</w:t>
      </w:r>
    </w:p>
    <w:p>
      <w:pPr>
        <w:pStyle w:val="ListParagraph"/>
        <w:numPr>
          <w:ilvl w:val="0"/>
          <w:numId w:val="3"/>
        </w:numPr>
        <w:spacing w:after="100"/>
      </w:pPr>
      <w:r>
        <w:rPr>
          <w:color w:val="0D1A0E"/>
          <w:sz w:val="22"/>
          <w:szCs w:val="22"/>
        </w:rPr>
        <w:t xml:space="preserve">This proposal has not been submitted to any other funding body for the same research project.</w:t>
      </w:r>
    </w:p>
    <w:p>
      <w:pPr>
        <w:pStyle w:val="ListParagraph"/>
        <w:numPr>
          <w:ilvl w:val="0"/>
          <w:numId w:val="3"/>
        </w:numPr>
        <w:spacing w:after="100"/>
      </w:pPr>
      <w:r>
        <w:rPr>
          <w:color w:val="0D1A0E"/>
          <w:sz w:val="22"/>
          <w:szCs w:val="22"/>
        </w:rPr>
        <w:t xml:space="preserve">I will comply with all applicable research ethics guidelines, SEBI data use policies, and institutional regulations throughout the project duration.</w:t>
      </w:r>
    </w:p>
    <w:p>
      <w:pPr>
        <w:pStyle w:val="ListParagraph"/>
        <w:numPr>
          <w:ilvl w:val="0"/>
          <w:numId w:val="3"/>
        </w:numPr>
        <w:spacing w:after="100"/>
      </w:pPr>
      <w:r>
        <w:rPr>
          <w:color w:val="0D1A0E"/>
          <w:sz w:val="22"/>
          <w:szCs w:val="22"/>
        </w:rPr>
        <w:t xml:space="preserve">The methodology described in this proposal is original and has been designed and piloted by the Principal Investigator independently.</w:t>
      </w:r>
    </w:p>
    <w:p>
      <w:pPr>
        <w:pStyle w:val="ListParagraph"/>
        <w:numPr>
          <w:ilvl w:val="0"/>
          <w:numId w:val="3"/>
        </w:numPr>
        <w:spacing w:after="100"/>
      </w:pPr>
      <w:r>
        <w:rPr>
          <w:color w:val="0D1A0E"/>
          <w:sz w:val="22"/>
          <w:szCs w:val="22"/>
        </w:rPr>
        <w:t xml:space="preserve">All outputs — methodology documents, research papers, ESG score database, and policy briefs — will be shared with SEBI/NISM in the formats specified, and the open-access methodology will be made freely available to the Indian capital market community.</w:t>
      </w:r>
    </w:p>
    <w:p>
      <w:pPr>
        <w:pStyle w:val="ListParagraph"/>
        <w:numPr>
          <w:ilvl w:val="0"/>
          <w:numId w:val="3"/>
        </w:numPr>
        <w:spacing w:after="100"/>
      </w:pPr>
      <w:r>
        <w:rPr>
          <w:color w:val="0D1A0E"/>
          <w:sz w:val="22"/>
          <w:szCs w:val="22"/>
        </w:rPr>
        <w:t xml:space="preserve">I accept full academic and financial responsibility for the conduct of this research and the utilisation of project funds as approved.</w:t>
      </w:r>
    </w:p>
    <w:p>
      <w:pPr>
        <w:spacing w:after="80"/>
      </w:pPr>
      <w:r>
        <w:t xml:space="preserve"/>
      </w:r>
    </w:p>
    <w:p>
      <w:pPr>
        <w:spacing w:after="8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pPr>
            <w:r>
              <w:rPr>
                <w:sz w:val="22"/>
                <w:szCs w:val="22"/>
              </w:rPr>
              <w:t xml:space="preserve">Signature: ________________________________</w:t>
            </w:r>
          </w:p>
          <w:p>
            <w:pPr>
              <w:spacing w:after="60"/>
            </w:pPr>
            <w:r>
              <w:rPr>
                <w:b/>
                <w:bCs/>
                <w:sz w:val="22"/>
                <w:szCs w:val="22"/>
              </w:rPr>
              <w:t xml:space="preserve">Name: Dr. Debasis Pahi</w:t>
            </w:r>
          </w:p>
          <w:p>
            <w:pPr>
              <w:spacing w:after="60"/>
            </w:pPr>
            <w:r>
              <w:rPr>
                <w:sz w:val="22"/>
                <w:szCs w:val="22"/>
              </w:rPr>
              <w:t xml:space="preserve">Designation: Ph.D (Finance), IIT Kharagpur</w:t>
            </w:r>
          </w:p>
          <w:p>
            <w:pPr>
              <w:spacing w:after="60"/>
            </w:pPr>
            <w:r>
              <w:rPr>
                <w:color w:val="1A6B38"/>
                <w:sz w:val="22"/>
                <w:szCs w:val="22"/>
              </w:rPr>
              <w:t xml:space="preserve">Email: drdebasis.research@gmail.com</w:t>
            </w:r>
          </w:p>
        </w:tc>
        <w:tc>
          <w:tcPr>
            <w:tcW w:type="dxa" w:w="4819"/>
            <w:tcBorders>
              <w:top w:val="none" w:color="FFFFFF" w:sz="0"/>
              <w:left w:val="none" w:color="FFFFFF" w:sz="0"/>
              <w:bottom w:val="none" w:color="FFFFFF" w:sz="0"/>
              <w:right w:val="none" w:color="FFFFFF" w:sz="0"/>
            </w:tcBorders>
          </w:tcPr>
          <w:p>
            <w:pPr>
              <w:spacing w:after="60"/>
            </w:pPr>
            <w:r>
              <w:rPr>
                <w:sz w:val="22"/>
                <w:szCs w:val="22"/>
              </w:rPr>
              <w:t xml:space="preserve">Date: ________________________________</w:t>
            </w:r>
          </w:p>
          <w:p>
            <w:pPr>
              <w:spacing w:after="60"/>
            </w:pPr>
            <w:r>
              <w:rPr>
                <w:sz w:val="22"/>
                <w:szCs w:val="22"/>
              </w:rPr>
              <w:t xml:space="preserve">Institution: ________________________________</w:t>
            </w:r>
          </w:p>
          <w:p>
            <w:pPr>
              <w:spacing w:after="60"/>
            </w:pPr>
            <w:r>
              <w:rPr>
                <w:sz w:val="22"/>
                <w:szCs w:val="22"/>
              </w:rPr>
              <w:t xml:space="preserve">Place: Bhubaneswar, Odisha</w:t>
            </w:r>
          </w:p>
          <w:p>
            <w:pPr>
              <w:spacing w:after="60"/>
            </w:pPr>
            <w:r>
              <w:rPr>
                <w:sz w:val="22"/>
                <w:szCs w:val="22"/>
              </w:rPr>
              <w:t xml:space="preserve">Institutional Seal: ________________________________</w:t>
            </w:r>
          </w:p>
        </w:tc>
      </w:tr>
    </w:tbl>
    <w:p>
      <w:pPr>
        <w:spacing w:after="80"/>
      </w:pPr>
      <w:r>
        <w:t xml:space="preserve"/>
      </w:r>
    </w:p>
    <w:p>
      <w:pPr>
        <w:spacing w:after="80"/>
      </w:pPr>
      <w:r>
        <w:t xml:space="preserve"/>
      </w:r>
    </w:p>
    <w:p>
      <w:pPr>
        <w:pBdr>
          <w:bottom w:val="single" w:color="1A6B38" w:sz="6" w:space="1"/>
        </w:pBdr>
        <w:spacing w:after="200" w:before="200"/>
      </w:pPr>
      <w:r>
        <w:t xml:space="preserve"/>
      </w:r>
    </w:p>
    <w:p>
      <w:pPr>
        <w:spacing w:after="80"/>
        <w:jc w:val="center"/>
      </w:pPr>
      <w:r>
        <w:rPr>
          <w:b/>
          <w:bCs/>
          <w:color w:val="8C9E8D"/>
          <w:spacing w:val="200"/>
          <w:sz w:val="20"/>
          <w:szCs w:val="20"/>
        </w:rPr>
        <w:t xml:space="preserve">END OF PROPOSAL</w:t>
      </w:r>
    </w:p>
    <w:p>
      <w:pPr>
        <w:jc w:val="center"/>
      </w:pPr>
      <w:r>
        <w:rPr>
          <w:color w:val="8C9E8D"/>
          <w:sz w:val="18"/>
          <w:szCs w:val="18"/>
        </w:rPr>
        <w:t xml:space="preserve">Dr. Debasis Pahi  |  drdebasis.research@gmail.com  |  Ph.D (Finance), IIT Kharagpur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AD9" w:sz="2" w:space="1"/>
      </w:pBdr>
      <w:spacing w:before="80"/>
      <w:jc w:val="center"/>
    </w:pPr>
    <w:r>
      <w:rPr>
        <w:color w:val="8C9E8D"/>
        <w:sz w:val="16"/>
        <w:szCs w:val="16"/>
      </w:rPr>
      <w:t xml:space="preserve">drdebasis.research@gmail.com  |  Ph.D (Finance) · IIT Kharagpur  |  Page </w:t>
    </w:r>
    <w:r>
      <w:rPr>
        <w:color w:val="8C9E8D"/>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W w:type="dxa" w:w="7000"/>
          <w:tcBorders>
            <w:top w:val="none" w:color="FFFFFF" w:sz="0"/>
            <w:left w:val="none" w:color="FFFFFF" w:sz="0"/>
            <w:bottom w:val="none" w:color="FFFFFF" w:sz="0"/>
            <w:right w:val="none" w:color="FFFFFF" w:sz="0"/>
          </w:tcBorders>
        </w:tcPr>
        <w:p>
          <w:r>
            <w:rPr>
              <w:color w:val="8C9E8D"/>
              <w:sz w:val="16"/>
              <w:szCs w:val="16"/>
            </w:rPr>
            <w:t xml:space="preserve">Research Project Proposal | Dr. Debasis Pahi | Ph.D (IIT Kharagpur)</w:t>
          </w:r>
        </w:p>
      </w:tc>
      <w:tc>
        <w:tcPr>
          <w:tcW w:type="dxa" w:w="2638"/>
          <w:tcBorders>
            <w:top w:val="none" w:color="FFFFFF" w:sz="0"/>
            <w:left w:val="none" w:color="FFFFFF" w:sz="0"/>
            <w:bottom w:val="none" w:color="FFFFFF" w:sz="0"/>
            <w:right w:val="none" w:color="FFFFFF" w:sz="0"/>
          </w:tcBorders>
        </w:tcPr>
        <w:p>
          <w:pPr>
            <w:jc w:val="right"/>
          </w:pPr>
          <w:r>
            <w:rPr>
              <w:b/>
              <w:bCs/>
              <w:color w:val="1A6B38"/>
              <w:sz w:val="16"/>
              <w:szCs w:val="16"/>
            </w:rPr>
            <w:t xml:space="preserve">Submitted to SEBI / NISM</w:t>
          </w:r>
        </w:p>
      </w:tc>
    </w:tr>
  </w:tbl>
  <w:p>
    <w:pPr>
      <w:pBdr>
        <w:bottom w:val="single" w:color="1A6B38" w:sz="4" w:space="1"/>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38"/>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A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38"/>
      <w:sz w:val="36"/>
      <w:szCs w:val="36"/>
    </w:rPr>
  </w:style>
  <w:style w:type="paragraph" w:styleId="Heading2">
    <w:name w:val="Heading 2"/>
    <w:basedOn w:val="Normal"/>
    <w:next w:val="Normal"/>
    <w:qFormat/>
    <w:pPr>
      <w:pBdr>
        <w:bottom w:val="single" w:color="D4EAD9" w:sz="4" w:space="1"/>
      </w:pBdr>
      <w:spacing w:after="150" w:before="300"/>
      <w:outlineLvl w:val="1"/>
    </w:pPr>
    <w:rPr>
      <w:rFonts w:ascii="Arial" w:cs="Arial" w:eastAsia="Arial" w:hAnsi="Arial"/>
      <w:b/>
      <w:bCs/>
      <w:color w:val="0D1A0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D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2026-05-12T05:34:52.857Z</dcterms:created>
  <dcterms:modified xsi:type="dcterms:W3CDTF">2026-05-12T05:34:52.858Z</dcterms:modified>
</cp:coreProperties>
</file>

<file path=docProps/custom.xml><?xml version="1.0" encoding="utf-8"?>
<Properties xmlns="http://schemas.openxmlformats.org/officeDocument/2006/custom-properties" xmlns:vt="http://schemas.openxmlformats.org/officeDocument/2006/docPropsVTypes"/>
</file>