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366" w:sz="10"/>
              <w:left w:val="single" w:color="003366" w:sz="10"/>
              <w:bottom w:val="single" w:color="003366" w:sz="10"/>
              <w:right w:val="single" w:color="003366" w:sz="10"/>
            </w:tcBorders>
            <w:shd w:fill="003366" w:val="clear"/>
            <w:tcMar>
              <w:top w:type="dxa" w:w="240"/>
              <w:left w:type="dxa" w:w="320"/>
              <w:bottom w:type="dxa" w:w="240"/>
              <w:right w:type="dxa" w:w="320"/>
            </w:tcMar>
          </w:tcPr>
          <w:p>
            <w:pPr>
              <w:spacing w:after="50" w:before="50"/>
              <w:jc w:val="center"/>
            </w:pPr>
            <w:r>
              <w:rPr>
                <w:rFonts w:ascii="Arial" w:cs="Arial" w:eastAsia="Arial" w:hAnsi="Arial"/>
                <w:b w:val="false"/>
                <w:bCs w:val="false"/>
                <w:color w:val="A8C8F0"/>
                <w:sz w:val="18"/>
                <w:szCs w:val="18"/>
              </w:rPr>
              <w:t xml:space="preserve">GOVERNMENT OF INDIA</w:t>
            </w:r>
          </w:p>
          <w:p>
            <w:pPr>
              <w:spacing w:after="50" w:before="50"/>
              <w:jc w:val="center"/>
            </w:pPr>
            <w:r>
              <w:rPr>
                <w:rFonts w:ascii="Arial" w:cs="Arial" w:eastAsia="Arial" w:hAnsi="Arial"/>
                <w:b/>
                <w:bCs/>
                <w:color w:val="FFFFFF"/>
                <w:sz w:val="22"/>
                <w:szCs w:val="22"/>
              </w:rPr>
              <w:t xml:space="preserve">SECURITIES AND EXCHANGE BOARD OF INDIA (SEBI)</w:t>
            </w:r>
          </w:p>
          <w:p>
            <w:pPr>
              <w:spacing w:after="50" w:before="50"/>
              <w:jc w:val="center"/>
            </w:pPr>
            <w:r>
              <w:rPr>
                <w:rFonts w:ascii="Arial" w:cs="Arial" w:eastAsia="Arial" w:hAnsi="Arial"/>
                <w:color w:val="A8C8F0"/>
                <w:sz w:val="18"/>
                <w:szCs w:val="18"/>
              </w:rPr>
              <w:t xml:space="preserve">Department of Economic &amp; Policy Analysis  |  ESG &amp; Sustainability Division</w:t>
            </w:r>
          </w:p>
          <w:p>
            <w:pPr>
              <w:spacing w:after="0" w:before="0"/>
            </w:pPr>
            <w:r>
              <w:rPr>
                <w:rFonts w:ascii="Arial" w:cs="Arial" w:eastAsia="Arial" w:hAnsi="Arial"/>
                <w:color w:val="0F0F0F"/>
                <w:sz w:val="22"/>
                <w:szCs w:val="22"/>
              </w:rPr>
              <w:t xml:space="preserve"/>
            </w:r>
          </w:p>
          <w:p>
            <w:pPr>
              <w:pBdr>
                <w:top w:val="single" w:color="A8C8F0" w:sz="4"/>
                <w:bottom w:val="none" w:color="FFFFFF" w:sz="0"/>
                <w:left w:val="none" w:color="FFFFFF" w:sz="0"/>
                <w:right w:val="none" w:color="FFFFFF" w:sz="0"/>
              </w:pBdr>
              <w:spacing w:after="80" w:before="80"/>
              <w:jc w:val="center"/>
            </w:pPr>
            <w:r>
              <w:rPr>
                <w:rFonts w:ascii="Arial" w:cs="Arial" w:eastAsia="Arial" w:hAnsi="Arial"/>
                <w:color w:val="0F0F0F"/>
                <w:sz w:val="22"/>
                <w:szCs w:val="22"/>
              </w:rPr>
              <w:t xml:space="preserve"/>
            </w:r>
          </w:p>
          <w:p>
            <w:pPr>
              <w:spacing w:after="0" w:before="0"/>
            </w:pPr>
            <w:r>
              <w:rPr>
                <w:rFonts w:ascii="Arial" w:cs="Arial" w:eastAsia="Arial" w:hAnsi="Arial"/>
                <w:color w:val="0F0F0F"/>
                <w:sz w:val="22"/>
                <w:szCs w:val="22"/>
              </w:rPr>
              <w:t xml:space="preserve"/>
            </w:r>
          </w:p>
          <w:p>
            <w:pPr>
              <w:spacing w:after="50" w:before="50"/>
              <w:jc w:val="center"/>
            </w:pPr>
            <w:r>
              <w:rPr>
                <w:rFonts w:ascii="Arial" w:cs="Arial" w:eastAsia="Arial" w:hAnsi="Arial"/>
                <w:b/>
                <w:bCs/>
                <w:color w:val="FEF3C7"/>
                <w:sz w:val="20"/>
                <w:szCs w:val="20"/>
              </w:rPr>
              <w:t xml:space="preserve">APPLICATION FOR RESEARCH &amp; DEVELOPMENT GRANT</w:t>
            </w:r>
          </w:p>
          <w:p>
            <w:pPr>
              <w:spacing w:after="50" w:before="50"/>
              <w:jc w:val="center"/>
            </w:pPr>
            <w:r>
              <w:rPr>
                <w:rFonts w:ascii="Arial" w:cs="Arial" w:eastAsia="Arial" w:hAnsi="Arial"/>
                <w:color w:val="d1fae5"/>
                <w:sz w:val="18"/>
                <w:szCs w:val="18"/>
              </w:rPr>
              <w:t xml:space="preserve">Under SEBI's Capital Market Development Initiative</w:t>
            </w:r>
          </w:p>
        </w:tc>
      </w:tr>
    </w:tbl>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8"/>
              <w:left w:val="single" w:color="D97706" w:sz="8"/>
              <w:bottom w:val="single" w:color="D97706" w:sz="8"/>
              <w:right w:val="single" w:color="D97706" w:sz="8"/>
            </w:tcBorders>
            <w:shd w:fill="FEF3C7" w:val="clear"/>
            <w:tcMar>
              <w:top w:type="dxa" w:w="200"/>
              <w:left w:type="dxa" w:w="280"/>
              <w:bottom w:type="dxa" w:w="200"/>
              <w:right w:type="dxa" w:w="280"/>
            </w:tcMar>
          </w:tcPr>
          <w:p>
            <w:pPr>
              <w:spacing w:after="50" w:before="50"/>
              <w:jc w:val="center"/>
            </w:pPr>
            <w:r>
              <w:rPr>
                <w:rFonts w:ascii="Arial" w:cs="Arial" w:eastAsia="Arial" w:hAnsi="Arial"/>
                <w:b/>
                <w:bCs/>
                <w:color w:val="D97706"/>
                <w:sz w:val="17"/>
                <w:szCs w:val="17"/>
              </w:rPr>
              <w:t xml:space="preserve">PROJECT TITLE</w:t>
            </w:r>
          </w:p>
          <w:p>
            <w:pPr>
              <w:spacing w:after="0" w:before="0"/>
            </w:pPr>
            <w:r>
              <w:rPr>
                <w:rFonts w:ascii="Arial" w:cs="Arial" w:eastAsia="Arial" w:hAnsi="Arial"/>
                <w:color w:val="0F0F0F"/>
                <w:sz w:val="22"/>
                <w:szCs w:val="22"/>
              </w:rPr>
              <w:t xml:space="preserve"/>
            </w:r>
          </w:p>
          <w:p>
            <w:pPr>
              <w:spacing w:after="50" w:before="50"/>
              <w:jc w:val="center"/>
            </w:pPr>
            <w:r>
              <w:rPr>
                <w:rFonts w:ascii="Arial" w:cs="Arial" w:eastAsia="Arial" w:hAnsi="Arial"/>
                <w:b/>
                <w:bCs/>
                <w:color w:val="7C3A00"/>
                <w:sz w:val="36"/>
                <w:szCs w:val="36"/>
              </w:rPr>
              <w:t xml:space="preserve">COMPASS-ESG</w:t>
            </w:r>
          </w:p>
          <w:p>
            <w:pPr>
              <w:spacing w:after="50" w:before="50"/>
              <w:jc w:val="center"/>
            </w:pPr>
            <w:r>
              <w:rPr>
                <w:rFonts w:ascii="Arial" w:cs="Arial" w:eastAsia="Arial" w:hAnsi="Arial"/>
                <w:color w:val="7C3A00"/>
                <w:sz w:val="20"/>
                <w:szCs w:val="20"/>
              </w:rPr>
              <w:t xml:space="preserve">Corporate Measurement &amp; Performance Assessment System for Sustainability —</w:t>
            </w:r>
          </w:p>
          <w:p>
            <w:pPr>
              <w:spacing w:after="50" w:before="50"/>
              <w:jc w:val="center"/>
            </w:pPr>
            <w:r>
              <w:rPr>
                <w:rFonts w:ascii="Arial" w:cs="Arial" w:eastAsia="Arial" w:hAnsi="Arial"/>
                <w:b/>
                <w:bCs/>
                <w:color w:val="1E3A5F"/>
                <w:sz w:val="22"/>
                <w:szCs w:val="22"/>
              </w:rPr>
              <w:t xml:space="preserve">ESG, BRSR &amp; Labour Law Compliance Platform for Indian Registered Companies</w:t>
            </w:r>
          </w:p>
          <w:p>
            <w:pPr>
              <w:spacing w:after="0" w:before="0"/>
            </w:pPr>
            <w:r>
              <w:rPr>
                <w:rFonts w:ascii="Arial" w:cs="Arial" w:eastAsia="Arial" w:hAnsi="Arial"/>
                <w:color w:val="0F0F0F"/>
                <w:sz w:val="22"/>
                <w:szCs w:val="22"/>
              </w:rPr>
              <w:t xml:space="preserve"/>
            </w:r>
          </w:p>
          <w:p>
            <w:pPr>
              <w:spacing w:after="50" w:before="50"/>
              <w:jc w:val="center"/>
            </w:pPr>
            <w:r>
              <w:rPr>
                <w:rFonts w:ascii="Arial" w:cs="Arial" w:eastAsia="Arial" w:hAnsi="Arial"/>
                <w:color w:val="374151"/>
                <w:sz w:val="19"/>
                <w:szCs w:val="19"/>
              </w:rPr>
              <w:t xml:space="preserve">An Open-Access, Technology-Enabled Regulatory Compliance &amp; Evaluation Framework</w:t>
            </w:r>
          </w:p>
        </w:tc>
      </w:tr>
    </w:tbl>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2D6A4F" w:sz="6"/>
              <w:left w:val="single" w:color="2D6A4F" w:sz="6"/>
              <w:bottom w:val="single" w:color="2D6A4F" w:sz="6"/>
              <w:right w:val="single" w:color="2D6A4F" w:sz="6"/>
            </w:tcBorders>
            <w:shd w:fill="DCFCE7" w:val="clear"/>
            <w:tcMar>
              <w:top w:type="dxa" w:w="180"/>
              <w:left w:type="dxa" w:w="220"/>
              <w:bottom w:type="dxa" w:w="180"/>
              <w:right w:type="dxa" w:w="220"/>
            </w:tcMar>
          </w:tcPr>
          <w:p>
            <w:pPr>
              <w:spacing w:after="60" w:before="40"/>
              <w:jc w:val="left"/>
            </w:pPr>
            <w:r>
              <w:rPr>
                <w:rFonts w:ascii="Arial" w:cs="Arial" w:eastAsia="Arial" w:hAnsi="Arial"/>
                <w:b/>
                <w:bCs/>
                <w:color w:val="1A3A2A"/>
                <w:sz w:val="16"/>
                <w:szCs w:val="16"/>
              </w:rPr>
              <w:t xml:space="preserve">PRINCIPAL INVESTIGATOR / APPLICANT</w:t>
            </w:r>
          </w:p>
          <w:p>
            <w:pPr>
              <w:spacing w:after="60" w:before="40"/>
              <w:jc w:val="left"/>
            </w:pPr>
            <w:r>
              <w:rPr>
                <w:rFonts w:ascii="Arial" w:cs="Arial" w:eastAsia="Arial" w:hAnsi="Arial"/>
                <w:b/>
                <w:bCs/>
                <w:color w:val="1A3A2A"/>
                <w:sz w:val="26"/>
                <w:szCs w:val="26"/>
              </w:rPr>
              <w:t xml:space="preserve">Dr. Debasis Pahi</w:t>
            </w:r>
          </w:p>
          <w:p>
            <w:pPr>
              <w:spacing w:after="60" w:before="40"/>
              <w:jc w:val="left"/>
            </w:pPr>
            <w:r>
              <w:rPr>
                <w:rFonts w:ascii="Arial" w:cs="Arial" w:eastAsia="Arial" w:hAnsi="Arial"/>
                <w:color w:val="374151"/>
                <w:sz w:val="20"/>
                <w:szCs w:val="20"/>
              </w:rPr>
              <w:t xml:space="preserve">Asst. Professor OES-I &amp; Head of Department</w:t>
            </w:r>
          </w:p>
          <w:p>
            <w:pPr>
              <w:spacing w:after="60" w:before="40"/>
              <w:jc w:val="left"/>
            </w:pPr>
            <w:r>
              <w:rPr>
                <w:rFonts w:ascii="Arial" w:cs="Arial" w:eastAsia="Arial" w:hAnsi="Arial"/>
                <w:color w:val="374151"/>
                <w:sz w:val="20"/>
                <w:szCs w:val="20"/>
              </w:rPr>
              <w:t xml:space="preserve">Department of Commerce</w:t>
            </w:r>
          </w:p>
          <w:p>
            <w:pPr>
              <w:spacing w:after="60" w:before="40"/>
              <w:jc w:val="left"/>
            </w:pPr>
            <w:r>
              <w:rPr>
                <w:rFonts w:ascii="Arial" w:cs="Arial" w:eastAsia="Arial" w:hAnsi="Arial"/>
                <w:color w:val="374151"/>
                <w:sz w:val="20"/>
                <w:szCs w:val="20"/>
              </w:rPr>
              <w:t xml:space="preserve">Model Degree College, Malkangiri</w:t>
            </w:r>
          </w:p>
          <w:p>
            <w:pPr>
              <w:spacing w:after="60" w:before="40"/>
              <w:jc w:val="left"/>
            </w:pPr>
            <w:r>
              <w:rPr>
                <w:rFonts w:ascii="Arial" w:cs="Arial" w:eastAsia="Arial" w:hAnsi="Arial"/>
                <w:color w:val="374151"/>
                <w:sz w:val="20"/>
                <w:szCs w:val="20"/>
              </w:rPr>
              <w:t xml:space="preserve">Vikram Dev University, Odisha — 764048</w:t>
            </w:r>
          </w:p>
          <w:p>
            <w:pPr>
              <w:spacing w:after="60" w:before="40"/>
              <w:jc w:val="left"/>
            </w:pPr>
            <w:r>
              <w:rPr>
                <w:rFonts w:ascii="Arial" w:cs="Arial" w:eastAsia="Arial" w:hAnsi="Arial"/>
                <w:b/>
                <w:bCs/>
                <w:color w:val="0057A8"/>
                <w:sz w:val="20"/>
                <w:szCs w:val="20"/>
              </w:rPr>
              <w:t xml:space="preserve">drdpklass.github.io</w:t>
            </w:r>
          </w:p>
        </w:tc>
        <w:tc>
          <w:tcPr>
            <w:tcW w:type="dxa" w:w="4626"/>
            <w:tcBorders>
              <w:top w:val="single" w:color="CCCCCC" w:sz="4"/>
              <w:left w:val="single" w:color="CCCCCC" w:sz="4"/>
              <w:bottom w:val="single" w:color="CCCCCC" w:sz="4"/>
              <w:right w:val="single" w:color="CCCCCC" w:sz="4"/>
            </w:tcBorders>
            <w:shd w:fill="F5F4F0" w:val="clear"/>
            <w:tcMar>
              <w:top w:type="dxa" w:w="180"/>
              <w:left w:type="dxa" w:w="200"/>
              <w:bottom w:type="dxa" w:w="180"/>
              <w:right w:type="dxa" w:w="200"/>
            </w:tcMar>
          </w:tcPr>
          <w:p>
            <w:pPr>
              <w:spacing w:after="60" w:before="40"/>
              <w:jc w:val="left"/>
            </w:pPr>
            <w:r>
              <w:rPr>
                <w:rFonts w:ascii="Arial" w:cs="Arial" w:eastAsia="Arial" w:hAnsi="Arial"/>
                <w:b/>
                <w:bCs/>
                <w:color w:val="003366"/>
                <w:sz w:val="16"/>
                <w:szCs w:val="16"/>
              </w:rPr>
              <w:t xml:space="preserve">PROPOSAL REFERENCE DETAILS</w:t>
            </w:r>
          </w:p>
          <w:p>
            <w:pPr>
              <w:spacing w:after="0" w:before="0"/>
            </w:pPr>
            <w:r>
              <w:rPr>
                <w:rFonts w:ascii="Arial" w:cs="Arial" w:eastAsia="Arial" w:hAnsi="Arial"/>
                <w:color w:val="0F0F0F"/>
                <w:sz w:val="22"/>
                <w:szCs w:val="22"/>
              </w:rPr>
              <w:t xml:space="preserve"/>
            </w:r>
          </w:p>
          <w:p>
            <w:pPr>
              <w:spacing w:after="18" w:before="18"/>
            </w:pPr>
            <w:r>
              <w:rPr>
                <w:rFonts w:ascii="Arial" w:cs="Arial" w:eastAsia="Arial" w:hAnsi="Arial"/>
                <w:b/>
                <w:bCs/>
                <w:color w:val="374151"/>
                <w:sz w:val="18"/>
                <w:szCs w:val="18"/>
              </w:rPr>
              <w:t xml:space="preserve">Proposal Reference:  </w:t>
            </w:r>
            <w:r>
              <w:rPr>
                <w:rFonts w:ascii="Arial" w:cs="Arial" w:eastAsia="Arial" w:hAnsi="Arial"/>
                <w:color w:val="0F0F0F"/>
                <w:sz w:val="18"/>
                <w:szCs w:val="18"/>
              </w:rPr>
              <w:t xml:space="preserve">DP/SEBI/ESG-GRANT/2025/001</w:t>
            </w:r>
          </w:p>
          <w:p>
            <w:pPr>
              <w:spacing w:after="18" w:before="18"/>
            </w:pPr>
            <w:r>
              <w:rPr>
                <w:rFonts w:ascii="Arial" w:cs="Arial" w:eastAsia="Arial" w:hAnsi="Arial"/>
                <w:b/>
                <w:bCs/>
                <w:color w:val="374151"/>
                <w:sz w:val="18"/>
                <w:szCs w:val="18"/>
              </w:rPr>
              <w:t xml:space="preserve">Date of Submission:  </w:t>
            </w:r>
            <w:r>
              <w:rPr>
                <w:rFonts w:ascii="Arial" w:cs="Arial" w:eastAsia="Arial" w:hAnsi="Arial"/>
                <w:color w:val="0F0F0F"/>
                <w:sz w:val="18"/>
                <w:szCs w:val="18"/>
              </w:rPr>
              <w:t xml:space="preserve">April 2025</w:t>
            </w:r>
          </w:p>
          <w:p>
            <w:pPr>
              <w:spacing w:after="18" w:before="18"/>
            </w:pPr>
            <w:r>
              <w:rPr>
                <w:rFonts w:ascii="Arial" w:cs="Arial" w:eastAsia="Arial" w:hAnsi="Arial"/>
                <w:b/>
                <w:bCs/>
                <w:color w:val="374151"/>
                <w:sz w:val="18"/>
                <w:szCs w:val="18"/>
              </w:rPr>
              <w:t xml:space="preserve">Grant Category:  </w:t>
            </w:r>
            <w:r>
              <w:rPr>
                <w:rFonts w:ascii="Arial" w:cs="Arial" w:eastAsia="Arial" w:hAnsi="Arial"/>
                <w:color w:val="0F0F0F"/>
                <w:sz w:val="18"/>
                <w:szCs w:val="18"/>
              </w:rPr>
              <w:t xml:space="preserve">Research &amp; Development / Technology</w:t>
            </w:r>
          </w:p>
          <w:p>
            <w:pPr>
              <w:spacing w:after="18" w:before="18"/>
            </w:pPr>
            <w:r>
              <w:rPr>
                <w:rFonts w:ascii="Arial" w:cs="Arial" w:eastAsia="Arial" w:hAnsi="Arial"/>
                <w:b/>
                <w:bCs/>
                <w:color w:val="374151"/>
                <w:sz w:val="18"/>
                <w:szCs w:val="18"/>
              </w:rPr>
              <w:t xml:space="preserve">Domain:  </w:t>
            </w:r>
            <w:r>
              <w:rPr>
                <w:rFonts w:ascii="Arial" w:cs="Arial" w:eastAsia="Arial" w:hAnsi="Arial"/>
                <w:color w:val="0F0F0F"/>
                <w:sz w:val="18"/>
                <w:szCs w:val="18"/>
              </w:rPr>
              <w:t xml:space="preserve">ESG · BRSR · Labour Law · FinTech</w:t>
            </w:r>
          </w:p>
          <w:p>
            <w:pPr>
              <w:spacing w:after="18" w:before="18"/>
            </w:pPr>
            <w:r>
              <w:rPr>
                <w:rFonts w:ascii="Arial" w:cs="Arial" w:eastAsia="Arial" w:hAnsi="Arial"/>
                <w:b/>
                <w:bCs/>
                <w:color w:val="374151"/>
                <w:sz w:val="18"/>
                <w:szCs w:val="18"/>
              </w:rPr>
              <w:t xml:space="preserve">Grant Amount Sought:  </w:t>
            </w:r>
            <w:r>
              <w:rPr>
                <w:rFonts w:ascii="Arial" w:cs="Arial" w:eastAsia="Arial" w:hAnsi="Arial"/>
                <w:color w:val="0F0F0F"/>
                <w:sz w:val="18"/>
                <w:szCs w:val="18"/>
              </w:rPr>
              <w:t xml:space="preserve">₹ 85,00,000 (Eighty-Five Lakhs)</w:t>
            </w:r>
          </w:p>
          <w:p>
            <w:pPr>
              <w:spacing w:after="18" w:before="18"/>
            </w:pPr>
            <w:r>
              <w:rPr>
                <w:rFonts w:ascii="Arial" w:cs="Arial" w:eastAsia="Arial" w:hAnsi="Arial"/>
                <w:b/>
                <w:bCs/>
                <w:color w:val="374151"/>
                <w:sz w:val="18"/>
                <w:szCs w:val="18"/>
              </w:rPr>
              <w:t xml:space="preserve">Project Duration:  </w:t>
            </w:r>
            <w:r>
              <w:rPr>
                <w:rFonts w:ascii="Arial" w:cs="Arial" w:eastAsia="Arial" w:hAnsi="Arial"/>
                <w:color w:val="0F0F0F"/>
                <w:sz w:val="18"/>
                <w:szCs w:val="18"/>
              </w:rPr>
              <w:t xml:space="preserve">24 Months</w:t>
            </w:r>
          </w:p>
          <w:p>
            <w:pPr>
              <w:spacing w:after="18" w:before="18"/>
            </w:pPr>
            <w:r>
              <w:rPr>
                <w:rFonts w:ascii="Arial" w:cs="Arial" w:eastAsia="Arial" w:hAnsi="Arial"/>
                <w:b/>
                <w:bCs/>
                <w:color w:val="374151"/>
                <w:sz w:val="18"/>
                <w:szCs w:val="18"/>
              </w:rPr>
              <w:t xml:space="preserve">Host Institution:  </w:t>
            </w:r>
            <w:r>
              <w:rPr>
                <w:rFonts w:ascii="Arial" w:cs="Arial" w:eastAsia="Arial" w:hAnsi="Arial"/>
                <w:color w:val="0F0F0F"/>
                <w:sz w:val="18"/>
                <w:szCs w:val="18"/>
              </w:rPr>
              <w:t xml:space="preserve">Model Degree College, Malkangiri</w:t>
            </w:r>
          </w:p>
          <w:p>
            <w:pPr>
              <w:spacing w:after="18" w:before="18"/>
            </w:pPr>
            <w:r>
              <w:rPr>
                <w:rFonts w:ascii="Arial" w:cs="Arial" w:eastAsia="Arial" w:hAnsi="Arial"/>
                <w:b/>
                <w:bCs/>
                <w:color w:val="374151"/>
                <w:sz w:val="18"/>
                <w:szCs w:val="18"/>
              </w:rPr>
              <w:t xml:space="preserve">Affiliating University:  </w:t>
            </w:r>
            <w:r>
              <w:rPr>
                <w:rFonts w:ascii="Arial" w:cs="Arial" w:eastAsia="Arial" w:hAnsi="Arial"/>
                <w:color w:val="0F0F0F"/>
                <w:sz w:val="18"/>
                <w:szCs w:val="18"/>
              </w:rPr>
              <w:t xml:space="preserve">Vikram Dev University, Odisha</w:t>
            </w:r>
          </w:p>
          <w:p>
            <w:pPr>
              <w:spacing w:after="18" w:before="18"/>
            </w:pPr>
            <w:r>
              <w:rPr>
                <w:rFonts w:ascii="Arial" w:cs="Arial" w:eastAsia="Arial" w:hAnsi="Arial"/>
                <w:b/>
                <w:bCs/>
                <w:color w:val="374151"/>
                <w:sz w:val="18"/>
                <w:szCs w:val="18"/>
              </w:rPr>
              <w:t xml:space="preserve">Beneficiary Scope:  </w:t>
            </w:r>
            <w:r>
              <w:rPr>
                <w:rFonts w:ascii="Arial" w:cs="Arial" w:eastAsia="Arial" w:hAnsi="Arial"/>
                <w:color w:val="0F0F0F"/>
                <w:sz w:val="18"/>
                <w:szCs w:val="18"/>
              </w:rPr>
              <w:t xml:space="preserve">All SEBI-Registered &amp; Listed Companies</w:t>
            </w:r>
          </w:p>
          <w:p>
            <w:pPr>
              <w:spacing w:after="18" w:before="18"/>
            </w:pPr>
            <w:r>
              <w:rPr>
                <w:rFonts w:ascii="Arial" w:cs="Arial" w:eastAsia="Arial" w:hAnsi="Arial"/>
                <w:b/>
                <w:bCs/>
                <w:color w:val="374151"/>
                <w:sz w:val="18"/>
                <w:szCs w:val="18"/>
              </w:rPr>
              <w:t xml:space="preserve">Platform Access:  </w:t>
            </w:r>
            <w:r>
              <w:rPr>
                <w:rFonts w:ascii="Arial" w:cs="Arial" w:eastAsia="Arial" w:hAnsi="Arial"/>
                <w:color w:val="0F0F0F"/>
                <w:sz w:val="18"/>
                <w:szCs w:val="18"/>
              </w:rPr>
              <w:t xml:space="preserve">Open-Access, Zero Cost to Companies</w:t>
            </w:r>
          </w:p>
        </w:tc>
      </w:tr>
    </w:tbl>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none" w:color="FFFFFF" w:sz="0"/>
              <w:left w:val="none" w:color="FFFFFF" w:sz="0"/>
              <w:bottom w:val="none" w:color="FFFFFF" w:sz="0"/>
              <w:right w:val="none" w:color="FFFFFF" w:sz="0"/>
            </w:tcBorders>
            <w:shd w:fill="003366" w:val="clear"/>
            <w:tcMar>
              <w:top w:type="dxa" w:w="160"/>
              <w:left w:type="dxa" w:w="100"/>
              <w:bottom w:type="dxa" w:w="160"/>
              <w:right w:type="dxa" w:w="100"/>
            </w:tcMar>
          </w:tcPr>
          <w:p>
            <w:pPr>
              <w:spacing w:after="0" w:before="0" w:line="320"/>
              <w:jc w:val="center"/>
            </w:pPr>
            <w:r>
              <w:rPr>
                <w:rFonts w:ascii="Arial" w:cs="Arial" w:eastAsia="Arial" w:hAnsi="Arial"/>
                <w:b/>
                <w:bCs/>
                <w:color w:val="FFFFFF"/>
                <w:sz w:val="20"/>
                <w:szCs w:val="20"/>
              </w:rPr>
              <w:t xml:space="preserve">7,500+
Listed Companies
To Benefit</w:t>
            </w:r>
          </w:p>
        </w:tc>
        <w:tc>
          <w:tcPr>
            <w:tcW w:type="dxa" w:w="2256"/>
            <w:tcBorders>
              <w:top w:val="none" w:color="FFFFFF" w:sz="0"/>
              <w:left w:val="none" w:color="FFFFFF" w:sz="0"/>
              <w:bottom w:val="none" w:color="FFFFFF" w:sz="0"/>
              <w:right w:val="none" w:color="FFFFFF" w:sz="0"/>
            </w:tcBorders>
            <w:shd w:fill="1E3A5F" w:val="clear"/>
            <w:tcMar>
              <w:top w:type="dxa" w:w="160"/>
              <w:left w:type="dxa" w:w="100"/>
              <w:bottom w:type="dxa" w:w="160"/>
              <w:right w:type="dxa" w:w="100"/>
            </w:tcMar>
          </w:tcPr>
          <w:p>
            <w:pPr>
              <w:spacing w:after="0" w:before="0" w:line="320"/>
              <w:jc w:val="center"/>
            </w:pPr>
            <w:r>
              <w:rPr>
                <w:rFonts w:ascii="Arial" w:cs="Arial" w:eastAsia="Arial" w:hAnsi="Arial"/>
                <w:b/>
                <w:bCs/>
                <w:color w:val="FFFFFF"/>
                <w:sz w:val="20"/>
                <w:szCs w:val="20"/>
              </w:rPr>
              <w:t xml:space="preserve">1,000+
Top Companies
BRSR Mandated</w:t>
            </w:r>
          </w:p>
        </w:tc>
        <w:tc>
          <w:tcPr>
            <w:tcW w:type="dxa" w:w="2256"/>
            <w:tcBorders>
              <w:top w:val="none" w:color="FFFFFF" w:sz="0"/>
              <w:left w:val="none" w:color="FFFFFF" w:sz="0"/>
              <w:bottom w:val="none" w:color="FFFFFF" w:sz="0"/>
              <w:right w:val="none" w:color="FFFFFF" w:sz="0"/>
            </w:tcBorders>
            <w:shd w:fill="1A3A2A" w:val="clear"/>
            <w:tcMar>
              <w:top w:type="dxa" w:w="160"/>
              <w:left w:type="dxa" w:w="100"/>
              <w:bottom w:type="dxa" w:w="160"/>
              <w:right w:type="dxa" w:w="100"/>
            </w:tcMar>
          </w:tcPr>
          <w:p>
            <w:pPr>
              <w:spacing w:after="0" w:before="0" w:line="320"/>
              <w:jc w:val="center"/>
            </w:pPr>
            <w:r>
              <w:rPr>
                <w:rFonts w:ascii="Arial" w:cs="Arial" w:eastAsia="Arial" w:hAnsi="Arial"/>
                <w:b/>
                <w:bCs/>
                <w:color w:val="FFFFFF"/>
                <w:sz w:val="20"/>
                <w:szCs w:val="20"/>
              </w:rPr>
              <w:t xml:space="preserve">120-Param
ESG Scoring
Platform</w:t>
            </w:r>
          </w:p>
        </w:tc>
        <w:tc>
          <w:tcPr>
            <w:tcW w:type="dxa" w:w="2257"/>
            <w:tcBorders>
              <w:top w:val="none" w:color="FFFFFF" w:sz="0"/>
              <w:left w:val="none" w:color="FFFFFF" w:sz="0"/>
              <w:bottom w:val="none" w:color="FFFFFF" w:sz="0"/>
              <w:right w:val="none" w:color="FFFFFF" w:sz="0"/>
            </w:tcBorders>
            <w:shd w:fill="7C3A00" w:val="clear"/>
            <w:tcMar>
              <w:top w:type="dxa" w:w="160"/>
              <w:left w:type="dxa" w:w="100"/>
              <w:bottom w:type="dxa" w:w="160"/>
              <w:right w:type="dxa" w:w="100"/>
            </w:tcMar>
          </w:tcPr>
          <w:p>
            <w:pPr>
              <w:spacing w:after="0" w:before="0" w:line="320"/>
              <w:jc w:val="center"/>
            </w:pPr>
            <w:r>
              <w:rPr>
                <w:rFonts w:ascii="Arial" w:cs="Arial" w:eastAsia="Arial" w:hAnsi="Arial"/>
                <w:b/>
                <w:bCs/>
                <w:color w:val="FFFFFF"/>
                <w:sz w:val="20"/>
                <w:szCs w:val="20"/>
              </w:rPr>
              <w:t xml:space="preserve">54-Point
BRSR + Labour
Compliance Tool</w:t>
            </w:r>
          </w:p>
        </w:tc>
      </w:tr>
    </w:tbl>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A:  Executive Summary</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57A8" w:sz="6"/>
              <w:left w:val="single" w:color="0057A8" w:sz="6"/>
              <w:bottom w:val="single" w:color="0057A8" w:sz="6"/>
              <w:right w:val="single" w:color="0057A8" w:sz="6"/>
            </w:tcBorders>
            <w:shd w:fill="DBEAFE" w:val="clear"/>
            <w:tcMar>
              <w:top w:type="dxa" w:w="130"/>
              <w:left w:type="dxa" w:w="220"/>
              <w:bottom w:type="dxa" w:w="130"/>
              <w:right w:type="dxa" w:w="220"/>
            </w:tcMar>
          </w:tcPr>
          <w:p>
            <w:pPr>
              <w:spacing w:after="0" w:before="0" w:line="320"/>
              <w:jc w:val="both"/>
            </w:pPr>
            <w:r>
              <w:rPr>
                <w:rFonts w:ascii="Arial" w:cs="Arial" w:eastAsia="Arial" w:hAnsi="Arial"/>
                <w:color w:val="003366"/>
                <w:sz w:val="21"/>
                <w:szCs w:val="21"/>
              </w:rPr>
              <w:t xml:space="preserve">Dr. Debasis Pahi, Assistant Professor and Head of Department (Commerce), Model Degree College, Malkangiri, Vikram Dev University, Odisha, respectfully submits this Grant Proposal to the Securities and Exchange Board of India (SEBI) for financial support to develop, validate, and freely deploy COMPASS-ESG — a comprehensive, open-access digital platform for measuring ESG performance, assessing BRSR compliance, evaluating Indian Labour Law adherence, and computing Financial Health Ratios for Indian registered companies.</w:t>
            </w:r>
          </w:p>
        </w:tc>
      </w:tr>
    </w:tbl>
    <w:p>
      <w:pPr>
        <w:spacing w:after="80" w:before="0"/>
      </w:pPr>
      <w:r>
        <w:rPr>
          <w:rFonts w:ascii="Arial" w:cs="Arial" w:eastAsia="Arial" w:hAnsi="Arial"/>
          <w:color w:val="0F0F0F"/>
          <w:sz w:val="22"/>
          <w:szCs w:val="22"/>
        </w:rPr>
        <w:t xml:space="preserve"/>
      </w:r>
    </w:p>
    <w:p>
      <w:pPr>
        <w:spacing w:after="110" w:before="60" w:line="340"/>
        <w:jc w:val="both"/>
      </w:pPr>
      <w:r>
        <w:rPr>
          <w:rFonts w:ascii="Arial" w:cs="Arial" w:eastAsia="Arial" w:hAnsi="Arial"/>
          <w:color w:val="0F0F0F"/>
          <w:sz w:val="22"/>
          <w:szCs w:val="22"/>
        </w:rPr>
        <w:t xml:space="preserve">India's corporate sustainability disclosure ecosystem faces a critical infrastructure gap. SEBI's BRSR mandate (LODR Amendment, 2021) requires the top 1,000 listed companies to file structured sustainability disclosures across nine National Voluntary Guidelines (NVG) principles. Yet no publicly accessible, standardised, rubric-anchored platform exists to help companies measure, score, benchmark, and improve their ESG performance, BRSR compliance, and labour law adherence in a manner aligned with SEBI's regulatory expectations and international best practices.</w:t>
      </w:r>
    </w:p>
    <w:p>
      <w:pPr>
        <w:spacing w:after="110" w:before="60" w:line="340"/>
        <w:jc w:val="both"/>
      </w:pPr>
      <w:r>
        <w:rPr>
          <w:rFonts w:ascii="Arial" w:cs="Arial" w:eastAsia="Arial" w:hAnsi="Arial"/>
          <w:color w:val="0F0F0F"/>
          <w:sz w:val="22"/>
          <w:szCs w:val="22"/>
        </w:rPr>
        <w:t xml:space="preserve">The COMPASS-ESG platform, already prototyped as the Company Health Dashboard (CHD) — a working browser-native simulation tool — addresses this gap comprehensively. It integrates: (i) a 120-parameter ESG Scoring Engine with five-band performance rubrics anchored to GRI, CDP, MSCI, TCFD, and SEBI standards; (ii) a 54-indicator BRSR Compliance Checklist mapped to all nine NVG principles; (iii) a nine-statute Indian Labour Law Compliance Audit module covering EPF, POSH, Minimum Wages, Child Labour, Contract Labour, Maternity Benefit, and other central legislations; and (iv) a 35-ratio Financial Health Analysis engine with 15 advanced composite indicators including Altman Z-Score, Piotroski F-Score, and Beneish M-Score.</w:t>
      </w:r>
    </w:p>
    <w:p>
      <w:pPr>
        <w:spacing w:after="110" w:before="60" w:line="340"/>
        <w:jc w:val="both"/>
      </w:pPr>
      <w:r>
        <w:rPr>
          <w:rFonts w:ascii="Arial" w:cs="Arial" w:eastAsia="Arial" w:hAnsi="Arial"/>
          <w:color w:val="0F0F0F"/>
          <w:sz w:val="22"/>
          <w:szCs w:val="22"/>
        </w:rPr>
        <w:t xml:space="preserve">This grant will fund: platform development and engineering; ESG benchmark database construction; regulatory alignment verification; pilot deployment across 200 listed companies; publication of a SEBI-acknowledged BRSR Quality Methodology; and open-access deployment for all Indian companies. The outcome is a public digital infrastructure asset that advances SEBI's mission of transparent, credible, and comparable corporate sustainability disclosure in Indian capital markets.</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Dimension</w:t>
            </w:r>
          </w:p>
        </w:tc>
        <w:tc>
          <w:tcPr>
            <w:tcW w:type="dxa" w:w="3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Detail</w:t>
            </w:r>
          </w:p>
        </w:tc>
        <w:tc>
          <w:tcPr>
            <w:tcW w:type="dxa" w:w="3026"/>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SEBI Strategic Alignment</w:t>
            </w:r>
          </w:p>
        </w:tc>
      </w:tr>
      <w:tr>
        <w:tc>
          <w:tcPr>
            <w:tcW w:type="dxa" w:w="25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bCs/>
                <w:color w:val="003366"/>
                <w:sz w:val="20"/>
                <w:szCs w:val="20"/>
              </w:rPr>
              <w:t xml:space="preserve">Grant Amount Requested</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 85,00,000 over 24 months</w:t>
            </w:r>
          </w:p>
        </w:tc>
        <w:tc>
          <w:tcPr>
            <w:tcW w:type="dxa" w:w="30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Capital Market Development Initiative</w:t>
            </w:r>
          </w:p>
        </w:tc>
      </w:tr>
      <w:tr>
        <w:tc>
          <w:tcPr>
            <w:tcW w:type="dxa" w:w="25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bCs/>
                <w:color w:val="003366"/>
                <w:sz w:val="20"/>
                <w:szCs w:val="20"/>
              </w:rPr>
              <w:t xml:space="preserve">Platform Type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Open-access, browser-based; zero cost for companies</w:t>
            </w:r>
          </w:p>
        </w:tc>
        <w:tc>
          <w:tcPr>
            <w:tcW w:type="dxa" w:w="30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Democratises BRSR compliance for all 7,500+ listed companies</w:t>
            </w:r>
          </w:p>
        </w:tc>
      </w:tr>
      <w:tr>
        <w:tc>
          <w:tcPr>
            <w:tcW w:type="dxa" w:w="25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bCs/>
                <w:color w:val="003366"/>
                <w:sz w:val="20"/>
                <w:szCs w:val="20"/>
              </w:rPr>
              <w:t xml:space="preserve">Primary Regulatory Basis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SEBI LODR 2021; BRSR Core 2023; NVG 9 Principles</w:t>
            </w:r>
          </w:p>
        </w:tc>
        <w:tc>
          <w:tcPr>
            <w:tcW w:type="dxa" w:w="30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Directly supports SEBI's mandatory disclosure framework</w:t>
            </w:r>
          </w:p>
        </w:tc>
      </w:tr>
      <w:tr>
        <w:tc>
          <w:tcPr>
            <w:tcW w:type="dxa" w:w="25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bCs/>
                <w:color w:val="003366"/>
                <w:sz w:val="20"/>
                <w:szCs w:val="20"/>
              </w:rPr>
              <w:t xml:space="preserve">Target Beneficiaries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7,500+ BSE/NSE listed companies; unlisted large companies; PSUs</w:t>
            </w:r>
          </w:p>
        </w:tc>
        <w:tc>
          <w:tcPr>
            <w:tcW w:type="dxa" w:w="30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Strengthens market integrity and investor protection</w:t>
            </w:r>
          </w:p>
        </w:tc>
      </w:tr>
      <w:tr>
        <w:tc>
          <w:tcPr>
            <w:tcW w:type="dxa" w:w="25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bCs/>
                <w:color w:val="003366"/>
                <w:sz w:val="20"/>
                <w:szCs w:val="20"/>
              </w:rPr>
              <w:t xml:space="preserve">Prototype Status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Working prototype live at drdpklass.github.io</w:t>
            </w:r>
          </w:p>
        </w:tc>
        <w:tc>
          <w:tcPr>
            <w:tcW w:type="dxa" w:w="30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Proof of concept validated; grant accelerates scale-up</w:t>
            </w:r>
          </w:p>
        </w:tc>
      </w:tr>
    </w:tbl>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B:  Statement of the Problem &amp; Regulatory Context</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B.1  The BRSR Compliance Infrastructure Gap</w:t>
      </w:r>
    </w:p>
    <w:p>
      <w:pPr>
        <w:spacing w:after="110" w:before="60" w:line="340"/>
        <w:jc w:val="both"/>
      </w:pPr>
      <w:r>
        <w:rPr>
          <w:rFonts w:ascii="Arial" w:cs="Arial" w:eastAsia="Arial" w:hAnsi="Arial"/>
          <w:color w:val="0F0F0F"/>
          <w:sz w:val="22"/>
          <w:szCs w:val="22"/>
        </w:rPr>
        <w:t xml:space="preserve">SEBI's BRSR mandate is among the most progressive corporate sustainability disclosure requirements globally for an emerging market context. However, three years into mandatory filing, SEBI's own quality reviews have consistently identified significant deficiencies: narrative disclosures substituted for quantitative KPIs; Leadership Indicators filed as 'Not Applicable' without justification; cross-year inconsistency in reported metrics; and absence of third-party assurance for most filers. The root cause is structural: there is no standardised, publicly accessible methodology or digital tool to help companies assess where they stand, what they need to disclose, and how to improve their BRSR quality score.</w:t>
      </w:r>
    </w:p>
    <w:p>
      <w:pPr>
        <w:spacing w:after="110" w:before="60" w:line="340"/>
        <w:jc w:val="both"/>
      </w:pPr>
      <w:r>
        <w:rPr>
          <w:rFonts w:ascii="Arial" w:cs="Arial" w:eastAsia="Arial" w:hAnsi="Arial"/>
          <w:color w:val="0F0F0F"/>
          <w:sz w:val="22"/>
          <w:szCs w:val="22"/>
        </w:rPr>
        <w:t xml:space="preserve">The problem is most acute for mid-cap and small-cap companies within the top 1,000, where compliance teams often lack dedicated ESG expertise or access to international ESG rating methodologies. For these companies, BRSR filing is currently a compliance exercise conducted under uncertainty, producing disclosures that neither serve investor needs nor accurately reflect the company's actual sustainability performance.</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B.2  ESG Scoring Opacity and Rating Divergence</w:t>
      </w:r>
    </w:p>
    <w:p>
      <w:pPr>
        <w:spacing w:after="110" w:before="60" w:line="340"/>
        <w:jc w:val="both"/>
      </w:pPr>
      <w:r>
        <w:rPr>
          <w:rFonts w:ascii="Arial" w:cs="Arial" w:eastAsia="Arial" w:hAnsi="Arial"/>
          <w:color w:val="0F0F0F"/>
          <w:sz w:val="22"/>
          <w:szCs w:val="22"/>
        </w:rPr>
        <w:t xml:space="preserve">The global ESG rating industry — dominated by MSCI, Sustainalytics, S&amp;P Global, and CDP — applies methodologies that are expensive, proprietary, and calibrated primarily to multinational corporations in developed market contexts. For Indian companies, these ratings are systematically penalised by disclosure gaps that reflect absence of a structured domestic ESG assessment framework, not absence of actual ESG performance. Berg, Koelbel, and Rigobon (2022, Review of Finance) documented that inter-rater disagreement among major ESG raters is so large that the same company can receive scores differing by 60+ percentile points across agencies — a divergence driven primarily by methodological opacity.</w:t>
      </w:r>
    </w:p>
    <w:p>
      <w:pPr>
        <w:spacing w:after="110" w:before="60" w:line="340"/>
        <w:jc w:val="both"/>
      </w:pPr>
      <w:r>
        <w:rPr>
          <w:rFonts w:ascii="Arial" w:cs="Arial" w:eastAsia="Arial" w:hAnsi="Arial"/>
          <w:color w:val="0F0F0F"/>
          <w:sz w:val="22"/>
          <w:szCs w:val="22"/>
        </w:rPr>
        <w:t xml:space="preserve">A SEBI-endorsed, publicly documented ESG scoring methodology for Indian companies — one that is rubric-anchored, verifiable, and aligned with GRI, CDP, TCFD, and BRSR standards simultaneously — would be a landmark contribution to India's sustainable finance infrastructure. COMPASS-ESG is designed to be precisely that methodology, made operational as an accessible digital tool.</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B.3  Labour Law Compliance: The Invisible ESG Risk</w:t>
      </w:r>
    </w:p>
    <w:p>
      <w:pPr>
        <w:spacing w:after="110" w:before="60" w:line="340"/>
        <w:jc w:val="both"/>
      </w:pPr>
      <w:r>
        <w:rPr>
          <w:rFonts w:ascii="Arial" w:cs="Arial" w:eastAsia="Arial" w:hAnsi="Arial"/>
          <w:color w:val="0F0F0F"/>
          <w:sz w:val="22"/>
          <w:szCs w:val="22"/>
        </w:rPr>
        <w:t xml:space="preserve">India's labour regulatory landscape encompasses over 44 central statutes — now being consolidated into four Labour Codes — whose compliance obligations are poorly integrated into ESG and BRSR reporting frameworks. BRSR Principles P3 (Employee Well-being) and P5 (Human Rights) require disclosure on PF coverage, POSH compliance, minimum wage adherence, child labour zero-tolerance, and contract worker protections — yet most companies treat these as human resources administrative matters rather than material ESG disclosures. Non-compliance with labour statutes creates significant reputational, regulatory, and financial risk: penalties under the EPF Act can reach ₹5,000 per day per defaulting employee; POSH violations attract criminal prosecution under Section 26; and child labour violations carry imprisonment under the Child Labour (Prohibition and Regulation) Act.</w:t>
      </w:r>
    </w:p>
    <w:p>
      <w:pPr>
        <w:spacing w:after="110" w:before="60" w:line="340"/>
        <w:jc w:val="both"/>
      </w:pPr>
      <w:r>
        <w:rPr>
          <w:rFonts w:ascii="Arial" w:cs="Arial" w:eastAsia="Arial" w:hAnsi="Arial"/>
          <w:color w:val="0F0F0F"/>
          <w:sz w:val="22"/>
          <w:szCs w:val="22"/>
        </w:rPr>
        <w:t xml:space="preserve">No existing platform connects Indian labour statute compliance assessment directly to BRSR disclosure requirements and ESG Social pillar scoring. COMPASS-ESG will be the first to create this integrated linkage, making labour law compliance a visible, measurable, and improvable dimension of Indian corporate ESG performance.</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B.4  Financial Health Analysis: The Missing Dimension in ESG</w:t>
      </w:r>
    </w:p>
    <w:p>
      <w:pPr>
        <w:spacing w:after="110" w:before="60" w:line="340"/>
        <w:jc w:val="both"/>
      </w:pPr>
      <w:r>
        <w:rPr>
          <w:rFonts w:ascii="Arial" w:cs="Arial" w:eastAsia="Arial" w:hAnsi="Arial"/>
          <w:color w:val="0F0F0F"/>
          <w:sz w:val="22"/>
          <w:szCs w:val="22"/>
        </w:rPr>
        <w:t xml:space="preserve">Corporate ESG performance exists within a financial health context. An ESG-committed company in financial distress cannot sustain its sustainability programs; conversely, a financially strong company with weak ESG credentials faces growing capital market risk. Integrated corporate health assessment — connecting financial ratios, early warning indicators, ESG scores, and compliance status — is increasingly demanded by institutional investors, credit rating agencies, and lenders. Yet no open-access Indian tool provides this integrated analytical capability. COMPASS-ESG will fill this gap by combining 35 financial ratios and 15 composite indicators (Altman Z-Score, Piotroski F-Score, Beneish M-Score, and 12 others) with its ESG and BRSR frameworks.</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2763"/>
        <w:gridCol w:w="2763"/>
      </w:tblGrid>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w:t>
            </w:r>
          </w:p>
        </w:tc>
        <w:tc>
          <w:tcPr>
            <w:tcW w:type="dxa" w:w="32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Problem</w:t>
            </w:r>
          </w:p>
        </w:tc>
        <w:tc>
          <w:tcPr>
            <w:tcW w:type="dxa" w:w="2763"/>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Scale / Evidence</w:t>
            </w:r>
          </w:p>
        </w:tc>
        <w:tc>
          <w:tcPr>
            <w:tcW w:type="dxa" w:w="2763"/>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COMPASS-ESG Solution</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No standardised, open-access BRSR self-assessment tool exists for Indian companies</w:t>
            </w:r>
          </w:p>
        </w:tc>
        <w:tc>
          <w:tcPr>
            <w:tcW w:type="dxa" w:w="276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7,500+ listed companies file BRSR without a standard scoring framework</w:t>
            </w:r>
          </w:p>
        </w:tc>
        <w:tc>
          <w:tcPr>
            <w:tcW w:type="dxa" w:w="276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54-indicator BRSR checklist mapped to all 9 NVG principles; principle-wise compliance score</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ESG scoring methodology in India is proprietary, expensive, and misaligned with Indian regulatory context</w:t>
            </w:r>
          </w:p>
        </w:tc>
        <w:tc>
          <w:tcPr>
            <w:tcW w:type="dxa" w:w="276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MSCI ESG India coverage: &lt;500 companies; cost: USD 50,000–200,000/year per company</w:t>
            </w:r>
          </w:p>
        </w:tc>
        <w:tc>
          <w:tcPr>
            <w:tcW w:type="dxa" w:w="276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120-parameter ESG engine with five-band rubrics; free; aligned to GRI, CDP, SEBI, and TCFD</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Labour law compliance is disconnected from BRSR/ESG reporting</w:t>
            </w:r>
          </w:p>
        </w:tc>
        <w:tc>
          <w:tcPr>
            <w:tcW w:type="dxa" w:w="276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Most BRSR P3/P5 disclosures lack verifiable statutory compliance data</w:t>
            </w:r>
          </w:p>
        </w:tc>
        <w:tc>
          <w:tcPr>
            <w:tcW w:type="dxa" w:w="276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9-statute labour compliance audit directly feeding BRSR P3/P5 and ESG Social parameters</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Financial health analysis tools are proprietary and inaccessible to most listed companies</w:t>
            </w:r>
          </w:p>
        </w:tc>
        <w:tc>
          <w:tcPr>
            <w:tcW w:type="dxa" w:w="276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Bloomberg/Refinitiv terminal: USD 20,000+/year; unavailable to 95% of listed companies</w:t>
            </w:r>
          </w:p>
        </w:tc>
        <w:tc>
          <w:tcPr>
            <w:tcW w:type="dxa" w:w="276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35 ratios + 15 composite indicators; live data integration; free, browser-native</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SEBI cannot verify BRSR quality without a standardised benchmarking methodology</w:t>
            </w:r>
          </w:p>
        </w:tc>
        <w:tc>
          <w:tcPr>
            <w:tcW w:type="dxa" w:w="276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SEBI Quality Review 2023: significant disclosure quality inconsistencies noted</w:t>
            </w:r>
          </w:p>
        </w:tc>
        <w:tc>
          <w:tcPr>
            <w:tcW w:type="dxa" w:w="276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COMPASS-ESG provides SEBI a benchmarkable, replicable quality assessment methodology</w:t>
            </w:r>
          </w:p>
        </w:tc>
      </w:tr>
    </w:tbl>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C:  Project Objectives</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57A8" w:sz="6"/>
              <w:left w:val="single" w:color="0057A8" w:sz="6"/>
              <w:bottom w:val="single" w:color="0057A8" w:sz="6"/>
              <w:right w:val="single" w:color="0057A8" w:sz="6"/>
            </w:tcBorders>
            <w:shd w:fill="DBEAFE" w:val="clear"/>
            <w:tcMar>
              <w:top w:type="dxa" w:w="130"/>
              <w:left w:type="dxa" w:w="220"/>
              <w:bottom w:type="dxa" w:w="130"/>
              <w:right w:type="dxa" w:w="220"/>
            </w:tcMar>
          </w:tcPr>
          <w:p>
            <w:pPr>
              <w:spacing w:after="0" w:before="0" w:line="320"/>
              <w:jc w:val="both"/>
            </w:pPr>
            <w:r>
              <w:rPr>
                <w:rFonts w:ascii="Arial" w:cs="Arial" w:eastAsia="Arial" w:hAnsi="Arial"/>
                <w:color w:val="003366"/>
                <w:sz w:val="20"/>
                <w:szCs w:val="20"/>
              </w:rPr>
              <w:t xml:space="preserve">COMPASS-ESG is designed to achieve six primary objectives that collectively advance SEBI's regulatory mission of transparent, credible, and comparable corporate sustainability disclosure in Indian capital markets.</w:t>
            </w:r>
          </w:p>
        </w:tc>
      </w:tr>
    </w:tbl>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726"/>
      </w:tblGrid>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Obj.</w:t>
            </w:r>
          </w:p>
        </w:tc>
        <w:tc>
          <w:tcPr>
            <w:tcW w:type="dxa" w:w="28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Objective</w:t>
            </w:r>
          </w:p>
        </w:tc>
        <w:tc>
          <w:tcPr>
            <w:tcW w:type="dxa" w:w="5726"/>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Measurable Outcome</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top"/>
          </w:tcPr>
          <w:p>
            <w:pPr>
              <w:spacing w:after="0" w:before="0"/>
              <w:jc w:val="center"/>
            </w:pPr>
            <w:r>
              <w:rPr>
                <w:rFonts w:ascii="Arial" w:cs="Arial" w:eastAsia="Arial" w:hAnsi="Arial"/>
                <w:b/>
                <w:bCs/>
                <w:color w:val="FFFFFF"/>
                <w:sz w:val="20"/>
                <w:szCs w:val="20"/>
              </w:rPr>
              <w:t xml:space="preserve">O1</w:t>
            </w:r>
          </w:p>
        </w:tc>
        <w:tc>
          <w:tcPr>
            <w:tcW w:type="dxa" w:w="2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top"/>
          </w:tcPr>
          <w:p>
            <w:pPr>
              <w:spacing w:after="0" w:before="0"/>
              <w:jc w:val="left"/>
            </w:pPr>
            <w:r>
              <w:rPr>
                <w:rFonts w:ascii="Arial" w:cs="Arial" w:eastAsia="Arial" w:hAnsi="Arial"/>
                <w:b/>
                <w:bCs/>
                <w:color w:val="1E3A5F"/>
                <w:sz w:val="20"/>
                <w:szCs w:val="20"/>
              </w:rPr>
              <w:t xml:space="preserve">Develop &amp; Deploy a SEBI-Aligned BRSR Self-Assessment Platform</w:t>
            </w:r>
          </w:p>
        </w:tc>
        <w:tc>
          <w:tcPr>
            <w:tcW w:type="dxa" w:w="57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color w:val="0F0F0F"/>
                <w:sz w:val="20"/>
                <w:szCs w:val="20"/>
              </w:rPr>
              <w:t xml:space="preserve">A free, browser-native platform enabling any Indian listed company to assess its BRSR compliance status across all 54 indicators (9 NVG principles), generate a principle-wise compliance score, identify gaps, and produce a structured gap remediation report — deployed and freely accessible within 18 months.</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top"/>
          </w:tcPr>
          <w:p>
            <w:pPr>
              <w:spacing w:after="0" w:before="0"/>
              <w:jc w:val="center"/>
            </w:pPr>
            <w:r>
              <w:rPr>
                <w:rFonts w:ascii="Arial" w:cs="Arial" w:eastAsia="Arial" w:hAnsi="Arial"/>
                <w:b/>
                <w:bCs/>
                <w:color w:val="FFFFFF"/>
                <w:sz w:val="20"/>
                <w:szCs w:val="20"/>
              </w:rPr>
              <w:t xml:space="preserve">O2</w:t>
            </w:r>
          </w:p>
        </w:tc>
        <w:tc>
          <w:tcPr>
            <w:tcW w:type="dxa" w:w="2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top"/>
          </w:tcPr>
          <w:p>
            <w:pPr>
              <w:spacing w:after="0" w:before="0"/>
              <w:jc w:val="left"/>
            </w:pPr>
            <w:r>
              <w:rPr>
                <w:rFonts w:ascii="Arial" w:cs="Arial" w:eastAsia="Arial" w:hAnsi="Arial"/>
                <w:b/>
                <w:bCs/>
                <w:color w:val="1E3A5F"/>
                <w:sz w:val="20"/>
                <w:szCs w:val="20"/>
              </w:rPr>
              <w:t xml:space="preserve">Create an Open, Verifiable ESG Scoring Methodology for India</w:t>
            </w:r>
          </w:p>
        </w:tc>
        <w:tc>
          <w:tcPr>
            <w:tcW w:type="dxa" w:w="57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color w:val="0F0F0F"/>
                <w:sz w:val="20"/>
                <w:szCs w:val="20"/>
              </w:rPr>
              <w:t xml:space="preserve">Publish an open-methodology ESG scoring framework (120 parameters, 5-band performance rubrics, market value impact weights) aligned to GRI Standards, CDP, TCFD, MSCI materiality, and SEBI BRSR — the first such publicly documented, rubric-anchored ESG scoring system for Indian companies.</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top"/>
          </w:tcPr>
          <w:p>
            <w:pPr>
              <w:spacing w:after="0" w:before="0"/>
              <w:jc w:val="center"/>
            </w:pPr>
            <w:r>
              <w:rPr>
                <w:rFonts w:ascii="Arial" w:cs="Arial" w:eastAsia="Arial" w:hAnsi="Arial"/>
                <w:b/>
                <w:bCs/>
                <w:color w:val="FFFFFF"/>
                <w:sz w:val="20"/>
                <w:szCs w:val="20"/>
              </w:rPr>
              <w:t xml:space="preserve">O3</w:t>
            </w:r>
          </w:p>
        </w:tc>
        <w:tc>
          <w:tcPr>
            <w:tcW w:type="dxa" w:w="2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top"/>
          </w:tcPr>
          <w:p>
            <w:pPr>
              <w:spacing w:after="0" w:before="0"/>
              <w:jc w:val="left"/>
            </w:pPr>
            <w:r>
              <w:rPr>
                <w:rFonts w:ascii="Arial" w:cs="Arial" w:eastAsia="Arial" w:hAnsi="Arial"/>
                <w:b/>
                <w:bCs/>
                <w:color w:val="1E3A5F"/>
                <w:sz w:val="20"/>
                <w:szCs w:val="20"/>
              </w:rPr>
              <w:t xml:space="preserve">Integrate Indian Labour Law Compliance into ESG/BRSR Assessment</w:t>
            </w:r>
          </w:p>
        </w:tc>
        <w:tc>
          <w:tcPr>
            <w:tcW w:type="dxa" w:w="57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color w:val="0F0F0F"/>
                <w:sz w:val="20"/>
                <w:szCs w:val="20"/>
              </w:rPr>
              <w:t xml:space="preserve">Build and validate a nine-statute Indian Labour Law Compliance Audit module directly linked to BRSR P3 and P5 disclosures and ESG Social parameters — the first platform to make this regulatory integration explicit and measurable.</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top"/>
          </w:tcPr>
          <w:p>
            <w:pPr>
              <w:spacing w:after="0" w:before="0"/>
              <w:jc w:val="center"/>
            </w:pPr>
            <w:r>
              <w:rPr>
                <w:rFonts w:ascii="Arial" w:cs="Arial" w:eastAsia="Arial" w:hAnsi="Arial"/>
                <w:b/>
                <w:bCs/>
                <w:color w:val="FFFFFF"/>
                <w:sz w:val="20"/>
                <w:szCs w:val="20"/>
              </w:rPr>
              <w:t xml:space="preserve">O4</w:t>
            </w:r>
          </w:p>
        </w:tc>
        <w:tc>
          <w:tcPr>
            <w:tcW w:type="dxa" w:w="2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top"/>
          </w:tcPr>
          <w:p>
            <w:pPr>
              <w:spacing w:after="0" w:before="0"/>
              <w:jc w:val="left"/>
            </w:pPr>
            <w:r>
              <w:rPr>
                <w:rFonts w:ascii="Arial" w:cs="Arial" w:eastAsia="Arial" w:hAnsi="Arial"/>
                <w:b/>
                <w:bCs/>
                <w:color w:val="1E3A5F"/>
                <w:sz w:val="20"/>
                <w:szCs w:val="20"/>
              </w:rPr>
              <w:t xml:space="preserve">Provide Open-Access Financial Health Analytics</w:t>
            </w:r>
          </w:p>
        </w:tc>
        <w:tc>
          <w:tcPr>
            <w:tcW w:type="dxa" w:w="57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color w:val="0F0F0F"/>
                <w:sz w:val="20"/>
                <w:szCs w:val="20"/>
              </w:rPr>
              <w:t xml:space="preserve">Deploy 35 financial ratios and 15 composite early warning indicators (including Altman Z, Piotroski F, Beneish M) for any Indian listed company using live market data — at zero cost, in a browser, with AI-assisted analyst report generation.</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top"/>
          </w:tcPr>
          <w:p>
            <w:pPr>
              <w:spacing w:after="0" w:before="0"/>
              <w:jc w:val="center"/>
            </w:pPr>
            <w:r>
              <w:rPr>
                <w:rFonts w:ascii="Arial" w:cs="Arial" w:eastAsia="Arial" w:hAnsi="Arial"/>
                <w:b/>
                <w:bCs/>
                <w:color w:val="FFFFFF"/>
                <w:sz w:val="20"/>
                <w:szCs w:val="20"/>
              </w:rPr>
              <w:t xml:space="preserve">O5</w:t>
            </w:r>
          </w:p>
        </w:tc>
        <w:tc>
          <w:tcPr>
            <w:tcW w:type="dxa" w:w="2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top"/>
          </w:tcPr>
          <w:p>
            <w:pPr>
              <w:spacing w:after="0" w:before="0"/>
              <w:jc w:val="left"/>
            </w:pPr>
            <w:r>
              <w:rPr>
                <w:rFonts w:ascii="Arial" w:cs="Arial" w:eastAsia="Arial" w:hAnsi="Arial"/>
                <w:b/>
                <w:bCs/>
                <w:color w:val="1E3A5F"/>
                <w:sz w:val="20"/>
                <w:szCs w:val="20"/>
              </w:rPr>
              <w:t xml:space="preserve">Pilot with 200 Listed Companies and Generate Baseline Data</w:t>
            </w:r>
          </w:p>
        </w:tc>
        <w:tc>
          <w:tcPr>
            <w:tcW w:type="dxa" w:w="57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color w:val="0F0F0F"/>
                <w:sz w:val="20"/>
                <w:szCs w:val="20"/>
              </w:rPr>
              <w:t xml:space="preserve">Conduct a structured pilot with 200 BSE/NSE listed companies across 10 sectors, generating India's first sector-benchmarked ESG and BRSR quality dataset — a research and regulatory resource made available to SEBI.</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top"/>
          </w:tcPr>
          <w:p>
            <w:pPr>
              <w:spacing w:after="0" w:before="0"/>
              <w:jc w:val="center"/>
            </w:pPr>
            <w:r>
              <w:rPr>
                <w:rFonts w:ascii="Arial" w:cs="Arial" w:eastAsia="Arial" w:hAnsi="Arial"/>
                <w:b/>
                <w:bCs/>
                <w:color w:val="FFFFFF"/>
                <w:sz w:val="20"/>
                <w:szCs w:val="20"/>
              </w:rPr>
              <w:t xml:space="preserve">O6</w:t>
            </w:r>
          </w:p>
        </w:tc>
        <w:tc>
          <w:tcPr>
            <w:tcW w:type="dxa" w:w="2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top"/>
          </w:tcPr>
          <w:p>
            <w:pPr>
              <w:spacing w:after="0" w:before="0"/>
              <w:jc w:val="left"/>
            </w:pPr>
            <w:r>
              <w:rPr>
                <w:rFonts w:ascii="Arial" w:cs="Arial" w:eastAsia="Arial" w:hAnsi="Arial"/>
                <w:b/>
                <w:bCs/>
                <w:color w:val="1E3A5F"/>
                <w:sz w:val="20"/>
                <w:szCs w:val="20"/>
              </w:rPr>
              <w:t xml:space="preserve">Publish SEBI-Acknowledged BRSR Quality Assessment Methodology</w:t>
            </w:r>
          </w:p>
        </w:tc>
        <w:tc>
          <w:tcPr>
            <w:tcW w:type="dxa" w:w="57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color w:val="0F0F0F"/>
                <w:sz w:val="20"/>
                <w:szCs w:val="20"/>
              </w:rPr>
              <w:t xml:space="preserve">Co-develop with SEBI's legal and regulatory team a published BRSR Quality Assessment Rubric that can be used by SEBI Quality Reviewers, Statutory Auditors, and Company Secretaries as a standardised benchmarking instrument.</w:t>
            </w:r>
          </w:p>
        </w:tc>
      </w:tr>
    </w:tbl>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D:  Platform Description — COMPASS-ESG System Architecture</w:t>
      </w:r>
    </w:p>
    <w:p>
      <w:pPr>
        <w:spacing w:after="80" w:before="0"/>
      </w:pPr>
      <w:r>
        <w:rPr>
          <w:rFonts w:ascii="Arial" w:cs="Arial" w:eastAsia="Arial" w:hAnsi="Arial"/>
          <w:color w:val="0F0F0F"/>
          <w:sz w:val="22"/>
          <w:szCs w:val="22"/>
        </w:rPr>
        <w:t xml:space="preserve"/>
      </w:r>
    </w:p>
    <w:p>
      <w:pPr>
        <w:spacing w:after="110" w:before="60" w:line="340"/>
        <w:jc w:val="both"/>
      </w:pPr>
      <w:r>
        <w:rPr>
          <w:rFonts w:ascii="Arial" w:cs="Arial" w:eastAsia="Arial" w:hAnsi="Arial"/>
          <w:color w:val="0F0F0F"/>
          <w:sz w:val="22"/>
          <w:szCs w:val="22"/>
        </w:rPr>
        <w:t xml:space="preserve">The COMPASS-ESG platform is grounded in a working prototype — the Company Health Dashboard (CHD) — developed and validated by the Principal Investigator. The grant will fund the transition from prototype to a production-grade, scalable, multi-company platform with a dedicated SEBI compliance module, sector benchmarking database, and API infrastructure for institutional integration.</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D.1  Module 1: ESG Scoring Engine — 120 Parameters, Five-Band Rubric Methodology</w:t>
      </w:r>
    </w:p>
    <w:p>
      <w:pPr>
        <w:spacing w:after="110" w:before="60" w:line="340"/>
        <w:jc w:val="both"/>
      </w:pPr>
      <w:r>
        <w:rPr>
          <w:rFonts w:ascii="Arial" w:cs="Arial" w:eastAsia="Arial" w:hAnsi="Arial"/>
          <w:color w:val="0F0F0F"/>
          <w:sz w:val="22"/>
          <w:szCs w:val="22"/>
        </w:rPr>
        <w:t xml:space="preserve">The ESG module is the platform's foundational analytical component. It assesses 120 parameters across three pillars — Environmental (40 parameters), Social (40 parameters), and Governance (40 parameters) — using a proprietary five-band scoring rubric system that is the project's primary methodological innovation.</w:t>
      </w:r>
    </w:p>
    <w:p>
      <w:pPr>
        <w:spacing w:after="80" w:before="0"/>
      </w:pPr>
      <w:r>
        <w:rPr>
          <w:rFonts w:ascii="Arial" w:cs="Arial" w:eastAsia="Arial" w:hAnsi="Arial"/>
          <w:color w:val="0F0F0F"/>
          <w:sz w:val="22"/>
          <w:szCs w:val="22"/>
        </w:rPr>
        <w:t xml:space="preserve"/>
      </w:r>
    </w:p>
    <w:p>
      <w:pPr>
        <w:spacing w:after="80" w:before="180"/>
      </w:pPr>
      <w:r>
        <w:rPr>
          <w:rFonts w:ascii="Arial" w:cs="Arial" w:eastAsia="Arial" w:hAnsi="Arial"/>
          <w:b/>
          <w:bCs/>
          <w:color w:val="1A3A2A"/>
          <w:sz w:val="22"/>
          <w:szCs w:val="22"/>
        </w:rPr>
        <w:t xml:space="preserve">The Five-Band Rubric System</w:t>
      </w:r>
    </w:p>
    <w:p>
      <w:pPr>
        <w:spacing w:after="110" w:before="60" w:line="340"/>
        <w:jc w:val="both"/>
      </w:pPr>
      <w:r>
        <w:rPr>
          <w:rFonts w:ascii="Arial" w:cs="Arial" w:eastAsia="Arial" w:hAnsi="Arial"/>
          <w:color w:val="0F0F0F"/>
          <w:sz w:val="22"/>
          <w:szCs w:val="22"/>
        </w:rPr>
        <w:t xml:space="preserve">For each parameter, the platform presents an explicit scoring rubric specifying the observable, verifiable performance criteria that correspond to each of the five bands (0–20, 21–40, 41–60, 61–80, 81–100). This rubric anchoring addresses the central weakness of existing ESG rating systems — methodological opacity — by making assessment criteria transparent, consistent, and auditable.</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4"/>
              <w:left w:val="single" w:color="CCCCCC" w:sz="4"/>
              <w:bottom w:val="single" w:color="CCCCCC" w:sz="4"/>
              <w:right w:val="single" w:color="CCCCCC" w:sz="4"/>
            </w:tcBorders>
            <w:shd w:fill="1A3A2A"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 Environmental (40 Parameters)</w:t>
            </w:r>
          </w:p>
        </w:tc>
        <w:tc>
          <w:tcPr>
            <w:tcW w:type="dxa" w:w="3009"/>
            <w:tcBorders>
              <w:top w:val="single" w:color="CCCCCC" w:sz="4"/>
              <w:left w:val="single" w:color="CCCCCC" w:sz="4"/>
              <w:bottom w:val="single" w:color="CCCCCC" w:sz="4"/>
              <w:right w:val="single" w:color="CCCCCC" w:sz="4"/>
            </w:tcBorders>
            <w:shd w:fill="1E3A5F"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 Social (40 Parameters)</w:t>
            </w:r>
          </w:p>
        </w:tc>
        <w:tc>
          <w:tcPr>
            <w:tcW w:type="dxa" w:w="3009"/>
            <w:tcBorders>
              <w:top w:val="single" w:color="CCCCCC" w:sz="4"/>
              <w:left w:val="single" w:color="CCCCCC" w:sz="4"/>
              <w:bottom w:val="single" w:color="CCCCCC" w:sz="4"/>
              <w:right w:val="single" w:color="CCCCCC" w:sz="4"/>
            </w:tcBorders>
            <w:shd w:fill="4C1D95"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 Governance (40 Parameters)</w:t>
            </w:r>
          </w:p>
        </w:tc>
      </w:tr>
      <w:tr>
        <w:tc>
          <w:tcPr>
            <w:tcW w:type="dxa" w:w="3008"/>
            <w:tcBorders>
              <w:top w:val="single" w:color="bbf7d0" w:sz="4"/>
              <w:left w:val="single" w:color="bbf7d0" w:sz="4"/>
              <w:bottom w:val="single" w:color="bbf7d0" w:sz="4"/>
              <w:right w:val="single" w:color="bbf7d0" w:sz="4"/>
            </w:tcBorders>
            <w:shd w:fill="DCFCE7" w:val="clear"/>
            <w:tcMar>
              <w:top w:type="dxa" w:w="100"/>
              <w:left w:type="dxa" w:w="130"/>
              <w:bottom w:type="dxa" w:w="100"/>
              <w:right w:type="dxa" w:w="130"/>
            </w:tcMar>
          </w:tcPr>
          <w:p>
            <w:pPr>
              <w:spacing w:after="16" w:before="16"/>
            </w:pPr>
            <w:r>
              <w:rPr>
                <w:rFonts w:ascii="Arial" w:cs="Arial" w:eastAsia="Arial" w:hAnsi="Arial"/>
                <w:color w:val="1A3A2A"/>
                <w:sz w:val="17"/>
                <w:szCs w:val="17"/>
              </w:rPr>
              <w:t xml:space="preserve">• GHG Scope 1, 2, 3 Reduction</w:t>
            </w:r>
          </w:p>
          <w:p>
            <w:pPr>
              <w:spacing w:after="16" w:before="16"/>
            </w:pPr>
            <w:r>
              <w:rPr>
                <w:rFonts w:ascii="Arial" w:cs="Arial" w:eastAsia="Arial" w:hAnsi="Arial"/>
                <w:color w:val="1A3A2A"/>
                <w:sz w:val="17"/>
                <w:szCs w:val="17"/>
              </w:rPr>
              <w:t xml:space="preserve">• Net Zero / SBTi Commitment</w:t>
            </w:r>
          </w:p>
          <w:p>
            <w:pPr>
              <w:spacing w:after="16" w:before="16"/>
            </w:pPr>
            <w:r>
              <w:rPr>
                <w:rFonts w:ascii="Arial" w:cs="Arial" w:eastAsia="Arial" w:hAnsi="Arial"/>
                <w:color w:val="1A3A2A"/>
                <w:sz w:val="17"/>
                <w:szCs w:val="17"/>
              </w:rPr>
              <w:t xml:space="preserve">• Energy Intensity &amp; Renewables (≥60% target)</w:t>
            </w:r>
          </w:p>
          <w:p>
            <w:pPr>
              <w:spacing w:after="16" w:before="16"/>
            </w:pPr>
            <w:r>
              <w:rPr>
                <w:rFonts w:ascii="Arial" w:cs="Arial" w:eastAsia="Arial" w:hAnsi="Arial"/>
                <w:color w:val="1A3A2A"/>
                <w:sz w:val="17"/>
                <w:szCs w:val="17"/>
              </w:rPr>
              <w:t xml:space="preserve">• Carbon Pricing Mechanism</w:t>
            </w:r>
          </w:p>
          <w:p>
            <w:pPr>
              <w:spacing w:after="16" w:before="16"/>
            </w:pPr>
            <w:r>
              <w:rPr>
                <w:rFonts w:ascii="Arial" w:cs="Arial" w:eastAsia="Arial" w:hAnsi="Arial"/>
                <w:color w:val="1A3A2A"/>
                <w:sz w:val="17"/>
                <w:szCs w:val="17"/>
              </w:rPr>
              <w:t xml:space="preserve">• Climate Finance &amp; Green CapEx</w:t>
            </w:r>
          </w:p>
          <w:p>
            <w:pPr>
              <w:spacing w:after="16" w:before="16"/>
            </w:pPr>
            <w:r>
              <w:rPr>
                <w:rFonts w:ascii="Arial" w:cs="Arial" w:eastAsia="Arial" w:hAnsi="Arial"/>
                <w:color w:val="1A3A2A"/>
                <w:sz w:val="17"/>
                <w:szCs w:val="17"/>
              </w:rPr>
              <w:t xml:space="preserve">• Water Withdrawal &amp; ZLD</w:t>
            </w:r>
          </w:p>
          <w:p>
            <w:pPr>
              <w:spacing w:after="16" w:before="16"/>
            </w:pPr>
            <w:r>
              <w:rPr>
                <w:rFonts w:ascii="Arial" w:cs="Arial" w:eastAsia="Arial" w:hAnsi="Arial"/>
                <w:color w:val="1A3A2A"/>
                <w:sz w:val="17"/>
                <w:szCs w:val="17"/>
              </w:rPr>
              <w:t xml:space="preserve">• Water Recycling Rate (&gt;60%)</w:t>
            </w:r>
          </w:p>
          <w:p>
            <w:pPr>
              <w:spacing w:after="16" w:before="16"/>
            </w:pPr>
            <w:r>
              <w:rPr>
                <w:rFonts w:ascii="Arial" w:cs="Arial" w:eastAsia="Arial" w:hAnsi="Arial"/>
                <w:color w:val="1A3A2A"/>
                <w:sz w:val="17"/>
                <w:szCs w:val="17"/>
              </w:rPr>
              <w:t xml:space="preserve">• Water Stewardship (AWS Cert.)</w:t>
            </w:r>
          </w:p>
          <w:p>
            <w:pPr>
              <w:spacing w:after="16" w:before="16"/>
            </w:pPr>
            <w:r>
              <w:rPr>
                <w:rFonts w:ascii="Arial" w:cs="Arial" w:eastAsia="Arial" w:hAnsi="Arial"/>
                <w:color w:val="1A3A2A"/>
                <w:sz w:val="17"/>
                <w:szCs w:val="17"/>
              </w:rPr>
              <w:t xml:space="preserve">• Marine / Freshwater Pollution</w:t>
            </w:r>
          </w:p>
          <w:p>
            <w:pPr>
              <w:spacing w:after="16" w:before="16"/>
            </w:pPr>
            <w:r>
              <w:rPr>
                <w:rFonts w:ascii="Arial" w:cs="Arial" w:eastAsia="Arial" w:hAnsi="Arial"/>
                <w:color w:val="1A3A2A"/>
                <w:sz w:val="17"/>
                <w:szCs w:val="17"/>
              </w:rPr>
              <w:t xml:space="preserve">• Waste Diversion from Landfill (&lt;5%)</w:t>
            </w:r>
          </w:p>
          <w:p>
            <w:pPr>
              <w:spacing w:after="16" w:before="16"/>
            </w:pPr>
            <w:r>
              <w:rPr>
                <w:rFonts w:ascii="Arial" w:cs="Arial" w:eastAsia="Arial" w:hAnsi="Arial"/>
                <w:color w:val="1A3A2A"/>
                <w:sz w:val="17"/>
                <w:szCs w:val="17"/>
              </w:rPr>
              <w:t xml:space="preserve">• Hazardous Waste Reduction</w:t>
            </w:r>
          </w:p>
          <w:p>
            <w:pPr>
              <w:spacing w:after="16" w:before="16"/>
            </w:pPr>
            <w:r>
              <w:rPr>
                <w:rFonts w:ascii="Arial" w:cs="Arial" w:eastAsia="Arial" w:hAnsi="Arial"/>
                <w:color w:val="1A3A2A"/>
                <w:sz w:val="17"/>
                <w:szCs w:val="17"/>
              </w:rPr>
              <w:t xml:space="preserve">• Circular Economy &amp; Take-Back</w:t>
            </w:r>
          </w:p>
          <w:p>
            <w:pPr>
              <w:spacing w:after="16" w:before="16"/>
            </w:pPr>
            <w:r>
              <w:rPr>
                <w:rFonts w:ascii="Arial" w:cs="Arial" w:eastAsia="Arial" w:hAnsi="Arial"/>
                <w:color w:val="1A3A2A"/>
                <w:sz w:val="17"/>
                <w:szCs w:val="17"/>
              </w:rPr>
              <w:t xml:space="preserve">• Sustainable Packaging</w:t>
            </w:r>
          </w:p>
          <w:p>
            <w:pPr>
              <w:spacing w:after="16" w:before="16"/>
            </w:pPr>
            <w:r>
              <w:rPr>
                <w:rFonts w:ascii="Arial" w:cs="Arial" w:eastAsia="Arial" w:hAnsi="Arial"/>
                <w:color w:val="1A3A2A"/>
                <w:sz w:val="17"/>
                <w:szCs w:val="17"/>
              </w:rPr>
              <w:t xml:space="preserve">• E-Waste (EPR Compliance)</w:t>
            </w:r>
          </w:p>
          <w:p>
            <w:pPr>
              <w:spacing w:after="16" w:before="16"/>
            </w:pPr>
            <w:r>
              <w:rPr>
                <w:rFonts w:ascii="Arial" w:cs="Arial" w:eastAsia="Arial" w:hAnsi="Arial"/>
                <w:color w:val="1A3A2A"/>
                <w:sz w:val="17"/>
                <w:szCs w:val="17"/>
              </w:rPr>
              <w:t xml:space="preserve">• Air Quality (NOx, SOx, PM)</w:t>
            </w:r>
          </w:p>
          <w:p>
            <w:pPr>
              <w:spacing w:after="16" w:before="16"/>
            </w:pPr>
            <w:r>
              <w:rPr>
                <w:rFonts w:ascii="Arial" w:cs="Arial" w:eastAsia="Arial" w:hAnsi="Arial"/>
                <w:color w:val="1A3A2A"/>
                <w:sz w:val="17"/>
                <w:szCs w:val="17"/>
              </w:rPr>
              <w:t xml:space="preserve">• Environmental Mgmt System (ISO 14001)</w:t>
            </w:r>
          </w:p>
          <w:p>
            <w:pPr>
              <w:spacing w:after="16" w:before="16"/>
            </w:pPr>
            <w:r>
              <w:rPr>
                <w:rFonts w:ascii="Arial" w:cs="Arial" w:eastAsia="Arial" w:hAnsi="Arial"/>
                <w:color w:val="1A3A2A"/>
                <w:sz w:val="17"/>
                <w:szCs w:val="17"/>
              </w:rPr>
              <w:t xml:space="preserve">• VOC &amp; Chemical Prevention</w:t>
            </w:r>
          </w:p>
          <w:p>
            <w:pPr>
              <w:spacing w:after="16" w:before="16"/>
            </w:pPr>
            <w:r>
              <w:rPr>
                <w:rFonts w:ascii="Arial" w:cs="Arial" w:eastAsia="Arial" w:hAnsi="Arial"/>
                <w:color w:val="1A3A2A"/>
                <w:sz w:val="17"/>
                <w:szCs w:val="17"/>
              </w:rPr>
              <w:t xml:space="preserve">• Biodiversity No-Net-Loss Policy</w:t>
            </w:r>
          </w:p>
          <w:p>
            <w:pPr>
              <w:spacing w:after="16" w:before="16"/>
            </w:pPr>
            <w:r>
              <w:rPr>
                <w:rFonts w:ascii="Arial" w:cs="Arial" w:eastAsia="Arial" w:hAnsi="Arial"/>
                <w:color w:val="1A3A2A"/>
                <w:sz w:val="17"/>
                <w:szCs w:val="17"/>
              </w:rPr>
              <w:t xml:space="preserve">• Land Restoration</w:t>
            </w:r>
          </w:p>
          <w:p>
            <w:pPr>
              <w:spacing w:after="16" w:before="16"/>
            </w:pPr>
            <w:r>
              <w:rPr>
                <w:rFonts w:ascii="Arial" w:cs="Arial" w:eastAsia="Arial" w:hAnsi="Arial"/>
                <w:color w:val="1A3A2A"/>
                <w:sz w:val="17"/>
                <w:szCs w:val="17"/>
              </w:rPr>
              <w:t xml:space="preserve">• Deforestation-Free Supply Chain</w:t>
            </w:r>
          </w:p>
          <w:p>
            <w:pPr>
              <w:spacing w:after="16" w:before="16"/>
            </w:pPr>
            <w:r>
              <w:rPr>
                <w:rFonts w:ascii="Arial" w:cs="Arial" w:eastAsia="Arial" w:hAnsi="Arial"/>
                <w:color w:val="1A3A2A"/>
                <w:sz w:val="17"/>
                <w:szCs w:val="17"/>
              </w:rPr>
              <w:t xml:space="preserve">• TCFD Climate Risk Disclosure</w:t>
            </w:r>
          </w:p>
          <w:p>
            <w:pPr>
              <w:spacing w:after="16" w:before="16"/>
            </w:pPr>
            <w:r>
              <w:rPr>
                <w:rFonts w:ascii="Arial" w:cs="Arial" w:eastAsia="Arial" w:hAnsi="Arial"/>
                <w:color w:val="1A3A2A"/>
                <w:sz w:val="17"/>
                <w:szCs w:val="17"/>
              </w:rPr>
              <w:t xml:space="preserve">• Physical Climate Risk Adaptation</w:t>
            </w:r>
          </w:p>
          <w:p>
            <w:pPr>
              <w:spacing w:after="16" w:before="16"/>
            </w:pPr>
            <w:r>
              <w:rPr>
                <w:rFonts w:ascii="Arial" w:cs="Arial" w:eastAsia="Arial" w:hAnsi="Arial"/>
                <w:color w:val="1A3A2A"/>
                <w:sz w:val="17"/>
                <w:szCs w:val="17"/>
              </w:rPr>
              <w:t xml:space="preserve">• Transition Risk Management</w:t>
            </w:r>
          </w:p>
          <w:p>
            <w:pPr>
              <w:spacing w:after="16" w:before="16"/>
            </w:pPr>
            <w:r>
              <w:rPr>
                <w:rFonts w:ascii="Arial" w:cs="Arial" w:eastAsia="Arial" w:hAnsi="Arial"/>
                <w:color w:val="1A3A2A"/>
                <w:sz w:val="17"/>
                <w:szCs w:val="17"/>
              </w:rPr>
              <w:t xml:space="preserve">• Green Supply Chain</w:t>
            </w:r>
          </w:p>
          <w:p>
            <w:pPr>
              <w:spacing w:after="16" w:before="16"/>
            </w:pPr>
            <w:r>
              <w:rPr>
                <w:rFonts w:ascii="Arial" w:cs="Arial" w:eastAsia="Arial" w:hAnsi="Arial"/>
                <w:color w:val="1A3A2A"/>
                <w:sz w:val="17"/>
                <w:szCs w:val="17"/>
              </w:rPr>
              <w:t xml:space="preserve">• Product Life-Cycle Assessment</w:t>
            </w:r>
          </w:p>
          <w:p>
            <w:pPr>
              <w:spacing w:after="16" w:before="16"/>
            </w:pPr>
            <w:r>
              <w:rPr>
                <w:rFonts w:ascii="Arial" w:cs="Arial" w:eastAsia="Arial" w:hAnsi="Arial"/>
                <w:color w:val="1A3A2A"/>
                <w:sz w:val="17"/>
                <w:szCs w:val="17"/>
              </w:rPr>
              <w:t xml:space="preserve">• Greenwashing Prevention</w:t>
            </w:r>
          </w:p>
          <w:p>
            <w:pPr>
              <w:spacing w:after="16" w:before="16"/>
            </w:pPr>
            <w:r>
              <w:rPr>
                <w:rFonts w:ascii="Arial" w:cs="Arial" w:eastAsia="Arial" w:hAnsi="Arial"/>
                <w:color w:val="1A3A2A"/>
                <w:sz w:val="17"/>
                <w:szCs w:val="17"/>
              </w:rPr>
              <w:t xml:space="preserve">• Environmental Reporting (GRI/CDP)</w:t>
            </w:r>
          </w:p>
          <w:p>
            <w:pPr>
              <w:spacing w:after="16" w:before="16"/>
            </w:pPr>
            <w:r>
              <w:rPr>
                <w:rFonts w:ascii="Arial" w:cs="Arial" w:eastAsia="Arial" w:hAnsi="Arial"/>
                <w:color w:val="1A3A2A"/>
                <w:sz w:val="17"/>
                <w:szCs w:val="17"/>
              </w:rPr>
              <w:t xml:space="preserve">• Legal Compliance Record</w:t>
            </w:r>
          </w:p>
          <w:p>
            <w:pPr>
              <w:spacing w:after="16" w:before="16"/>
            </w:pPr>
            <w:r>
              <w:rPr>
                <w:rFonts w:ascii="Arial" w:cs="Arial" w:eastAsia="Arial" w:hAnsi="Arial"/>
                <w:color w:val="1A3A2A"/>
                <w:sz w:val="17"/>
                <w:szCs w:val="17"/>
              </w:rPr>
              <w:t xml:space="preserve">• Green Innovation &amp; Clean Tech</w:t>
            </w:r>
          </w:p>
          <w:p>
            <w:pPr>
              <w:spacing w:after="16" w:before="16"/>
            </w:pPr>
            <w:r>
              <w:rPr>
                <w:rFonts w:ascii="Arial" w:cs="Arial" w:eastAsia="Arial" w:hAnsi="Arial"/>
                <w:color w:val="1A3A2A"/>
                <w:sz w:val="17"/>
                <w:szCs w:val="17"/>
              </w:rPr>
              <w:t xml:space="preserve">• Nature-Based Solutions</w:t>
            </w:r>
          </w:p>
          <w:p>
            <w:pPr>
              <w:spacing w:after="16" w:before="16"/>
            </w:pPr>
            <w:r>
              <w:rPr>
                <w:rFonts w:ascii="Arial" w:cs="Arial" w:eastAsia="Arial" w:hAnsi="Arial"/>
                <w:color w:val="1A3A2A"/>
                <w:sz w:val="17"/>
                <w:szCs w:val="17"/>
              </w:rPr>
              <w:t xml:space="preserve">• Green Buildings (LEED/GRIHA)</w:t>
            </w:r>
          </w:p>
          <w:p>
            <w:pPr>
              <w:spacing w:after="16" w:before="16"/>
            </w:pPr>
            <w:r>
              <w:rPr>
                <w:rFonts w:ascii="Arial" w:cs="Arial" w:eastAsia="Arial" w:hAnsi="Arial"/>
                <w:color w:val="1A3A2A"/>
                <w:sz w:val="17"/>
                <w:szCs w:val="17"/>
              </w:rPr>
              <w:t xml:space="preserve">• Sustainable Transport &amp; Logistics</w:t>
            </w:r>
          </w:p>
          <w:p>
            <w:pPr>
              <w:spacing w:after="16" w:before="16"/>
            </w:pPr>
            <w:r>
              <w:rPr>
                <w:rFonts w:ascii="Arial" w:cs="Arial" w:eastAsia="Arial" w:hAnsi="Arial"/>
                <w:color w:val="1A3A2A"/>
                <w:sz w:val="17"/>
                <w:szCs w:val="17"/>
              </w:rPr>
              <w:t xml:space="preserve">• Sustainable Agriculture / Sourcing</w:t>
            </w:r>
          </w:p>
          <w:p>
            <w:pPr>
              <w:spacing w:after="16" w:before="16"/>
            </w:pPr>
            <w:r>
              <w:rPr>
                <w:rFonts w:ascii="Arial" w:cs="Arial" w:eastAsia="Arial" w:hAnsi="Arial"/>
                <w:color w:val="1A3A2A"/>
                <w:sz w:val="17"/>
                <w:szCs w:val="17"/>
              </w:rPr>
              <w:t xml:space="preserve">• Noise &amp; Light Pollution Control</w:t>
            </w:r>
          </w:p>
          <w:p>
            <w:pPr>
              <w:spacing w:after="16" w:before="16"/>
            </w:pPr>
            <w:r>
              <w:rPr>
                <w:rFonts w:ascii="Arial" w:cs="Arial" w:eastAsia="Arial" w:hAnsi="Arial"/>
                <w:color w:val="1A3A2A"/>
                <w:sz w:val="17"/>
                <w:szCs w:val="17"/>
              </w:rPr>
              <w:t xml:space="preserve">• Particulate Matter Reduction</w:t>
            </w:r>
          </w:p>
          <w:p>
            <w:pPr>
              <w:spacing w:after="16" w:before="16"/>
            </w:pPr>
            <w:r>
              <w:rPr>
                <w:rFonts w:ascii="Arial" w:cs="Arial" w:eastAsia="Arial" w:hAnsi="Arial"/>
                <w:color w:val="1A3A2A"/>
                <w:sz w:val="17"/>
                <w:szCs w:val="17"/>
              </w:rPr>
              <w:t xml:space="preserve">• Ocean Plastic Commitment</w:t>
            </w:r>
          </w:p>
          <w:p>
            <w:pPr>
              <w:spacing w:after="16" w:before="16"/>
            </w:pPr>
            <w:r>
              <w:rPr>
                <w:rFonts w:ascii="Arial" w:cs="Arial" w:eastAsia="Arial" w:hAnsi="Arial"/>
                <w:color w:val="1A3A2A"/>
                <w:sz w:val="17"/>
                <w:szCs w:val="17"/>
              </w:rPr>
              <w:t xml:space="preserve">• Environmental Employee Training</w:t>
            </w:r>
          </w:p>
          <w:p>
            <w:pPr>
              <w:spacing w:after="16" w:before="16"/>
            </w:pPr>
            <w:r>
              <w:rPr>
                <w:rFonts w:ascii="Arial" w:cs="Arial" w:eastAsia="Arial" w:hAnsi="Arial"/>
                <w:color w:val="1A3A2A"/>
                <w:sz w:val="17"/>
                <w:szCs w:val="17"/>
              </w:rPr>
              <w:t xml:space="preserve">• Smog Reduction Beyond Compliance</w:t>
            </w:r>
          </w:p>
          <w:p>
            <w:pPr>
              <w:spacing w:after="16" w:before="16"/>
            </w:pPr>
            <w:r>
              <w:rPr>
                <w:rFonts w:ascii="Arial" w:cs="Arial" w:eastAsia="Arial" w:hAnsi="Arial"/>
                <w:color w:val="1A3A2A"/>
                <w:sz w:val="17"/>
                <w:szCs w:val="17"/>
              </w:rPr>
              <w:t xml:space="preserve">• Carbon Sequestration Investments</w:t>
            </w:r>
          </w:p>
          <w:p>
            <w:pPr>
              <w:spacing w:after="16" w:before="16"/>
            </w:pPr>
            <w:r>
              <w:rPr>
                <w:rFonts w:ascii="Arial" w:cs="Arial" w:eastAsia="Arial" w:hAnsi="Arial"/>
                <w:color w:val="1A3A2A"/>
                <w:sz w:val="17"/>
                <w:szCs w:val="17"/>
              </w:rPr>
              <w:t xml:space="preserve">• TNFD Nature Disclosure</w:t>
            </w:r>
          </w:p>
        </w:tc>
        <w:tc>
          <w:tcPr>
            <w:tcW w:type="dxa" w:w="3009"/>
            <w:tcBorders>
              <w:top w:val="single" w:color="DBEAFE" w:sz="4"/>
              <w:left w:val="single" w:color="DBEAFE" w:sz="4"/>
              <w:bottom w:val="single" w:color="DBEAFE" w:sz="4"/>
              <w:right w:val="single" w:color="DBEAFE" w:sz="4"/>
            </w:tcBorders>
            <w:shd w:fill="DBEAFE" w:val="clear"/>
            <w:tcMar>
              <w:top w:type="dxa" w:w="100"/>
              <w:left w:type="dxa" w:w="130"/>
              <w:bottom w:type="dxa" w:w="100"/>
              <w:right w:type="dxa" w:w="130"/>
            </w:tcMar>
          </w:tcPr>
          <w:p>
            <w:pPr>
              <w:spacing w:after="16" w:before="16"/>
            </w:pPr>
            <w:r>
              <w:rPr>
                <w:rFonts w:ascii="Arial" w:cs="Arial" w:eastAsia="Arial" w:hAnsi="Arial"/>
                <w:color w:val="1E3A5F"/>
                <w:sz w:val="17"/>
                <w:szCs w:val="17"/>
              </w:rPr>
              <w:t xml:space="preserve">• LTIFR &amp; OHS Management (ISO 45001)</w:t>
            </w:r>
          </w:p>
          <w:p>
            <w:pPr>
              <w:spacing w:after="16" w:before="16"/>
            </w:pPr>
            <w:r>
              <w:rPr>
                <w:rFonts w:ascii="Arial" w:cs="Arial" w:eastAsia="Arial" w:hAnsi="Arial"/>
                <w:color w:val="1E3A5F"/>
                <w:sz w:val="17"/>
                <w:szCs w:val="17"/>
              </w:rPr>
              <w:t xml:space="preserve">• Fatality Rate &amp; Serious Incidents</w:t>
            </w:r>
          </w:p>
          <w:p>
            <w:pPr>
              <w:spacing w:after="16" w:before="16"/>
            </w:pPr>
            <w:r>
              <w:rPr>
                <w:rFonts w:ascii="Arial" w:cs="Arial" w:eastAsia="Arial" w:hAnsi="Arial"/>
                <w:color w:val="1E3A5F"/>
                <w:sz w:val="17"/>
                <w:szCs w:val="17"/>
              </w:rPr>
              <w:t xml:space="preserve">• Mental Health &amp; Well-being (WHO)</w:t>
            </w:r>
          </w:p>
          <w:p>
            <w:pPr>
              <w:spacing w:after="16" w:before="16"/>
            </w:pPr>
            <w:r>
              <w:rPr>
                <w:rFonts w:ascii="Arial" w:cs="Arial" w:eastAsia="Arial" w:hAnsi="Arial"/>
                <w:color w:val="1E3A5F"/>
                <w:sz w:val="17"/>
                <w:szCs w:val="17"/>
              </w:rPr>
              <w:t xml:space="preserve">• Ergonomics &amp; Physical Well-being</w:t>
            </w:r>
          </w:p>
          <w:p>
            <w:pPr>
              <w:spacing w:after="16" w:before="16"/>
            </w:pPr>
            <w:r>
              <w:rPr>
                <w:rFonts w:ascii="Arial" w:cs="Arial" w:eastAsia="Arial" w:hAnsi="Arial"/>
                <w:color w:val="1E3A5F"/>
                <w:sz w:val="17"/>
                <w:szCs w:val="17"/>
              </w:rPr>
              <w:t xml:space="preserve">• Gender Diversity (≥45% Women)</w:t>
            </w:r>
          </w:p>
          <w:p>
            <w:pPr>
              <w:spacing w:after="16" w:before="16"/>
            </w:pPr>
            <w:r>
              <w:rPr>
                <w:rFonts w:ascii="Arial" w:cs="Arial" w:eastAsia="Arial" w:hAnsi="Arial"/>
                <w:color w:val="1E3A5F"/>
                <w:sz w:val="17"/>
                <w:szCs w:val="17"/>
              </w:rPr>
              <w:t xml:space="preserve">• Women in Leadership &amp; Board</w:t>
            </w:r>
          </w:p>
          <w:p>
            <w:pPr>
              <w:spacing w:after="16" w:before="16"/>
            </w:pPr>
            <w:r>
              <w:rPr>
                <w:rFonts w:ascii="Arial" w:cs="Arial" w:eastAsia="Arial" w:hAnsi="Arial"/>
                <w:color w:val="1E3A5F"/>
                <w:sz w:val="17"/>
                <w:szCs w:val="17"/>
              </w:rPr>
              <w:t xml:space="preserve">• SC/ST/OBC/PwD Representation</w:t>
            </w:r>
          </w:p>
          <w:p>
            <w:pPr>
              <w:spacing w:after="16" w:before="16"/>
            </w:pPr>
            <w:r>
              <w:rPr>
                <w:rFonts w:ascii="Arial" w:cs="Arial" w:eastAsia="Arial" w:hAnsi="Arial"/>
                <w:color w:val="1E3A5F"/>
                <w:sz w:val="17"/>
                <w:szCs w:val="17"/>
              </w:rPr>
              <w:t xml:space="preserve">• LGBTQ+ Inclusion Policy</w:t>
            </w:r>
          </w:p>
          <w:p>
            <w:pPr>
              <w:spacing w:after="16" w:before="16"/>
            </w:pPr>
            <w:r>
              <w:rPr>
                <w:rFonts w:ascii="Arial" w:cs="Arial" w:eastAsia="Arial" w:hAnsi="Arial"/>
                <w:color w:val="1E3A5F"/>
                <w:sz w:val="17"/>
                <w:szCs w:val="17"/>
              </w:rPr>
              <w:t xml:space="preserve">• Age &amp; Generational Diversity</w:t>
            </w:r>
          </w:p>
          <w:p>
            <w:pPr>
              <w:spacing w:after="16" w:before="16"/>
            </w:pPr>
            <w:r>
              <w:rPr>
                <w:rFonts w:ascii="Arial" w:cs="Arial" w:eastAsia="Arial" w:hAnsi="Arial"/>
                <w:color w:val="1E3A5F"/>
                <w:sz w:val="17"/>
                <w:szCs w:val="17"/>
              </w:rPr>
              <w:t xml:space="preserve">• Racial &amp; Ethnic Diversity</w:t>
            </w:r>
          </w:p>
          <w:p>
            <w:pPr>
              <w:spacing w:after="16" w:before="16"/>
            </w:pPr>
            <w:r>
              <w:rPr>
                <w:rFonts w:ascii="Arial" w:cs="Arial" w:eastAsia="Arial" w:hAnsi="Arial"/>
                <w:color w:val="1E3A5F"/>
                <w:sz w:val="17"/>
                <w:szCs w:val="17"/>
              </w:rPr>
              <w:t xml:space="preserve">• Living Wage &amp; Fair Pay Policy</w:t>
            </w:r>
          </w:p>
          <w:p>
            <w:pPr>
              <w:spacing w:after="16" w:before="16"/>
            </w:pPr>
            <w:r>
              <w:rPr>
                <w:rFonts w:ascii="Arial" w:cs="Arial" w:eastAsia="Arial" w:hAnsi="Arial"/>
                <w:color w:val="1E3A5F"/>
                <w:sz w:val="17"/>
                <w:szCs w:val="17"/>
              </w:rPr>
              <w:t xml:space="preserve">• Gender Pay Gap Disclosure</w:t>
            </w:r>
          </w:p>
          <w:p>
            <w:pPr>
              <w:spacing w:after="16" w:before="16"/>
            </w:pPr>
            <w:r>
              <w:rPr>
                <w:rFonts w:ascii="Arial" w:cs="Arial" w:eastAsia="Arial" w:hAnsi="Arial"/>
                <w:color w:val="1E3A5F"/>
                <w:sz w:val="17"/>
                <w:szCs w:val="17"/>
              </w:rPr>
              <w:t xml:space="preserve">• Collective Bargaining Rights</w:t>
            </w:r>
          </w:p>
          <w:p>
            <w:pPr>
              <w:spacing w:after="16" w:before="16"/>
            </w:pPr>
            <w:r>
              <w:rPr>
                <w:rFonts w:ascii="Arial" w:cs="Arial" w:eastAsia="Arial" w:hAnsi="Arial"/>
                <w:color w:val="1E3A5F"/>
                <w:sz w:val="17"/>
                <w:szCs w:val="17"/>
              </w:rPr>
              <w:t xml:space="preserve">• Working Hours &amp; Rest Compliance</w:t>
            </w:r>
          </w:p>
          <w:p>
            <w:pPr>
              <w:spacing w:after="16" w:before="16"/>
            </w:pPr>
            <w:r>
              <w:rPr>
                <w:rFonts w:ascii="Arial" w:cs="Arial" w:eastAsia="Arial" w:hAnsi="Arial"/>
                <w:color w:val="1E3A5F"/>
                <w:sz w:val="17"/>
                <w:szCs w:val="17"/>
              </w:rPr>
              <w:t xml:space="preserve">• Human Rights Due Diligence</w:t>
            </w:r>
          </w:p>
          <w:p>
            <w:pPr>
              <w:spacing w:after="16" w:before="16"/>
            </w:pPr>
            <w:r>
              <w:rPr>
                <w:rFonts w:ascii="Arial" w:cs="Arial" w:eastAsia="Arial" w:hAnsi="Arial"/>
                <w:color w:val="1E3A5F"/>
                <w:sz w:val="17"/>
                <w:szCs w:val="17"/>
              </w:rPr>
              <w:t xml:space="preserve">• Child Labour — Zero Tolerance</w:t>
            </w:r>
          </w:p>
          <w:p>
            <w:pPr>
              <w:spacing w:after="16" w:before="16"/>
            </w:pPr>
            <w:r>
              <w:rPr>
                <w:rFonts w:ascii="Arial" w:cs="Arial" w:eastAsia="Arial" w:hAnsi="Arial"/>
                <w:color w:val="1E3A5F"/>
                <w:sz w:val="17"/>
                <w:szCs w:val="17"/>
              </w:rPr>
              <w:t xml:space="preserve">• Avg. Training Hours/Employee</w:t>
            </w:r>
          </w:p>
          <w:p>
            <w:pPr>
              <w:spacing w:after="16" w:before="16"/>
            </w:pPr>
            <w:r>
              <w:rPr>
                <w:rFonts w:ascii="Arial" w:cs="Arial" w:eastAsia="Arial" w:hAnsi="Arial"/>
                <w:color w:val="1E3A5F"/>
                <w:sz w:val="17"/>
                <w:szCs w:val="17"/>
              </w:rPr>
              <w:t xml:space="preserve">• Reskilling &amp; Future of Work</w:t>
            </w:r>
          </w:p>
          <w:p>
            <w:pPr>
              <w:spacing w:after="16" w:before="16"/>
            </w:pPr>
            <w:r>
              <w:rPr>
                <w:rFonts w:ascii="Arial" w:cs="Arial" w:eastAsia="Arial" w:hAnsi="Arial"/>
                <w:color w:val="1E3A5F"/>
                <w:sz w:val="17"/>
                <w:szCs w:val="17"/>
              </w:rPr>
              <w:t xml:space="preserve">• Employee Retention Rate</w:t>
            </w:r>
          </w:p>
          <w:p>
            <w:pPr>
              <w:spacing w:after="16" w:before="16"/>
            </w:pPr>
            <w:r>
              <w:rPr>
                <w:rFonts w:ascii="Arial" w:cs="Arial" w:eastAsia="Arial" w:hAnsi="Arial"/>
                <w:color w:val="1E3A5F"/>
                <w:sz w:val="17"/>
                <w:szCs w:val="17"/>
              </w:rPr>
              <w:t xml:space="preserve">• Employee Engagement Score</w:t>
            </w:r>
          </w:p>
          <w:p>
            <w:pPr>
              <w:spacing w:after="16" w:before="16"/>
            </w:pPr>
            <w:r>
              <w:rPr>
                <w:rFonts w:ascii="Arial" w:cs="Arial" w:eastAsia="Arial" w:hAnsi="Arial"/>
                <w:color w:val="1E3A5F"/>
                <w:sz w:val="17"/>
                <w:szCs w:val="17"/>
              </w:rPr>
              <w:t xml:space="preserve">• Internal Mobility &amp; Career</w:t>
            </w:r>
          </w:p>
          <w:p>
            <w:pPr>
              <w:spacing w:after="16" w:before="16"/>
            </w:pPr>
            <w:r>
              <w:rPr>
                <w:rFonts w:ascii="Arial" w:cs="Arial" w:eastAsia="Arial" w:hAnsi="Arial"/>
                <w:color w:val="1E3A5F"/>
                <w:sz w:val="17"/>
                <w:szCs w:val="17"/>
              </w:rPr>
              <w:t xml:space="preserve">• CSR ≥2% Net Profit (Co. Act)</w:t>
            </w:r>
          </w:p>
          <w:p>
            <w:pPr>
              <w:spacing w:after="16" w:before="16"/>
            </w:pPr>
            <w:r>
              <w:rPr>
                <w:rFonts w:ascii="Arial" w:cs="Arial" w:eastAsia="Arial" w:hAnsi="Arial"/>
                <w:color w:val="1E3A5F"/>
                <w:sz w:val="17"/>
                <w:szCs w:val="17"/>
              </w:rPr>
              <w:t xml:space="preserve">• Social Impact Assessment (SROI)</w:t>
            </w:r>
          </w:p>
          <w:p>
            <w:pPr>
              <w:spacing w:after="16" w:before="16"/>
            </w:pPr>
            <w:r>
              <w:rPr>
                <w:rFonts w:ascii="Arial" w:cs="Arial" w:eastAsia="Arial" w:hAnsi="Arial"/>
                <w:color w:val="1E3A5F"/>
                <w:sz w:val="17"/>
                <w:szCs w:val="17"/>
              </w:rPr>
              <w:t xml:space="preserve">• Local Community Employment</w:t>
            </w:r>
          </w:p>
          <w:p>
            <w:pPr>
              <w:spacing w:after="16" w:before="16"/>
            </w:pPr>
            <w:r>
              <w:rPr>
                <w:rFonts w:ascii="Arial" w:cs="Arial" w:eastAsia="Arial" w:hAnsi="Arial"/>
                <w:color w:val="1E3A5F"/>
                <w:sz w:val="17"/>
                <w:szCs w:val="17"/>
              </w:rPr>
              <w:t xml:space="preserve">• Education &amp; Scholarship Support</w:t>
            </w:r>
          </w:p>
          <w:p>
            <w:pPr>
              <w:spacing w:after="16" w:before="16"/>
            </w:pPr>
            <w:r>
              <w:rPr>
                <w:rFonts w:ascii="Arial" w:cs="Arial" w:eastAsia="Arial" w:hAnsi="Arial"/>
                <w:color w:val="1E3A5F"/>
                <w:sz w:val="17"/>
                <w:szCs w:val="17"/>
              </w:rPr>
              <w:t xml:space="preserve">• Community Health &amp; Nutrition</w:t>
            </w:r>
          </w:p>
          <w:p>
            <w:pPr>
              <w:spacing w:after="16" w:before="16"/>
            </w:pPr>
            <w:r>
              <w:rPr>
                <w:rFonts w:ascii="Arial" w:cs="Arial" w:eastAsia="Arial" w:hAnsi="Arial"/>
                <w:color w:val="1E3A5F"/>
                <w:sz w:val="17"/>
                <w:szCs w:val="17"/>
              </w:rPr>
              <w:t xml:space="preserve">• Product Safety &amp; Quality (ISO 9001)</w:t>
            </w:r>
          </w:p>
          <w:p>
            <w:pPr>
              <w:spacing w:after="16" w:before="16"/>
            </w:pPr>
            <w:r>
              <w:rPr>
                <w:rFonts w:ascii="Arial" w:cs="Arial" w:eastAsia="Arial" w:hAnsi="Arial"/>
                <w:color w:val="1E3A5F"/>
                <w:sz w:val="17"/>
                <w:szCs w:val="17"/>
              </w:rPr>
              <w:t xml:space="preserve">• Data Privacy (DPDP Act / GDPR)</w:t>
            </w:r>
          </w:p>
          <w:p>
            <w:pPr>
              <w:spacing w:after="16" w:before="16"/>
            </w:pPr>
            <w:r>
              <w:rPr>
                <w:rFonts w:ascii="Arial" w:cs="Arial" w:eastAsia="Arial" w:hAnsi="Arial"/>
                <w:color w:val="1E3A5F"/>
                <w:sz w:val="17"/>
                <w:szCs w:val="17"/>
              </w:rPr>
              <w:t xml:space="preserve">• Accessibility for PwD</w:t>
            </w:r>
          </w:p>
          <w:p>
            <w:pPr>
              <w:spacing w:after="16" w:before="16"/>
            </w:pPr>
            <w:r>
              <w:rPr>
                <w:rFonts w:ascii="Arial" w:cs="Arial" w:eastAsia="Arial" w:hAnsi="Arial"/>
                <w:color w:val="1E3A5F"/>
                <w:sz w:val="17"/>
                <w:szCs w:val="17"/>
              </w:rPr>
              <w:t xml:space="preserve">• Affordability &amp; Financial Inclusion</w:t>
            </w:r>
          </w:p>
          <w:p>
            <w:pPr>
              <w:spacing w:after="16" w:before="16"/>
            </w:pPr>
            <w:r>
              <w:rPr>
                <w:rFonts w:ascii="Arial" w:cs="Arial" w:eastAsia="Arial" w:hAnsi="Arial"/>
                <w:color w:val="1E3A5F"/>
                <w:sz w:val="17"/>
                <w:szCs w:val="17"/>
              </w:rPr>
              <w:t xml:space="preserve">• Supplier Social Audit (100% audited)</w:t>
            </w:r>
          </w:p>
          <w:p>
            <w:pPr>
              <w:spacing w:after="16" w:before="16"/>
            </w:pPr>
            <w:r>
              <w:rPr>
                <w:rFonts w:ascii="Arial" w:cs="Arial" w:eastAsia="Arial" w:hAnsi="Arial"/>
                <w:color w:val="1E3A5F"/>
                <w:sz w:val="17"/>
                <w:szCs w:val="17"/>
              </w:rPr>
              <w:t xml:space="preserve">• MBE Procurement (≥20% spend)</w:t>
            </w:r>
          </w:p>
          <w:p>
            <w:pPr>
              <w:spacing w:after="16" w:before="16"/>
            </w:pPr>
            <w:r>
              <w:rPr>
                <w:rFonts w:ascii="Arial" w:cs="Arial" w:eastAsia="Arial" w:hAnsi="Arial"/>
                <w:color w:val="1E3A5F"/>
                <w:sz w:val="17"/>
                <w:szCs w:val="17"/>
              </w:rPr>
              <w:t xml:space="preserve">• Grievance Mechanism</w:t>
            </w:r>
          </w:p>
          <w:p>
            <w:pPr>
              <w:spacing w:after="16" w:before="16"/>
            </w:pPr>
            <w:r>
              <w:rPr>
                <w:rFonts w:ascii="Arial" w:cs="Arial" w:eastAsia="Arial" w:hAnsi="Arial"/>
                <w:color w:val="1E3A5F"/>
                <w:sz w:val="17"/>
                <w:szCs w:val="17"/>
              </w:rPr>
              <w:t xml:space="preserve">• Industrial Relations</w:t>
            </w:r>
          </w:p>
          <w:p>
            <w:pPr>
              <w:spacing w:after="16" w:before="16"/>
            </w:pPr>
            <w:r>
              <w:rPr>
                <w:rFonts w:ascii="Arial" w:cs="Arial" w:eastAsia="Arial" w:hAnsi="Arial"/>
                <w:color w:val="1E3A5F"/>
                <w:sz w:val="17"/>
                <w:szCs w:val="17"/>
              </w:rPr>
              <w:t xml:space="preserve">• Crisis Resilience</w:t>
            </w:r>
          </w:p>
          <w:p>
            <w:pPr>
              <w:spacing w:after="16" w:before="16"/>
            </w:pPr>
            <w:r>
              <w:rPr>
                <w:rFonts w:ascii="Arial" w:cs="Arial" w:eastAsia="Arial" w:hAnsi="Arial"/>
                <w:color w:val="1E3A5F"/>
                <w:sz w:val="17"/>
                <w:szCs w:val="17"/>
              </w:rPr>
              <w:t xml:space="preserve">• HIV/AIDS &amp; Public Health Policy</w:t>
            </w:r>
          </w:p>
          <w:p>
            <w:pPr>
              <w:spacing w:after="16" w:before="16"/>
            </w:pPr>
            <w:r>
              <w:rPr>
                <w:rFonts w:ascii="Arial" w:cs="Arial" w:eastAsia="Arial" w:hAnsi="Arial"/>
                <w:color w:val="1E3A5F"/>
                <w:sz w:val="17"/>
                <w:szCs w:val="17"/>
              </w:rPr>
              <w:t xml:space="preserve">• Prevention of Violence &amp; POSH</w:t>
            </w:r>
          </w:p>
          <w:p>
            <w:pPr>
              <w:spacing w:after="16" w:before="16"/>
            </w:pPr>
            <w:r>
              <w:rPr>
                <w:rFonts w:ascii="Arial" w:cs="Arial" w:eastAsia="Arial" w:hAnsi="Arial"/>
                <w:color w:val="1E3A5F"/>
                <w:sz w:val="17"/>
                <w:szCs w:val="17"/>
              </w:rPr>
              <w:t xml:space="preserve">• Employee Volunteering</w:t>
            </w:r>
          </w:p>
          <w:p>
            <w:pPr>
              <w:spacing w:after="16" w:before="16"/>
            </w:pPr>
            <w:r>
              <w:rPr>
                <w:rFonts w:ascii="Arial" w:cs="Arial" w:eastAsia="Arial" w:hAnsi="Arial"/>
                <w:color w:val="1E3A5F"/>
                <w:sz w:val="17"/>
                <w:szCs w:val="17"/>
              </w:rPr>
              <w:t xml:space="preserve">• Migrant Worker Rights</w:t>
            </w:r>
          </w:p>
          <w:p>
            <w:pPr>
              <w:spacing w:after="16" w:before="16"/>
            </w:pPr>
            <w:r>
              <w:rPr>
                <w:rFonts w:ascii="Arial" w:cs="Arial" w:eastAsia="Arial" w:hAnsi="Arial"/>
                <w:color w:val="1E3A5F"/>
                <w:sz w:val="17"/>
                <w:szCs w:val="17"/>
              </w:rPr>
              <w:t xml:space="preserve">• Consumer Grievance Redressal</w:t>
            </w:r>
          </w:p>
        </w:tc>
        <w:tc>
          <w:tcPr>
            <w:tcW w:type="dxa" w:w="3009"/>
            <w:tcBorders>
              <w:top w:val="single" w:color="EDE9FE" w:sz="4"/>
              <w:left w:val="single" w:color="EDE9FE" w:sz="4"/>
              <w:bottom w:val="single" w:color="EDE9FE" w:sz="4"/>
              <w:right w:val="single" w:color="EDE9FE" w:sz="4"/>
            </w:tcBorders>
            <w:shd w:fill="EDE9FE" w:val="clear"/>
            <w:tcMar>
              <w:top w:type="dxa" w:w="100"/>
              <w:left w:type="dxa" w:w="130"/>
              <w:bottom w:type="dxa" w:w="100"/>
              <w:right w:type="dxa" w:w="130"/>
            </w:tcMar>
          </w:tcPr>
          <w:p>
            <w:pPr>
              <w:spacing w:after="16" w:before="16"/>
            </w:pPr>
            <w:r>
              <w:rPr>
                <w:rFonts w:ascii="Arial" w:cs="Arial" w:eastAsia="Arial" w:hAnsi="Arial"/>
                <w:color w:val="4C1D95"/>
                <w:sz w:val="17"/>
                <w:szCs w:val="17"/>
              </w:rPr>
              <w:t xml:space="preserve">• Board Independence (≥60%)</w:t>
            </w:r>
          </w:p>
          <w:p>
            <w:pPr>
              <w:spacing w:after="16" w:before="16"/>
            </w:pPr>
            <w:r>
              <w:rPr>
                <w:rFonts w:ascii="Arial" w:cs="Arial" w:eastAsia="Arial" w:hAnsi="Arial"/>
                <w:color w:val="4C1D95"/>
                <w:sz w:val="17"/>
                <w:szCs w:val="17"/>
              </w:rPr>
              <w:t xml:space="preserve">• Board Skills Matrix &amp; Competency</w:t>
            </w:r>
          </w:p>
          <w:p>
            <w:pPr>
              <w:spacing w:after="16" w:before="16"/>
            </w:pPr>
            <w:r>
              <w:rPr>
                <w:rFonts w:ascii="Arial" w:cs="Arial" w:eastAsia="Arial" w:hAnsi="Arial"/>
                <w:color w:val="4C1D95"/>
                <w:sz w:val="17"/>
                <w:szCs w:val="17"/>
              </w:rPr>
              <w:t xml:space="preserve">• Board Gender Diversity (≥40%)</w:t>
            </w:r>
          </w:p>
          <w:p>
            <w:pPr>
              <w:spacing w:after="16" w:before="16"/>
            </w:pPr>
            <w:r>
              <w:rPr>
                <w:rFonts w:ascii="Arial" w:cs="Arial" w:eastAsia="Arial" w:hAnsi="Arial"/>
                <w:color w:val="4C1D95"/>
                <w:sz w:val="17"/>
                <w:szCs w:val="17"/>
              </w:rPr>
              <w:t xml:space="preserve">• Board Tenure &amp; Succession Planning</w:t>
            </w:r>
          </w:p>
          <w:p>
            <w:pPr>
              <w:spacing w:after="16" w:before="16"/>
            </w:pPr>
            <w:r>
              <w:rPr>
                <w:rFonts w:ascii="Arial" w:cs="Arial" w:eastAsia="Arial" w:hAnsi="Arial"/>
                <w:color w:val="4C1D95"/>
                <w:sz w:val="17"/>
                <w:szCs w:val="17"/>
              </w:rPr>
              <w:t xml:space="preserve">• Board Attendance (≥95%)</w:t>
            </w:r>
          </w:p>
          <w:p>
            <w:pPr>
              <w:spacing w:after="16" w:before="16"/>
            </w:pPr>
            <w:r>
              <w:rPr>
                <w:rFonts w:ascii="Arial" w:cs="Arial" w:eastAsia="Arial" w:hAnsi="Arial"/>
                <w:color w:val="4C1D95"/>
                <w:sz w:val="17"/>
                <w:szCs w:val="17"/>
              </w:rPr>
              <w:t xml:space="preserve">• Director Remuneration Transparency</w:t>
            </w:r>
          </w:p>
          <w:p>
            <w:pPr>
              <w:spacing w:after="16" w:before="16"/>
            </w:pPr>
            <w:r>
              <w:rPr>
                <w:rFonts w:ascii="Arial" w:cs="Arial" w:eastAsia="Arial" w:hAnsi="Arial"/>
                <w:color w:val="4C1D95"/>
                <w:sz w:val="17"/>
                <w:szCs w:val="17"/>
              </w:rPr>
              <w:t xml:space="preserve">• Financial Reporting Quality (Integrated)</w:t>
            </w:r>
          </w:p>
          <w:p>
            <w:pPr>
              <w:spacing w:after="16" w:before="16"/>
            </w:pPr>
            <w:r>
              <w:rPr>
                <w:rFonts w:ascii="Arial" w:cs="Arial" w:eastAsia="Arial" w:hAnsi="Arial"/>
                <w:color w:val="4C1D95"/>
                <w:sz w:val="17"/>
                <w:szCs w:val="17"/>
              </w:rPr>
              <w:t xml:space="preserve">• Sustainability / Integrated Report</w:t>
            </w:r>
          </w:p>
          <w:p>
            <w:pPr>
              <w:spacing w:after="16" w:before="16"/>
            </w:pPr>
            <w:r>
              <w:rPr>
                <w:rFonts w:ascii="Arial" w:cs="Arial" w:eastAsia="Arial" w:hAnsi="Arial"/>
                <w:color w:val="4C1D95"/>
                <w:sz w:val="17"/>
                <w:szCs w:val="17"/>
              </w:rPr>
              <w:t xml:space="preserve">• BRSR Filing Quality (SEBI Mandate)</w:t>
            </w:r>
          </w:p>
          <w:p>
            <w:pPr>
              <w:spacing w:after="16" w:before="16"/>
            </w:pPr>
            <w:r>
              <w:rPr>
                <w:rFonts w:ascii="Arial" w:cs="Arial" w:eastAsia="Arial" w:hAnsi="Arial"/>
                <w:color w:val="4C1D95"/>
                <w:sz w:val="17"/>
                <w:szCs w:val="17"/>
              </w:rPr>
              <w:t xml:space="preserve">• Accounting Quality &amp; Earnings Reliability</w:t>
            </w:r>
          </w:p>
          <w:p>
            <w:pPr>
              <w:spacing w:after="16" w:before="16"/>
            </w:pPr>
            <w:r>
              <w:rPr>
                <w:rFonts w:ascii="Arial" w:cs="Arial" w:eastAsia="Arial" w:hAnsi="Arial"/>
                <w:color w:val="4C1D95"/>
                <w:sz w:val="17"/>
                <w:szCs w:val="17"/>
              </w:rPr>
              <w:t xml:space="preserve">• Regulatory Compliance Record</w:t>
            </w:r>
          </w:p>
          <w:p>
            <w:pPr>
              <w:spacing w:after="16" w:before="16"/>
            </w:pPr>
            <w:r>
              <w:rPr>
                <w:rFonts w:ascii="Arial" w:cs="Arial" w:eastAsia="Arial" w:hAnsi="Arial"/>
                <w:color w:val="4C1D95"/>
                <w:sz w:val="17"/>
                <w:szCs w:val="17"/>
              </w:rPr>
              <w:t xml:space="preserve">• Anti-Corruption (ISO 37001)</w:t>
            </w:r>
          </w:p>
          <w:p>
            <w:pPr>
              <w:spacing w:after="16" w:before="16"/>
            </w:pPr>
            <w:r>
              <w:rPr>
                <w:rFonts w:ascii="Arial" w:cs="Arial" w:eastAsia="Arial" w:hAnsi="Arial"/>
                <w:color w:val="4C1D95"/>
                <w:sz w:val="17"/>
                <w:szCs w:val="17"/>
              </w:rPr>
              <w:t xml:space="preserve">• Code of Conduct Enforcement</w:t>
            </w:r>
          </w:p>
          <w:p>
            <w:pPr>
              <w:spacing w:after="16" w:before="16"/>
            </w:pPr>
            <w:r>
              <w:rPr>
                <w:rFonts w:ascii="Arial" w:cs="Arial" w:eastAsia="Arial" w:hAnsi="Arial"/>
                <w:color w:val="4C1D95"/>
                <w:sz w:val="17"/>
                <w:szCs w:val="17"/>
              </w:rPr>
              <w:t xml:space="preserve">• Whistleblower / Vigil Mechanism</w:t>
            </w:r>
          </w:p>
          <w:p>
            <w:pPr>
              <w:spacing w:after="16" w:before="16"/>
            </w:pPr>
            <w:r>
              <w:rPr>
                <w:rFonts w:ascii="Arial" w:cs="Arial" w:eastAsia="Arial" w:hAnsi="Arial"/>
                <w:color w:val="4C1D95"/>
                <w:sz w:val="17"/>
                <w:szCs w:val="17"/>
              </w:rPr>
              <w:t xml:space="preserve">• Responsible Tax (GRI 207 / CbCR)</w:t>
            </w:r>
          </w:p>
          <w:p>
            <w:pPr>
              <w:spacing w:after="16" w:before="16"/>
            </w:pPr>
            <w:r>
              <w:rPr>
                <w:rFonts w:ascii="Arial" w:cs="Arial" w:eastAsia="Arial" w:hAnsi="Arial"/>
                <w:color w:val="4C1D95"/>
                <w:sz w:val="17"/>
                <w:szCs w:val="17"/>
              </w:rPr>
              <w:t xml:space="preserve">• Related Party Transactions</w:t>
            </w:r>
          </w:p>
          <w:p>
            <w:pPr>
              <w:spacing w:after="16" w:before="16"/>
            </w:pPr>
            <w:r>
              <w:rPr>
                <w:rFonts w:ascii="Arial" w:cs="Arial" w:eastAsia="Arial" w:hAnsi="Arial"/>
                <w:color w:val="4C1D95"/>
                <w:sz w:val="17"/>
                <w:szCs w:val="17"/>
              </w:rPr>
              <w:t xml:space="preserve">• Audit Committee Independence</w:t>
            </w:r>
          </w:p>
          <w:p>
            <w:pPr>
              <w:spacing w:after="16" w:before="16"/>
            </w:pPr>
            <w:r>
              <w:rPr>
                <w:rFonts w:ascii="Arial" w:cs="Arial" w:eastAsia="Arial" w:hAnsi="Arial"/>
                <w:color w:val="4C1D95"/>
                <w:sz w:val="17"/>
                <w:szCs w:val="17"/>
              </w:rPr>
              <w:t xml:space="preserve">• External Auditor Rotation</w:t>
            </w:r>
          </w:p>
          <w:p>
            <w:pPr>
              <w:spacing w:after="16" w:before="16"/>
            </w:pPr>
            <w:r>
              <w:rPr>
                <w:rFonts w:ascii="Arial" w:cs="Arial" w:eastAsia="Arial" w:hAnsi="Arial"/>
                <w:color w:val="4C1D95"/>
                <w:sz w:val="17"/>
                <w:szCs w:val="17"/>
              </w:rPr>
              <w:t xml:space="preserve">• ICFR Effectiveness</w:t>
            </w:r>
          </w:p>
          <w:p>
            <w:pPr>
              <w:spacing w:after="16" w:before="16"/>
            </w:pPr>
            <w:r>
              <w:rPr>
                <w:rFonts w:ascii="Arial" w:cs="Arial" w:eastAsia="Arial" w:hAnsi="Arial"/>
                <w:color w:val="4C1D95"/>
                <w:sz w:val="17"/>
                <w:szCs w:val="17"/>
              </w:rPr>
              <w:t xml:space="preserve">• Internal Audit Quality (IIA)</w:t>
            </w:r>
          </w:p>
          <w:p>
            <w:pPr>
              <w:spacing w:after="16" w:before="16"/>
            </w:pPr>
            <w:r>
              <w:rPr>
                <w:rFonts w:ascii="Arial" w:cs="Arial" w:eastAsia="Arial" w:hAnsi="Arial"/>
                <w:color w:val="4C1D95"/>
                <w:sz w:val="17"/>
                <w:szCs w:val="17"/>
              </w:rPr>
              <w:t xml:space="preserve">• Minority Shareholder Rights</w:t>
            </w:r>
          </w:p>
          <w:p>
            <w:pPr>
              <w:spacing w:after="16" w:before="16"/>
            </w:pPr>
            <w:r>
              <w:rPr>
                <w:rFonts w:ascii="Arial" w:cs="Arial" w:eastAsia="Arial" w:hAnsi="Arial"/>
                <w:color w:val="4C1D95"/>
                <w:sz w:val="17"/>
                <w:szCs w:val="17"/>
              </w:rPr>
              <w:t xml:space="preserve">• AGM Transparency &amp; E-Voting</w:t>
            </w:r>
          </w:p>
          <w:p>
            <w:pPr>
              <w:spacing w:after="16" w:before="16"/>
            </w:pPr>
            <w:r>
              <w:rPr>
                <w:rFonts w:ascii="Arial" w:cs="Arial" w:eastAsia="Arial" w:hAnsi="Arial"/>
                <w:color w:val="4C1D95"/>
                <w:sz w:val="17"/>
                <w:szCs w:val="17"/>
              </w:rPr>
              <w:t xml:space="preserve">• Consistent Dividend Policy</w:t>
            </w:r>
          </w:p>
          <w:p>
            <w:pPr>
              <w:spacing w:after="16" w:before="16"/>
            </w:pPr>
            <w:r>
              <w:rPr>
                <w:rFonts w:ascii="Arial" w:cs="Arial" w:eastAsia="Arial" w:hAnsi="Arial"/>
                <w:color w:val="4C1D95"/>
                <w:sz w:val="17"/>
                <w:szCs w:val="17"/>
              </w:rPr>
              <w:t xml:space="preserve">• Proxy Advisor Ratings</w:t>
            </w:r>
          </w:p>
          <w:p>
            <w:pPr>
              <w:spacing w:after="16" w:before="16"/>
            </w:pPr>
            <w:r>
              <w:rPr>
                <w:rFonts w:ascii="Arial" w:cs="Arial" w:eastAsia="Arial" w:hAnsi="Arial"/>
                <w:color w:val="4C1D95"/>
                <w:sz w:val="17"/>
                <w:szCs w:val="17"/>
              </w:rPr>
              <w:t xml:space="preserve">• Enterprise Risk Management (COSO)</w:t>
            </w:r>
          </w:p>
          <w:p>
            <w:pPr>
              <w:spacing w:after="16" w:before="16"/>
            </w:pPr>
            <w:r>
              <w:rPr>
                <w:rFonts w:ascii="Arial" w:cs="Arial" w:eastAsia="Arial" w:hAnsi="Arial"/>
                <w:color w:val="4C1D95"/>
                <w:sz w:val="17"/>
                <w:szCs w:val="17"/>
              </w:rPr>
              <w:t xml:space="preserve">• Cybersecurity Governance (ISO 27001)</w:t>
            </w:r>
          </w:p>
          <w:p>
            <w:pPr>
              <w:spacing w:after="16" w:before="16"/>
            </w:pPr>
            <w:r>
              <w:rPr>
                <w:rFonts w:ascii="Arial" w:cs="Arial" w:eastAsia="Arial" w:hAnsi="Arial"/>
                <w:color w:val="4C1D95"/>
                <w:sz w:val="17"/>
                <w:szCs w:val="17"/>
              </w:rPr>
              <w:t xml:space="preserve">• Business Continuity (ISO 22301)</w:t>
            </w:r>
          </w:p>
          <w:p>
            <w:pPr>
              <w:spacing w:after="16" w:before="16"/>
            </w:pPr>
            <w:r>
              <w:rPr>
                <w:rFonts w:ascii="Arial" w:cs="Arial" w:eastAsia="Arial" w:hAnsi="Arial"/>
                <w:color w:val="4C1D95"/>
                <w:sz w:val="17"/>
                <w:szCs w:val="17"/>
              </w:rPr>
              <w:t xml:space="preserve">• Board ESG Committee</w:t>
            </w:r>
          </w:p>
          <w:p>
            <w:pPr>
              <w:spacing w:after="16" w:before="16"/>
            </w:pPr>
            <w:r>
              <w:rPr>
                <w:rFonts w:ascii="Arial" w:cs="Arial" w:eastAsia="Arial" w:hAnsi="Arial"/>
                <w:color w:val="4C1D95"/>
                <w:sz w:val="17"/>
                <w:szCs w:val="17"/>
              </w:rPr>
              <w:t xml:space="preserve">• Exec Remuneration Linked to ESG</w:t>
            </w:r>
          </w:p>
          <w:p>
            <w:pPr>
              <w:spacing w:after="16" w:before="16"/>
            </w:pPr>
            <w:r>
              <w:rPr>
                <w:rFonts w:ascii="Arial" w:cs="Arial" w:eastAsia="Arial" w:hAnsi="Arial"/>
                <w:color w:val="4C1D95"/>
                <w:sz w:val="17"/>
                <w:szCs w:val="17"/>
              </w:rPr>
              <w:t xml:space="preserve">• CEO Pay Ratio Disclosure</w:t>
            </w:r>
          </w:p>
          <w:p>
            <w:pPr>
              <w:spacing w:after="16" w:before="16"/>
            </w:pPr>
            <w:r>
              <w:rPr>
                <w:rFonts w:ascii="Arial" w:cs="Arial" w:eastAsia="Arial" w:hAnsi="Arial"/>
                <w:color w:val="4C1D95"/>
                <w:sz w:val="17"/>
                <w:szCs w:val="17"/>
              </w:rPr>
              <w:t xml:space="preserve">• Capital Allocation Governance</w:t>
            </w:r>
          </w:p>
          <w:p>
            <w:pPr>
              <w:spacing w:after="16" w:before="16"/>
            </w:pPr>
            <w:r>
              <w:rPr>
                <w:rFonts w:ascii="Arial" w:cs="Arial" w:eastAsia="Arial" w:hAnsi="Arial"/>
                <w:color w:val="4C1D95"/>
                <w:sz w:val="17"/>
                <w:szCs w:val="17"/>
              </w:rPr>
              <w:t xml:space="preserve">• Stakeholder Governance</w:t>
            </w:r>
          </w:p>
          <w:p>
            <w:pPr>
              <w:spacing w:after="16" w:before="16"/>
            </w:pPr>
            <w:r>
              <w:rPr>
                <w:rFonts w:ascii="Arial" w:cs="Arial" w:eastAsia="Arial" w:hAnsi="Arial"/>
                <w:color w:val="4C1D95"/>
                <w:sz w:val="17"/>
                <w:szCs w:val="17"/>
              </w:rPr>
              <w:t xml:space="preserve">• Political Spending Transparency</w:t>
            </w:r>
          </w:p>
          <w:p>
            <w:pPr>
              <w:spacing w:after="16" w:before="16"/>
            </w:pPr>
            <w:r>
              <w:rPr>
                <w:rFonts w:ascii="Arial" w:cs="Arial" w:eastAsia="Arial" w:hAnsi="Arial"/>
                <w:color w:val="4C1D95"/>
                <w:sz w:val="17"/>
                <w:szCs w:val="17"/>
              </w:rPr>
              <w:t xml:space="preserve">• AML &amp; Financial Crime Compliance</w:t>
            </w:r>
          </w:p>
          <w:p>
            <w:pPr>
              <w:spacing w:after="16" w:before="16"/>
            </w:pPr>
            <w:r>
              <w:rPr>
                <w:rFonts w:ascii="Arial" w:cs="Arial" w:eastAsia="Arial" w:hAnsi="Arial"/>
                <w:color w:val="4C1D95"/>
                <w:sz w:val="17"/>
                <w:szCs w:val="17"/>
              </w:rPr>
              <w:t xml:space="preserve">• Digital Governance &amp; AI Ethics</w:t>
            </w:r>
          </w:p>
          <w:p>
            <w:pPr>
              <w:spacing w:after="16" w:before="16"/>
            </w:pPr>
            <w:r>
              <w:rPr>
                <w:rFonts w:ascii="Arial" w:cs="Arial" w:eastAsia="Arial" w:hAnsi="Arial"/>
                <w:color w:val="4C1D95"/>
                <w:sz w:val="17"/>
                <w:szCs w:val="17"/>
              </w:rPr>
              <w:t xml:space="preserve">• Data Governance (DAMA DMBOK)</w:t>
            </w:r>
          </w:p>
          <w:p>
            <w:pPr>
              <w:spacing w:after="16" w:before="16"/>
            </w:pPr>
            <w:r>
              <w:rPr>
                <w:rFonts w:ascii="Arial" w:cs="Arial" w:eastAsia="Arial" w:hAnsi="Arial"/>
                <w:color w:val="4C1D95"/>
                <w:sz w:val="17"/>
                <w:szCs w:val="17"/>
              </w:rPr>
              <w:t xml:space="preserve">• ESG Data Assurance (Big-4)</w:t>
            </w:r>
          </w:p>
          <w:p>
            <w:pPr>
              <w:spacing w:after="16" w:before="16"/>
            </w:pPr>
            <w:r>
              <w:rPr>
                <w:rFonts w:ascii="Arial" w:cs="Arial" w:eastAsia="Arial" w:hAnsi="Arial"/>
                <w:color w:val="4C1D95"/>
                <w:sz w:val="17"/>
                <w:szCs w:val="17"/>
              </w:rPr>
              <w:t xml:space="preserve">• Sanctions Compliance</w:t>
            </w:r>
          </w:p>
          <w:p>
            <w:pPr>
              <w:spacing w:after="16" w:before="16"/>
            </w:pPr>
            <w:r>
              <w:rPr>
                <w:rFonts w:ascii="Arial" w:cs="Arial" w:eastAsia="Arial" w:hAnsi="Arial"/>
                <w:color w:val="4C1D95"/>
                <w:sz w:val="17"/>
                <w:szCs w:val="17"/>
              </w:rPr>
              <w:t xml:space="preserve">• Proxy Advisor Engagement</w:t>
            </w:r>
          </w:p>
          <w:p>
            <w:pPr>
              <w:spacing w:after="16" w:before="16"/>
            </w:pPr>
            <w:r>
              <w:rPr>
                <w:rFonts w:ascii="Arial" w:cs="Arial" w:eastAsia="Arial" w:hAnsi="Arial"/>
                <w:color w:val="4C1D95"/>
                <w:sz w:val="17"/>
                <w:szCs w:val="17"/>
              </w:rPr>
              <w:t xml:space="preserve">• Shareholder Say-on-Pay</w:t>
            </w:r>
          </w:p>
        </w:tc>
      </w:tr>
    </w:tbl>
    <w:p>
      <w:pPr>
        <w:spacing w:after="80" w:before="0"/>
      </w:pPr>
      <w:r>
        <w:rPr>
          <w:rFonts w:ascii="Arial" w:cs="Arial" w:eastAsia="Arial" w:hAnsi="Arial"/>
          <w:color w:val="0F0F0F"/>
          <w:sz w:val="22"/>
          <w:szCs w:val="22"/>
        </w:rPr>
        <w:t xml:space="preserve"/>
      </w:r>
    </w:p>
    <w:p>
      <w:pPr>
        <w:spacing w:after="80" w:before="180"/>
      </w:pPr>
      <w:r>
        <w:rPr>
          <w:rFonts w:ascii="Arial" w:cs="Arial" w:eastAsia="Arial" w:hAnsi="Arial"/>
          <w:b/>
          <w:bCs/>
          <w:color w:val="1A3A2A"/>
          <w:sz w:val="22"/>
          <w:szCs w:val="22"/>
        </w:rPr>
        <w:t xml:space="preserve">Market Value Impact Weight Architecture</w:t>
      </w:r>
    </w:p>
    <w:p>
      <w:pPr>
        <w:spacing w:after="110" w:before="60" w:line="340"/>
        <w:jc w:val="both"/>
      </w:pPr>
      <w:r>
        <w:rPr>
          <w:rFonts w:ascii="Arial" w:cs="Arial" w:eastAsia="Arial" w:hAnsi="Arial"/>
          <w:color w:val="0F0F0F"/>
          <w:sz w:val="22"/>
          <w:szCs w:val="22"/>
        </w:rPr>
        <w:t xml:space="preserve">Each of the 120 parameters carries a market value impact weight (0.5%–3.5%) derived from meta-analytic ESG-financial performance research (Friede, Busch &amp; Bassen, 2015; Clark, Feiner &amp; Viehs, 2015) and MSCI ESG materiality methodology. The platform computes a Weighted ESG Score and maps it to an ESG Market Rating (ESG Premium / Advantage / Neutral / Discount), quantifying the estimated contribution of ESG performance to enterprise value — a capability directly relevant to SEBI's objective of improving investor-grade ESG disclosures.</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D.2  Module 2: BRSR Compliance Assessment — 54 Indicators, 9 NVG Principles</w:t>
      </w:r>
    </w:p>
    <w:p>
      <w:pPr>
        <w:spacing w:after="110" w:before="60" w:line="340"/>
        <w:jc w:val="both"/>
      </w:pPr>
      <w:r>
        <w:rPr>
          <w:rFonts w:ascii="Arial" w:cs="Arial" w:eastAsia="Arial" w:hAnsi="Arial"/>
          <w:color w:val="0F0F0F"/>
          <w:sz w:val="22"/>
          <w:szCs w:val="22"/>
        </w:rPr>
        <w:t xml:space="preserve">The BRSR module implements a complete, structured assessment of all 54 indicators required under SEBI's LODR (Amendment) 2021, organised across all nine NVG Principles. The platform generates a BRSR Compliance Score (0–100%) and a principle-wise heatmap identifying specific disclosure gaps.</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526"/>
        <w:gridCol w:w="2000"/>
        <w:gridCol w:w="3000"/>
      </w:tblGrid>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Prin.</w:t>
            </w:r>
          </w:p>
        </w:tc>
        <w:tc>
          <w:tcPr>
            <w:tcW w:type="dxa" w:w="20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NVG Principle</w:t>
            </w:r>
          </w:p>
        </w:tc>
        <w:tc>
          <w:tcPr>
            <w:tcW w:type="dxa" w:w="1526"/>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Indicators</w:t>
            </w:r>
          </w:p>
        </w:tc>
        <w:tc>
          <w:tcPr>
            <w:tcW w:type="dxa" w:w="20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COMPASS-ESG Assessment Scope</w:t>
            </w:r>
          </w:p>
        </w:tc>
        <w:tc>
          <w:tcPr>
            <w:tcW w:type="dxa" w:w="30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Key SEBI Regulatory Linkage</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P1</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Ethics, Transparency &amp; Accountability</w:t>
            </w:r>
          </w:p>
        </w:tc>
        <w:tc>
          <w:tcPr>
            <w:tcW w:type="dxa" w:w="15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F0F0F"/>
                <w:sz w:val="20"/>
                <w:szCs w:val="20"/>
              </w:rPr>
              <w:t xml:space="preserve">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Code of Conduct, Anti-bribery, Ethics Complaints, Penalty Disclosures</w:t>
            </w:r>
          </w:p>
        </w:tc>
        <w:tc>
          <w:tcPr>
            <w:tcW w:type="dxa" w:w="30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 Circular 2021: Anti-Corruption disclosures; LODR Reg. 4(2)(f)</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P2</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Sustainable Products &amp; Services</w:t>
            </w:r>
          </w:p>
        </w:tc>
        <w:tc>
          <w:tcPr>
            <w:tcW w:type="dxa" w:w="15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F0F0F"/>
                <w:sz w:val="20"/>
                <w:szCs w:val="20"/>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R&amp;D/CapEx on sustainability, EPR obligations, Recycling targets, RoHS compliance</w:t>
            </w:r>
          </w:p>
        </w:tc>
        <w:tc>
          <w:tcPr>
            <w:tcW w:type="dxa" w:w="30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 BRSR Section A: General Disclosures on sustainable products</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P3</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Employee Well-being</w:t>
            </w:r>
          </w:p>
        </w:tc>
        <w:tc>
          <w:tcPr>
            <w:tcW w:type="dxa" w:w="15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F0F0F"/>
                <w:sz w:val="20"/>
                <w:szCs w:val="20"/>
              </w:rPr>
              <w:t xml:space="preserve">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Health/accident insurance, PF coverage, training hours, POSH, PwD inclusion, parental leave, contractor parity</w:t>
            </w:r>
          </w:p>
        </w:tc>
        <w:tc>
          <w:tcPr>
            <w:tcW w:type="dxa" w:w="30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 BRSR Principle 3 Essential + Leadership indicators; Companies Act S.135</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P4</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Stakeholder Engagement</w:t>
            </w:r>
          </w:p>
        </w:tc>
        <w:tc>
          <w:tcPr>
            <w:tcW w:type="dxa" w:w="15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F0F0F"/>
                <w:sz w:val="20"/>
                <w:szCs w:val="20"/>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Stakeholder mapping, vulnerable groups identification, formal engagement process, feedback mechanism</w:t>
            </w:r>
          </w:p>
        </w:tc>
        <w:tc>
          <w:tcPr>
            <w:tcW w:type="dxa" w:w="30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 LODR Reg. 4: Stakeholder engagement obligations</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P5</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Human Rights</w:t>
            </w:r>
          </w:p>
        </w:tc>
        <w:tc>
          <w:tcPr>
            <w:tcW w:type="dxa" w:w="15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F0F0F"/>
                <w:sz w:val="20"/>
                <w:szCs w:val="20"/>
              </w:rPr>
              <w:t xml:space="preserve">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HRDD (own ops + supply chain), child labour zero-incidents, minimum wage verification, freedom of association</w:t>
            </w:r>
          </w:p>
        </w:tc>
        <w:tc>
          <w:tcPr>
            <w:tcW w:type="dxa" w:w="30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UNGP alignment; SEBI BRSR P5 Leadership indicators on supply chain HRDD</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P6</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Environment</w:t>
            </w:r>
          </w:p>
        </w:tc>
        <w:tc>
          <w:tcPr>
            <w:tcW w:type="dxa" w:w="15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F0F0F"/>
                <w:sz w:val="20"/>
                <w:szCs w:val="20"/>
              </w:rPr>
              <w:t xml:space="preserve">11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Scope 1/2/3 GHG, energy intensity, renewables %, water withdrawal, waste by type, recycling %, violations, biodiversity</w:t>
            </w:r>
          </w:p>
        </w:tc>
        <w:tc>
          <w:tcPr>
            <w:tcW w:type="dxa" w:w="30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 BRSR Core KPIs (top 150: assured); CDP alignment; Net Zero framework</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P7</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Policy &amp; Advocacy</w:t>
            </w:r>
          </w:p>
        </w:tc>
        <w:tc>
          <w:tcPr>
            <w:tcW w:type="dxa" w:w="15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F0F0F"/>
                <w:sz w:val="20"/>
                <w:szCs w:val="20"/>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Trade body memberships, public policy positions, anti-competitive conduct (CCI proceedings)</w:t>
            </w:r>
          </w:p>
        </w:tc>
        <w:tc>
          <w:tcPr>
            <w:tcW w:type="dxa" w:w="30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 LODR: Related disclosures; Competition Act 2002 compliance</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P8</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Inclusive Growth</w:t>
            </w:r>
          </w:p>
        </w:tc>
        <w:tc>
          <w:tcPr>
            <w:tcW w:type="dxa" w:w="15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F0F0F"/>
                <w:sz w:val="20"/>
                <w:szCs w:val="20"/>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CSR ≥2% Net Profit (S.135 CA 2013), Social Impact Assessment, MSME procurement, local employment, IP sharing</w:t>
            </w:r>
          </w:p>
        </w:tc>
        <w:tc>
          <w:tcPr>
            <w:tcW w:type="dxa" w:w="30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Companies Act 2013 S.135; SEBI BRSR P8 — CSR effectiveness</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P9</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Consumer Responsibility</w:t>
            </w:r>
          </w:p>
        </w:tc>
        <w:tc>
          <w:tcPr>
            <w:tcW w:type="dxa" w:w="15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F0F0F"/>
                <w:sz w:val="20"/>
                <w:szCs w:val="20"/>
              </w:rPr>
              <w:t xml:space="preserve">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Product safety (BIS/FSSAI/BEE), grievance redressal TAT, complaint resolution %, DPDP Act 2023, CERT-In, ASCI</w:t>
            </w:r>
          </w:p>
        </w:tc>
        <w:tc>
          <w:tcPr>
            <w:tcW w:type="dxa" w:w="30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DPDP Act 2023; SEBI Circular on Investor Grievance Redressal</w:t>
            </w:r>
          </w:p>
        </w:tc>
      </w:tr>
    </w:tbl>
    <w:p>
      <w:r>
        <w:br w:type="page"/>
      </w:r>
    </w:p>
    <w:p>
      <w:pPr>
        <w:spacing w:after="100" w:before="260"/>
      </w:pPr>
      <w:r>
        <w:rPr>
          <w:rFonts w:ascii="Arial" w:cs="Arial" w:eastAsia="Arial" w:hAnsi="Arial"/>
          <w:b/>
          <w:bCs/>
          <w:color w:val="1E3A5F"/>
          <w:sz w:val="25"/>
          <w:szCs w:val="25"/>
        </w:rPr>
        <w:t xml:space="preserve">D.3  Module 3: Indian Labour Law Compliance Audit — Nine Central Statutes</w:t>
      </w:r>
    </w:p>
    <w:p>
      <w:pPr>
        <w:spacing w:after="110" w:before="60" w:line="340"/>
        <w:jc w:val="both"/>
      </w:pPr>
      <w:r>
        <w:rPr>
          <w:rFonts w:ascii="Arial" w:cs="Arial" w:eastAsia="Arial" w:hAnsi="Arial"/>
          <w:color w:val="0F0F0F"/>
          <w:sz w:val="22"/>
          <w:szCs w:val="22"/>
        </w:rPr>
        <w:t xml:space="preserve">This module represents one of COMPASS-ESG's most distinctive contributions. It creates a structured compliance assessment framework for nine major Indian labour statutes, directly mapping each compliance obligation to the corresponding BRSR disclosure requirement and ESG Social parameter. This integration — unprecedented in any existing Indian corporate compliance tool — makes labour law adherence a visible, scored, and improvable dimension of corporate ESG performance.</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2200"/>
        <w:gridCol w:w="2126"/>
        <w:gridCol w:w="2000"/>
      </w:tblGrid>
      <w:tr>
        <w:tc>
          <w:tcPr>
            <w:tcW w:type="dxa" w:w="300"/>
            <w:tcBorders>
              <w:top w:val="single" w:color="CCCCCC" w:sz="4"/>
              <w:left w:val="single" w:color="CCCCCC" w:sz="4"/>
              <w:bottom w:val="single" w:color="CCCCCC" w:sz="4"/>
              <w:right w:val="single" w:color="CCCCCC" w:sz="4"/>
            </w:tcBorders>
            <w:shd w:fill="7C3A00"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w:t>
            </w:r>
          </w:p>
        </w:tc>
        <w:tc>
          <w:tcPr>
            <w:tcW w:type="dxa" w:w="2400"/>
            <w:tcBorders>
              <w:top w:val="single" w:color="CCCCCC" w:sz="4"/>
              <w:left w:val="single" w:color="CCCCCC" w:sz="4"/>
              <w:bottom w:val="single" w:color="CCCCCC" w:sz="4"/>
              <w:right w:val="single" w:color="CCCCCC" w:sz="4"/>
            </w:tcBorders>
            <w:shd w:fill="7C3A00"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Statute</w:t>
            </w:r>
          </w:p>
        </w:tc>
        <w:tc>
          <w:tcPr>
            <w:tcW w:type="dxa" w:w="2200"/>
            <w:tcBorders>
              <w:top w:val="single" w:color="CCCCCC" w:sz="4"/>
              <w:left w:val="single" w:color="CCCCCC" w:sz="4"/>
              <w:bottom w:val="single" w:color="CCCCCC" w:sz="4"/>
              <w:right w:val="single" w:color="CCCCCC" w:sz="4"/>
            </w:tcBorders>
            <w:shd w:fill="7C3A00"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COMPASS-ESG Assessment Points</w:t>
            </w:r>
          </w:p>
        </w:tc>
        <w:tc>
          <w:tcPr>
            <w:tcW w:type="dxa" w:w="2126"/>
            <w:tcBorders>
              <w:top w:val="single" w:color="CCCCCC" w:sz="4"/>
              <w:left w:val="single" w:color="CCCCCC" w:sz="4"/>
              <w:bottom w:val="single" w:color="CCCCCC" w:sz="4"/>
              <w:right w:val="single" w:color="CCCCCC" w:sz="4"/>
            </w:tcBorders>
            <w:shd w:fill="7C3A00"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BRSR Principle Linkage</w:t>
            </w:r>
          </w:p>
        </w:tc>
        <w:tc>
          <w:tcPr>
            <w:tcW w:type="dxa" w:w="2000"/>
            <w:tcBorders>
              <w:top w:val="single" w:color="CCCCCC" w:sz="4"/>
              <w:left w:val="single" w:color="CCCCCC" w:sz="4"/>
              <w:bottom w:val="single" w:color="CCCCCC" w:sz="4"/>
              <w:right w:val="single" w:color="CCCCCC" w:sz="4"/>
            </w:tcBorders>
            <w:shd w:fill="7C3A00"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ESG Social Parameter</w:t>
            </w:r>
          </w:p>
        </w:tc>
      </w:tr>
      <w:tr>
        <w:tc>
          <w:tcPr>
            <w:tcW w:type="dxa" w:w="300"/>
            <w:tcBorders>
              <w:top w:val="single" w:color="CCCCCC" w:sz="4"/>
              <w:left w:val="single" w:color="CCCCCC" w:sz="4"/>
              <w:bottom w:val="single" w:color="CCCCCC" w:sz="4"/>
              <w:right w:val="single" w:color="CCCCCC" w:sz="4"/>
            </w:tcBorders>
            <w:shd w:fill="7C3A00"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1</w:t>
            </w:r>
          </w:p>
        </w:tc>
        <w:tc>
          <w:tcPr>
            <w:tcW w:type="dxa" w:w="24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spacing w:after="0" w:before="0"/>
              <w:jc w:val="left"/>
            </w:pPr>
            <w:r>
              <w:rPr>
                <w:rFonts w:ascii="Arial" w:cs="Arial" w:eastAsia="Arial" w:hAnsi="Arial"/>
                <w:b/>
                <w:bCs/>
                <w:color w:val="7C3A00"/>
                <w:sz w:val="20"/>
                <w:szCs w:val="20"/>
              </w:rPr>
              <w:t xml:space="preserve">Employees' Provident Fund &amp; Miscellaneous Provisions Act, 1952 / Code on Social Security 2020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PF registration verification; 12%+12% contribution compliance; ESIC applicability; UAN seeding; timely deposit; annual return (Form 6A); gratuity provisioning; penal interest tracking</w:t>
            </w:r>
          </w:p>
        </w:tc>
        <w:tc>
          <w:tcPr>
            <w:tcW w:type="dxa" w:w="21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P3.2: % employees covered by PF / social security — disclosed</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E3A5F"/>
                <w:sz w:val="20"/>
                <w:szCs w:val="20"/>
              </w:rPr>
              <w:t xml:space="preserve">Living Wage &amp; Fair Pay Policy (weight: 2.8%)</w:t>
            </w:r>
          </w:p>
        </w:tc>
      </w:tr>
      <w:tr>
        <w:tc>
          <w:tcPr>
            <w:tcW w:type="dxa" w:w="300"/>
            <w:tcBorders>
              <w:top w:val="single" w:color="CCCCCC" w:sz="4"/>
              <w:left w:val="single" w:color="CCCCCC" w:sz="4"/>
              <w:bottom w:val="single" w:color="CCCCCC" w:sz="4"/>
              <w:right w:val="single" w:color="CCCCCC" w:sz="4"/>
            </w:tcBorders>
            <w:shd w:fill="7C3A00"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2</w:t>
            </w:r>
          </w:p>
        </w:tc>
        <w:tc>
          <w:tcPr>
            <w:tcW w:type="dxa" w:w="24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spacing w:after="0" w:before="0"/>
              <w:jc w:val="left"/>
            </w:pPr>
            <w:r>
              <w:rPr>
                <w:rFonts w:ascii="Arial" w:cs="Arial" w:eastAsia="Arial" w:hAnsi="Arial"/>
                <w:b/>
                <w:bCs/>
                <w:color w:val="7C3A00"/>
                <w:sz w:val="20"/>
                <w:szCs w:val="20"/>
              </w:rPr>
              <w:t xml:space="preserve">Minimum Wages Act, 1948 / Code on Wages, 2019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State/sector-wise minimum wage schedule compliance; skilled/semi-skilled/unskilled categories; contract worker minimum wage; piece-rate workers; wage board revisions; record of wages (Form I &amp; II)</w:t>
            </w:r>
          </w:p>
        </w:tc>
        <w:tc>
          <w:tcPr>
            <w:tcW w:type="dxa" w:w="21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P5.5: Minimum wage compliance for all workers including contractual — verified</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E3A5F"/>
                <w:sz w:val="20"/>
                <w:szCs w:val="20"/>
              </w:rPr>
              <w:t xml:space="preserve">Pay Equity &amp; Gender Pay Gap (weight: 2.5%)</w:t>
            </w:r>
          </w:p>
        </w:tc>
      </w:tr>
      <w:tr>
        <w:tc>
          <w:tcPr>
            <w:tcW w:type="dxa" w:w="300"/>
            <w:tcBorders>
              <w:top w:val="single" w:color="CCCCCC" w:sz="4"/>
              <w:left w:val="single" w:color="CCCCCC" w:sz="4"/>
              <w:bottom w:val="single" w:color="CCCCCC" w:sz="4"/>
              <w:right w:val="single" w:color="CCCCCC" w:sz="4"/>
            </w:tcBorders>
            <w:shd w:fill="7C3A00"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3</w:t>
            </w:r>
          </w:p>
        </w:tc>
        <w:tc>
          <w:tcPr>
            <w:tcW w:type="dxa" w:w="24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spacing w:after="0" w:before="0"/>
              <w:jc w:val="left"/>
            </w:pPr>
            <w:r>
              <w:rPr>
                <w:rFonts w:ascii="Arial" w:cs="Arial" w:eastAsia="Arial" w:hAnsi="Arial"/>
                <w:b/>
                <w:bCs/>
                <w:color w:val="7C3A00"/>
                <w:sz w:val="20"/>
                <w:szCs w:val="20"/>
              </w:rPr>
              <w:t xml:space="preserve">Prevention of Sexual Harassment Act, 2013 (POSH)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Internal Complaints Committee constitution (10 members, ≥50% women, external member mandatory); ICC training records; annual report to District Officer; 90-day case disposal compliance; Section 26 criminal liability check; zero retaliation protocols; men's awareness training</w:t>
            </w:r>
          </w:p>
        </w:tc>
        <w:tc>
          <w:tcPr>
            <w:tcW w:type="dxa" w:w="21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P3.6: POSH — cases reported &amp; resolved disclosed</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E3A5F"/>
                <w:sz w:val="20"/>
                <w:szCs w:val="20"/>
              </w:rPr>
              <w:t xml:space="preserve">POSH Compliance (weight: 2.0%); Gender Diversity (weight: 2.8%)</w:t>
            </w:r>
          </w:p>
        </w:tc>
      </w:tr>
      <w:tr>
        <w:tc>
          <w:tcPr>
            <w:tcW w:type="dxa" w:w="300"/>
            <w:tcBorders>
              <w:top w:val="single" w:color="CCCCCC" w:sz="4"/>
              <w:left w:val="single" w:color="CCCCCC" w:sz="4"/>
              <w:bottom w:val="single" w:color="CCCCCC" w:sz="4"/>
              <w:right w:val="single" w:color="CCCCCC" w:sz="4"/>
            </w:tcBorders>
            <w:shd w:fill="7C3A00"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4</w:t>
            </w:r>
          </w:p>
        </w:tc>
        <w:tc>
          <w:tcPr>
            <w:tcW w:type="dxa" w:w="24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spacing w:after="0" w:before="0"/>
              <w:jc w:val="left"/>
            </w:pPr>
            <w:r>
              <w:rPr>
                <w:rFonts w:ascii="Arial" w:cs="Arial" w:eastAsia="Arial" w:hAnsi="Arial"/>
                <w:b/>
                <w:bCs/>
                <w:color w:val="7C3A00"/>
                <w:sz w:val="20"/>
                <w:szCs w:val="20"/>
              </w:rPr>
              <w:t xml:space="preserve">Contract Labour (Regulation &amp; Abolition) Act, 1970 / OSHC Code 2020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Principal employer Form I registration; contractor Form IV licence verification; welfare provisions (canteen ≥100 workers, rest rooms, first aid); wage payment through contractors; Form XIII/XIV/Register B returns; equal wages for equal work</w:t>
            </w:r>
          </w:p>
        </w:tc>
        <w:tc>
          <w:tcPr>
            <w:tcW w:type="dxa" w:w="21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P3.7: Permanent vs contract ratio &amp; benefits parity</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E3A5F"/>
                <w:sz w:val="20"/>
                <w:szCs w:val="20"/>
              </w:rPr>
              <w:t xml:space="preserve">Freedom of Association &amp; Collective Bargaining (weight: 2.0%)</w:t>
            </w:r>
          </w:p>
        </w:tc>
      </w:tr>
      <w:tr>
        <w:tc>
          <w:tcPr>
            <w:tcW w:type="dxa" w:w="300"/>
            <w:tcBorders>
              <w:top w:val="single" w:color="CCCCCC" w:sz="4"/>
              <w:left w:val="single" w:color="CCCCCC" w:sz="4"/>
              <w:bottom w:val="single" w:color="CCCCCC" w:sz="4"/>
              <w:right w:val="single" w:color="CCCCCC" w:sz="4"/>
            </w:tcBorders>
            <w:shd w:fill="7C3A00"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5</w:t>
            </w:r>
          </w:p>
        </w:tc>
        <w:tc>
          <w:tcPr>
            <w:tcW w:type="dxa" w:w="24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spacing w:after="0" w:before="0"/>
              <w:jc w:val="left"/>
            </w:pPr>
            <w:r>
              <w:rPr>
                <w:rFonts w:ascii="Arial" w:cs="Arial" w:eastAsia="Arial" w:hAnsi="Arial"/>
                <w:b/>
                <w:bCs/>
                <w:color w:val="7C3A00"/>
                <w:sz w:val="20"/>
                <w:szCs w:val="20"/>
              </w:rPr>
              <w:t xml:space="preserve">Child Labour (Prohibition &amp; Regulation) Act, 1986 / Amendment 2016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Zero child labour in all establishments; prohibition of hazardous work for persons under 18; mandatory supply chain audit of Tier-1 contractors; grievance channel for child labour reporting; district magistrate notification compliance</w:t>
            </w:r>
          </w:p>
        </w:tc>
        <w:tc>
          <w:tcPr>
            <w:tcW w:type="dxa" w:w="21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P5.4: Child labour, forced labour — zero incidents; complaints disclosed</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E3A5F"/>
                <w:sz w:val="20"/>
                <w:szCs w:val="20"/>
              </w:rPr>
              <w:t xml:space="preserve">Child Labour &amp; Forced Labour — Zero Tolerance (weight: 3.0%)</w:t>
            </w:r>
          </w:p>
        </w:tc>
      </w:tr>
      <w:tr>
        <w:tc>
          <w:tcPr>
            <w:tcW w:type="dxa" w:w="300"/>
            <w:tcBorders>
              <w:top w:val="single" w:color="CCCCCC" w:sz="4"/>
              <w:left w:val="single" w:color="CCCCCC" w:sz="4"/>
              <w:bottom w:val="single" w:color="CCCCCC" w:sz="4"/>
              <w:right w:val="single" w:color="CCCCCC" w:sz="4"/>
            </w:tcBorders>
            <w:shd w:fill="7C3A00"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6</w:t>
            </w:r>
          </w:p>
        </w:tc>
        <w:tc>
          <w:tcPr>
            <w:tcW w:type="dxa" w:w="24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spacing w:after="0" w:before="0"/>
              <w:jc w:val="left"/>
            </w:pPr>
            <w:r>
              <w:rPr>
                <w:rFonts w:ascii="Arial" w:cs="Arial" w:eastAsia="Arial" w:hAnsi="Arial"/>
                <w:b/>
                <w:bCs/>
                <w:color w:val="7C3A00"/>
                <w:sz w:val="20"/>
                <w:szCs w:val="20"/>
              </w:rPr>
              <w:t xml:space="preserve">Maternity Benefit Act, 1961 / Code on Social Security 2020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26 weeks paid maternity leave (8 weeks post-natal); crèche facility (≥50 women employees); prohibition of dismissal during maternity; nursing breaks (2 per day for 15 months); paternity leave policy (emerging practice); adoption leave</w:t>
            </w:r>
          </w:p>
        </w:tc>
        <w:tc>
          <w:tcPr>
            <w:tcW w:type="dxa" w:w="21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P3.4: Parental benefits — maternity &amp; paternity leave policy</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E3A5F"/>
                <w:sz w:val="20"/>
                <w:szCs w:val="20"/>
              </w:rPr>
              <w:t xml:space="preserve">Working Hours, Rest &amp; Compliance (weight: 2.0%)</w:t>
            </w:r>
          </w:p>
        </w:tc>
      </w:tr>
      <w:tr>
        <w:tc>
          <w:tcPr>
            <w:tcW w:type="dxa" w:w="300"/>
            <w:tcBorders>
              <w:top w:val="single" w:color="CCCCCC" w:sz="4"/>
              <w:left w:val="single" w:color="CCCCCC" w:sz="4"/>
              <w:bottom w:val="single" w:color="CCCCCC" w:sz="4"/>
              <w:right w:val="single" w:color="CCCCCC" w:sz="4"/>
            </w:tcBorders>
            <w:shd w:fill="7C3A00"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7</w:t>
            </w:r>
          </w:p>
        </w:tc>
        <w:tc>
          <w:tcPr>
            <w:tcW w:type="dxa" w:w="24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spacing w:after="0" w:before="0"/>
              <w:jc w:val="left"/>
            </w:pPr>
            <w:r>
              <w:rPr>
                <w:rFonts w:ascii="Arial" w:cs="Arial" w:eastAsia="Arial" w:hAnsi="Arial"/>
                <w:b/>
                <w:bCs/>
                <w:color w:val="7C3A00"/>
                <w:sz w:val="20"/>
                <w:szCs w:val="20"/>
              </w:rPr>
              <w:t xml:space="preserve">Payment of Bonus Act, 1965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Eligibility verification (salary ≤₹21,000/month); minimum bonus 8.33%; maximum 20%; allocable surplus computation; payment within 8 months of FY end; Form A/B/C/D registers; contract worker bonus applicability</w:t>
            </w:r>
          </w:p>
        </w:tc>
        <w:tc>
          <w:tcPr>
            <w:tcW w:type="dxa" w:w="21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P3.5: Median remuneration ratio — disclosed</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E3A5F"/>
                <w:sz w:val="20"/>
                <w:szCs w:val="20"/>
              </w:rPr>
              <w:t xml:space="preserve">Pay Equity (weight: 2.5%); Living Wage (weight: 2.8%)</w:t>
            </w:r>
          </w:p>
        </w:tc>
      </w:tr>
      <w:tr>
        <w:tc>
          <w:tcPr>
            <w:tcW w:type="dxa" w:w="300"/>
            <w:tcBorders>
              <w:top w:val="single" w:color="CCCCCC" w:sz="4"/>
              <w:left w:val="single" w:color="CCCCCC" w:sz="4"/>
              <w:bottom w:val="single" w:color="CCCCCC" w:sz="4"/>
              <w:right w:val="single" w:color="CCCCCC" w:sz="4"/>
            </w:tcBorders>
            <w:shd w:fill="7C3A00"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8</w:t>
            </w:r>
          </w:p>
        </w:tc>
        <w:tc>
          <w:tcPr>
            <w:tcW w:type="dxa" w:w="24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spacing w:after="0" w:before="0"/>
              <w:jc w:val="left"/>
            </w:pPr>
            <w:r>
              <w:rPr>
                <w:rFonts w:ascii="Arial" w:cs="Arial" w:eastAsia="Arial" w:hAnsi="Arial"/>
                <w:b/>
                <w:bCs/>
                <w:color w:val="7C3A00"/>
                <w:sz w:val="20"/>
                <w:szCs w:val="20"/>
              </w:rPr>
              <w:t xml:space="preserve">Industrial Disputes Act, 1947 / Industrial Relations Code 2020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Standing orders certified by Certifying Officer; retrenchment/lay-off compliance (notice period, compensation); conciliation machinery; works committee constitution (≥100 workers); Industrial Tribunal compliance; no pending contempt</w:t>
            </w:r>
          </w:p>
        </w:tc>
        <w:tc>
          <w:tcPr>
            <w:tcW w:type="dxa" w:w="21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P4.4: Feedback mechanism for workers — disclosed</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E3A5F"/>
                <w:sz w:val="20"/>
                <w:szCs w:val="20"/>
              </w:rPr>
              <w:t xml:space="preserve">Industrial Relations &amp; Strike Management (weight: 1.8%)</w:t>
            </w:r>
          </w:p>
        </w:tc>
      </w:tr>
      <w:tr>
        <w:tc>
          <w:tcPr>
            <w:tcW w:type="dxa" w:w="300"/>
            <w:tcBorders>
              <w:top w:val="single" w:color="CCCCCC" w:sz="4"/>
              <w:left w:val="single" w:color="CCCCCC" w:sz="4"/>
              <w:bottom w:val="single" w:color="CCCCCC" w:sz="4"/>
              <w:right w:val="single" w:color="CCCCCC" w:sz="4"/>
            </w:tcBorders>
            <w:shd w:fill="7C3A00"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9</w:t>
            </w:r>
          </w:p>
        </w:tc>
        <w:tc>
          <w:tcPr>
            <w:tcW w:type="dxa" w:w="24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spacing w:after="0" w:before="0"/>
              <w:jc w:val="left"/>
            </w:pPr>
            <w:r>
              <w:rPr>
                <w:rFonts w:ascii="Arial" w:cs="Arial" w:eastAsia="Arial" w:hAnsi="Arial"/>
                <w:b/>
                <w:bCs/>
                <w:color w:val="7C3A00"/>
                <w:sz w:val="20"/>
                <w:szCs w:val="20"/>
              </w:rPr>
              <w:t xml:space="preserve">Factories Act, 1948 / OSHC Code 2020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Factory licence validity; working hours compliance (48 hrs/week max, 9 hrs/day); overtime calculation (2× rate, ≤50 hrs/quarter); weekly rest day; safety officer appointment (≥1,000 workers); Form 21 (Half-yearly Return); fire safety, first aid, welfare officers</w:t>
            </w:r>
          </w:p>
        </w:tc>
        <w:tc>
          <w:tcPr>
            <w:tcW w:type="dxa" w:w="21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P3.3: Total training hours/employee/year &amp; skill development — disclosed</w:t>
            </w:r>
          </w:p>
        </w:tc>
        <w:tc>
          <w:tcPr>
            <w:tcW w:type="dxa" w:w="20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E3A5F"/>
                <w:sz w:val="20"/>
                <w:szCs w:val="20"/>
              </w:rPr>
              <w:t xml:space="preserve">OHS Management (weight: 2.8%); LTIFR &amp; Fatality (weight: 3.2/3.5%)</w:t>
            </w:r>
          </w:p>
        </w:tc>
      </w:tr>
    </w:tbl>
    <w:p>
      <w:r>
        <w:br w:type="page"/>
      </w:r>
    </w:p>
    <w:p>
      <w:pPr>
        <w:spacing w:after="100" w:before="260"/>
      </w:pPr>
      <w:r>
        <w:rPr>
          <w:rFonts w:ascii="Arial" w:cs="Arial" w:eastAsia="Arial" w:hAnsi="Arial"/>
          <w:b/>
          <w:bCs/>
          <w:color w:val="1E3A5F"/>
          <w:sz w:val="25"/>
          <w:szCs w:val="25"/>
        </w:rPr>
        <w:t xml:space="preserve">D.4  Module 4: Financial Health Analysis — 35 Ratios + 15 Composite Indicators</w:t>
      </w:r>
    </w:p>
    <w:p>
      <w:pPr>
        <w:spacing w:after="110" w:before="60" w:line="340"/>
        <w:jc w:val="both"/>
      </w:pPr>
      <w:r>
        <w:rPr>
          <w:rFonts w:ascii="Arial" w:cs="Arial" w:eastAsia="Arial" w:hAnsi="Arial"/>
          <w:color w:val="0F0F0F"/>
          <w:sz w:val="22"/>
          <w:szCs w:val="22"/>
        </w:rPr>
        <w:t xml:space="preserve">The Financial Analytics module provides a comprehensive corporate health assessment using 35 ratios across seven categories and 15 advanced composite early warning models. This module contextualises ESG performance within the company's financial health — enabling SEBI to identify companies where ESG commitments may be financially unsustainable, or where strong financial health coexists with weak ESG credentials.</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4"/>
              <w:left w:val="single" w:color="CCCCCC" w:sz="4"/>
              <w:bottom w:val="single" w:color="CCCCCC" w:sz="4"/>
              <w:right w:val="single" w:color="CCCCCC" w:sz="4"/>
            </w:tcBorders>
            <w:shd w:fill="1E3A5F"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Category</w:t>
            </w:r>
          </w:p>
        </w:tc>
        <w:tc>
          <w:tcPr>
            <w:tcW w:type="dxa" w:w="3600"/>
            <w:tcBorders>
              <w:top w:val="single" w:color="CCCCCC" w:sz="4"/>
              <w:left w:val="single" w:color="CCCCCC" w:sz="4"/>
              <w:bottom w:val="single" w:color="CCCCCC" w:sz="4"/>
              <w:right w:val="single" w:color="CCCCCC" w:sz="4"/>
            </w:tcBorders>
            <w:shd w:fill="1E3A5F"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Financial Ratios (35 Total)</w:t>
            </w:r>
          </w:p>
        </w:tc>
        <w:tc>
          <w:tcPr>
            <w:tcW w:type="dxa" w:w="3626"/>
            <w:tcBorders>
              <w:top w:val="single" w:color="CCCCCC" w:sz="4"/>
              <w:left w:val="single" w:color="CCCCCC" w:sz="4"/>
              <w:bottom w:val="single" w:color="CCCCCC" w:sz="4"/>
              <w:right w:val="single" w:color="CCCCCC" w:sz="4"/>
            </w:tcBorders>
            <w:shd w:fill="1E3A5F"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Regulatory / Investor Relevance</w:t>
            </w:r>
          </w:p>
        </w:tc>
      </w:tr>
      <w:tr>
        <w:tc>
          <w:tcPr>
            <w:tcW w:type="dxa" w:w="1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Liquidity (5)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Current Ratio, Quick Ratio, Cash Ratio, Net Working Capital, Operating Cash Ratio</w:t>
            </w:r>
          </w:p>
        </w:tc>
        <w:tc>
          <w:tcPr>
            <w:tcW w:type="dxa" w:w="36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374151"/>
                <w:sz w:val="20"/>
                <w:szCs w:val="20"/>
              </w:rPr>
              <w:t xml:space="preserve">SEBI LODR: Going concern assessment; lender covenant compliance</w:t>
            </w:r>
          </w:p>
        </w:tc>
      </w:tr>
      <w:tr>
        <w:tc>
          <w:tcPr>
            <w:tcW w:type="dxa" w:w="1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Solvency (7)</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Debt/Equity, Debt/Assets, Equity Ratio, Interest Coverage, DSCR, Equity Multiplier, LT Debt/Capital</w:t>
            </w:r>
          </w:p>
        </w:tc>
        <w:tc>
          <w:tcPr>
            <w:tcW w:type="dxa" w:w="36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374151"/>
                <w:sz w:val="20"/>
                <w:szCs w:val="20"/>
              </w:rPr>
              <w:t xml:space="preserve">RBI Prudential Norms; SEBI ICDR (fundraising eligibility); credit rating inputs</w:t>
            </w:r>
          </w:p>
        </w:tc>
      </w:tr>
      <w:tr>
        <w:tc>
          <w:tcPr>
            <w:tcW w:type="dxa" w:w="1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Profitability (8)</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Gross Margin, EBITDA, EBIT, Net Margin, ROE, ROA, ROCE, ROIC</w:t>
            </w:r>
          </w:p>
        </w:tc>
        <w:tc>
          <w:tcPr>
            <w:tcW w:type="dxa" w:w="36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374151"/>
                <w:sz w:val="20"/>
                <w:szCs w:val="20"/>
              </w:rPr>
              <w:t xml:space="preserve">Ind AS 33 (EPS); investor screening benchmarks; SEBI Takeover Code valuation</w:t>
            </w:r>
          </w:p>
        </w:tc>
      </w:tr>
      <w:tr>
        <w:tc>
          <w:tcPr>
            <w:tcW w:type="dxa" w:w="1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Efficiency (9)</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Asset Turnover, Inventory &amp; Receivables Turnover, DSO, DIO, DPO, CCC, Revenue Growth, Profit Growth</w:t>
            </w:r>
          </w:p>
        </w:tc>
        <w:tc>
          <w:tcPr>
            <w:tcW w:type="dxa" w:w="36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374151"/>
                <w:sz w:val="20"/>
                <w:szCs w:val="20"/>
              </w:rPr>
              <w:t xml:space="preserve">Working capital adequacy; SEBI audit committee review metrics</w:t>
            </w:r>
          </w:p>
        </w:tc>
      </w:tr>
      <w:tr>
        <w:tc>
          <w:tcPr>
            <w:tcW w:type="dxa" w:w="1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Cash Flow (5)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CFO Margin, FCF Margin, FCF/NI, CFO/NI, CapEx Intensity</w:t>
            </w:r>
          </w:p>
        </w:tc>
        <w:tc>
          <w:tcPr>
            <w:tcW w:type="dxa" w:w="36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374151"/>
                <w:sz w:val="20"/>
                <w:szCs w:val="20"/>
              </w:rPr>
              <w:t xml:space="preserve">Earnings quality; green bond eligibility (IFC/SEBI Green Bond Framework)</w:t>
            </w:r>
          </w:p>
        </w:tc>
      </w:tr>
      <w:tr>
        <w:tc>
          <w:tcPr>
            <w:tcW w:type="dxa" w:w="1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Market (4)</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P/E, P/B, EV/EBITDA, Dividend Payout Ratio</w:t>
            </w:r>
          </w:p>
        </w:tc>
        <w:tc>
          <w:tcPr>
            <w:tcW w:type="dxa" w:w="36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374151"/>
                <w:sz w:val="20"/>
                <w:szCs w:val="20"/>
              </w:rPr>
              <w:t xml:space="preserve">SEBI LODR Reg. 30 (material events); SEBI Research Analyst framework</w:t>
            </w:r>
          </w:p>
        </w:tc>
      </w:tr>
      <w:tr>
        <w:tc>
          <w:tcPr>
            <w:tcW w:type="dxa" w:w="1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DuPont (4)</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Net Margin × Asset Turnover × Equity Multiplier = ROE (3-Factor)</w:t>
            </w:r>
          </w:p>
        </w:tc>
        <w:tc>
          <w:tcPr>
            <w:tcW w:type="dxa" w:w="3626"/>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374151"/>
                <w:sz w:val="20"/>
                <w:szCs w:val="20"/>
              </w:rPr>
              <w:t xml:space="preserve">Board reporting; SEBI integrated financial analysis expectations</w:t>
            </w:r>
          </w:p>
        </w:tc>
      </w:tr>
    </w:tbl>
    <w:p>
      <w:pPr>
        <w:spacing w:after="80" w:before="0"/>
      </w:pPr>
      <w:r>
        <w:rPr>
          <w:rFonts w:ascii="Arial" w:cs="Arial" w:eastAsia="Arial" w:hAnsi="Arial"/>
          <w:color w:val="0F0F0F"/>
          <w:sz w:val="22"/>
          <w:szCs w:val="22"/>
        </w:rPr>
        <w:t xml:space="preserve"/>
      </w:r>
    </w:p>
    <w:p>
      <w:pPr>
        <w:spacing w:after="80" w:before="180"/>
      </w:pPr>
      <w:r>
        <w:rPr>
          <w:rFonts w:ascii="Arial" w:cs="Arial" w:eastAsia="Arial" w:hAnsi="Arial"/>
          <w:b/>
          <w:bCs/>
          <w:color w:val="1A3A2A"/>
          <w:sz w:val="22"/>
          <w:szCs w:val="22"/>
        </w:rPr>
        <w:t xml:space="preserve">15 Advanced Composite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Model</w:t>
            </w:r>
          </w:p>
        </w:tc>
        <w:tc>
          <w:tcPr>
            <w:tcW w:type="dxa" w:w="16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Originator</w:t>
            </w:r>
          </w:p>
        </w:tc>
        <w:tc>
          <w:tcPr>
            <w:tcW w:type="dxa" w:w="5026"/>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Output &amp; Regulatory Application</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Altman Z-Score (Public Cos.)</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Altman, 1968</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Bankruptcy probability; Safe ≥2.99 / Distress ≤1.81 — used by credit agencies and lenders</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Altman Z''-Score (Emerging Mkts)</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Altman et al., 1995</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India-adapted bankruptcy model using book equity — appropriate for BSE/NSE listed companies</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Piotroski F-Score</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Piotroski, 2000</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9-signal investment quality (0–9) — distinguishes high/low quality value stocks; FPI screening</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Beneish M-Score</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Beneish, 1999</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Earnings manipulation detection — SEBI enforcement trigger; 8-variable model</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Springate S-Score</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Springate, 1978</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Second-opinion corporate failure model — cross-validates Altman for audit committee use</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Taffler Z-Score (Adapted)</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Taffler, 1983</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UK-origin composite distress model — international cross-validation</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Fulmer H-Factor</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Fulmer et al., 1984</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9-variable logit bankruptcy model for SMEs and mid-caps on BSE SME Platform</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Graham Number</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Benjamin Graham</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Maximum safe stock price for defensive investors — retail investor protection tool</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Magic Formula Rank</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Greenblatt, 2005</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ROIC + Earnings Yield composite — quality-value screening for PMS/AIF investors</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Zmijewski Score</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Zmijewski, 1984</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Probit-based failure probability — leverage and liquidity focused; lender underwriting use</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Ohlson O-Score</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Ohlson, 1980</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9-variable logistic regression failure probability — comprehensive corporate health model</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Sloan Accruals Ratio</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Sloan, 1996</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Earnings quality detector — separates cash vs accrual components; SEBI investigation trigger</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Montier C-Score</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Montier, 2008</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6-flag creative accounting risk — complements Beneish for enforcement and audit purposes</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ICR Trend Analysis</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Industry Standard</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Interest Coverage trajectory — identifies deteriorating debt capacity before distress</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Cash Flow Adequacy</w:t>
            </w:r>
          </w:p>
        </w:tc>
        <w:tc>
          <w:tcPr>
            <w:tcW w:type="dxa" w:w="16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AICPA Standard</w:t>
            </w:r>
          </w:p>
        </w:tc>
        <w:tc>
          <w:tcPr>
            <w:tcW w:type="dxa" w:w="50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CFO vs capex + debt repayment + dividends — going concern and sustainability indicator</w:t>
            </w:r>
          </w:p>
        </w:tc>
      </w:tr>
    </w:tbl>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E:  Research Methodology &amp; Technical Approach</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E.1  Research Design</w:t>
      </w:r>
    </w:p>
    <w:p>
      <w:pPr>
        <w:spacing w:after="110" w:before="60" w:line="340"/>
        <w:jc w:val="both"/>
      </w:pPr>
      <w:r>
        <w:rPr>
          <w:rFonts w:ascii="Arial" w:cs="Arial" w:eastAsia="Arial" w:hAnsi="Arial"/>
          <w:color w:val="0F0F0F"/>
          <w:sz w:val="22"/>
          <w:szCs w:val="22"/>
        </w:rPr>
        <w:t xml:space="preserve">The project employs a Design Science Research (DSR) methodology (Hevner et al., 2004; Peffers et al., 2007), which is the internationally recognised paradigm for information systems artifact development. DSR treats the designed platform as the primary research contribution, evaluated against criteria of utility, rigour, and novelty. The methodology proceeds through six phases:</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500"/>
        <w:gridCol w:w="3226"/>
      </w:tblGrid>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Phase</w:t>
            </w:r>
          </w:p>
        </w:tc>
        <w:tc>
          <w:tcPr>
            <w:tcW w:type="dxa" w:w="18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DSR Stage</w:t>
            </w:r>
          </w:p>
        </w:tc>
        <w:tc>
          <w:tcPr>
            <w:tcW w:type="dxa" w:w="3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Activities</w:t>
            </w:r>
          </w:p>
        </w:tc>
        <w:tc>
          <w:tcPr>
            <w:tcW w:type="dxa" w:w="3226"/>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Deliverable</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1</w:t>
            </w:r>
          </w:p>
        </w:tc>
        <w:tc>
          <w:tcPr>
            <w:tcW w:type="dxa" w:w="1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Problem Identification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Document regulatory gaps; review SEBI BRSR quality reports; survey 50 listed companies on compliance challenges; literature review</w:t>
            </w:r>
          </w:p>
        </w:tc>
        <w:tc>
          <w:tcPr>
            <w:tcW w:type="dxa" w:w="32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Problem Specification Report; Survey Findings</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2</w:t>
            </w:r>
          </w:p>
        </w:tc>
        <w:tc>
          <w:tcPr>
            <w:tcW w:type="dxa" w:w="1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Objective Definition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Specify functional requirements for COMPASS-ESG; validate with SEBI regulatory team; align with GRI/CDP/TCFD standards</w:t>
            </w:r>
          </w:p>
        </w:tc>
        <w:tc>
          <w:tcPr>
            <w:tcW w:type="dxa" w:w="32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Functional Requirements Document; SEBI Alignment Confirmation</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3</w:t>
            </w:r>
          </w:p>
        </w:tc>
        <w:tc>
          <w:tcPr>
            <w:tcW w:type="dxa" w:w="1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Design &amp; Development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Build production-grade platform: ESG engine, BRSR module, labour law audit, financial analytics; API integration; sector benchmarks</w:t>
            </w:r>
          </w:p>
        </w:tc>
        <w:tc>
          <w:tcPr>
            <w:tcW w:type="dxa" w:w="32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COMPASS-ESG Alpha Version; Technical Architecture Document</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4</w:t>
            </w:r>
          </w:p>
        </w:tc>
        <w:tc>
          <w:tcPr>
            <w:tcW w:type="dxa" w:w="1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Demonstration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Pilot deployment with 200 listed companies across 10 sectors; structured data collection; user feedback</w:t>
            </w:r>
          </w:p>
        </w:tc>
        <w:tc>
          <w:tcPr>
            <w:tcW w:type="dxa" w:w="32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Pilot Dataset (200 companies); User Experience Report</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5</w:t>
            </w:r>
          </w:p>
        </w:tc>
        <w:tc>
          <w:tcPr>
            <w:tcW w:type="dxa" w:w="1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Evaluation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Statistical validation of ESG scores vs existing ratings (MSCI, Sustainalytics); BRSR quality score correlation with SEBI reviews; financial ratio accuracy validation</w:t>
            </w:r>
          </w:p>
        </w:tc>
        <w:tc>
          <w:tcPr>
            <w:tcW w:type="dxa" w:w="32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Validation Report; Peer-reviewed Publication</w:t>
            </w:r>
          </w:p>
        </w:tc>
      </w:tr>
      <w:tr>
        <w:tc>
          <w:tcPr>
            <w:tcW w:type="dxa" w:w="5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6</w:t>
            </w:r>
          </w:p>
        </w:tc>
        <w:tc>
          <w:tcPr>
            <w:tcW w:type="dxa" w:w="18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Communication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Open deployment; SEBI presentation; academic publications; webinars for Company Secretaries, CFOs, Compliance Officers</w:t>
            </w:r>
          </w:p>
        </w:tc>
        <w:tc>
          <w:tcPr>
            <w:tcW w:type="dxa" w:w="32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Platform Launch; Published BRSR Quality Methodology; 3 Research Papers</w:t>
            </w:r>
          </w:p>
        </w:tc>
      </w:tr>
    </w:tbl>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E.2  ESG Parameter Weight Calibration</w:t>
      </w:r>
    </w:p>
    <w:p>
      <w:pPr>
        <w:spacing w:after="110" w:before="60" w:line="340"/>
        <w:jc w:val="both"/>
      </w:pPr>
      <w:r>
        <w:rPr>
          <w:rFonts w:ascii="Arial" w:cs="Arial" w:eastAsia="Arial" w:hAnsi="Arial"/>
          <w:color w:val="0F0F0F"/>
          <w:sz w:val="22"/>
          <w:szCs w:val="22"/>
        </w:rPr>
        <w:t xml:space="preserve">The market value impact weights assigned to each of the 120 ESG parameters will be calibrated using a multi-stage process: (i) initial weights derived from Friede, Busch &amp; Bassen (2015) meta-analysis and MSCI ESG materiality framework; (ii) India-specific recalibration using panel regression of ESG scores against Tobin's Q and stock returns for a 5-year dataset of 300 BSE-500 companies; (iii) sector-specific weight adjustment using SASB materiality maps for 11 GICS sectors; (iv) validation with practitioner panel of 20 institutional investors and 10 SEBI-registered research analysts.</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E.3  BRSR Quality Rubric Development</w:t>
      </w:r>
    </w:p>
    <w:p>
      <w:pPr>
        <w:spacing w:after="110" w:before="60" w:line="340"/>
        <w:jc w:val="both"/>
      </w:pPr>
      <w:r>
        <w:rPr>
          <w:rFonts w:ascii="Arial" w:cs="Arial" w:eastAsia="Arial" w:hAnsi="Arial"/>
          <w:color w:val="0F0F0F"/>
          <w:sz w:val="22"/>
          <w:szCs w:val="22"/>
        </w:rPr>
        <w:t xml:space="preserve">The BRSR Quality Assessment Rubric will be developed through: (i) content analysis of 200 BRSR filings from FY2022–23 and FY2023–24; (ii) identification of disclosure quality dimensions (completeness, quantifiability, verifiability, comparability, assurance level); (iii) co-development of quality band descriptors with a panel of Company Secretaries, statutory auditors, and SEBI regulatory staff; (iv) pilot testing and inter-rater reliability testing. The rubric will be submitted to SEBI for acknowledgement and potential adoption in SEBI's quality review framework.</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E.4  Labour Law Compliance Verification Protocol</w:t>
      </w:r>
    </w:p>
    <w:p>
      <w:pPr>
        <w:spacing w:after="110" w:before="60" w:line="340"/>
        <w:jc w:val="both"/>
      </w:pPr>
      <w:r>
        <w:rPr>
          <w:rFonts w:ascii="Arial" w:cs="Arial" w:eastAsia="Arial" w:hAnsi="Arial"/>
          <w:color w:val="0F0F0F"/>
          <w:sz w:val="22"/>
          <w:szCs w:val="22"/>
        </w:rPr>
        <w:t xml:space="preserve">The labour law module will apply a three-layer verification protocol: (i) Documentary Review — statutory registers, return filings, PF/ESIC challans, ICC records; (ii) Quantitative Compliance Score — binary compliance check for each statutory provision, aggregated to statute-level compliance percentages; (iii) Risk Rating — High/Medium/Low risk rating for each statute based on compliance gaps and potential penalty exposure. The module will be validated by a panel of five Labour Law Advocates with national practice and updated annually to incorporate new notifications under the Labour Codes.</w:t>
      </w:r>
    </w:p>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F:  Work Plan &amp; Project Timeline (24 Months)</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713"/>
        <w:gridCol w:w="1713"/>
      </w:tblGrid>
      <w:tr>
        <w:tc>
          <w:tcPr>
            <w:tcW w:type="dxa" w:w="12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Period</w:t>
            </w:r>
          </w:p>
        </w:tc>
        <w:tc>
          <w:tcPr>
            <w:tcW w:type="dxa" w:w="22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Work Package</w:t>
            </w:r>
          </w:p>
        </w:tc>
        <w:tc>
          <w:tcPr>
            <w:tcW w:type="dxa" w:w="22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Key Activities</w:t>
            </w:r>
          </w:p>
        </w:tc>
        <w:tc>
          <w:tcPr>
            <w:tcW w:type="dxa" w:w="1713"/>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Milestone</w:t>
            </w:r>
          </w:p>
        </w:tc>
        <w:tc>
          <w:tcPr>
            <w:tcW w:type="dxa" w:w="1713"/>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Output</w:t>
            </w:r>
          </w:p>
        </w:tc>
      </w:tr>
      <w:tr>
        <w:tc>
          <w:tcPr>
            <w:tcW w:type="dxa" w:w="12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M1–M3</w:t>
            </w:r>
          </w:p>
        </w:tc>
        <w:tc>
          <w:tcPr>
            <w:tcW w:type="dxa" w:w="22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WP1: Foundation &amp; Survey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Regulatory landscape review; 50-company compliance survey; ESG weight literature synthesis; SEBI consultation for alignment</w:t>
            </w:r>
          </w:p>
        </w:tc>
        <w:tc>
          <w:tcPr>
            <w:tcW w:type="dxa" w:w="17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M1: Regulatory alignment confirmed</w:t>
            </w:r>
          </w:p>
        </w:tc>
        <w:tc>
          <w:tcPr>
            <w:tcW w:type="dxa" w:w="171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Survey Report; Requirements Document</w:t>
            </w:r>
          </w:p>
        </w:tc>
      </w:tr>
      <w:tr>
        <w:tc>
          <w:tcPr>
            <w:tcW w:type="dxa" w:w="12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M2–M6</w:t>
            </w:r>
          </w:p>
        </w:tc>
        <w:tc>
          <w:tcPr>
            <w:tcW w:type="dxa" w:w="22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WP2: Platform Engineering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Production-grade web application development; database architecture; API integration (live financial data); ESG scoring engine build</w:t>
            </w:r>
          </w:p>
        </w:tc>
        <w:tc>
          <w:tcPr>
            <w:tcW w:type="dxa" w:w="17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M2: Alpha version deployed</w:t>
            </w:r>
          </w:p>
        </w:tc>
        <w:tc>
          <w:tcPr>
            <w:tcW w:type="dxa" w:w="171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COMPASS-ESG Alpha Platform</w:t>
            </w:r>
          </w:p>
        </w:tc>
      </w:tr>
      <w:tr>
        <w:tc>
          <w:tcPr>
            <w:tcW w:type="dxa" w:w="12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M4–M8</w:t>
            </w:r>
          </w:p>
        </w:tc>
        <w:tc>
          <w:tcPr>
            <w:tcW w:type="dxa" w:w="22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WP3: Module Development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BRSR quality rubric development; labour law module build; financial ratio engine; 15 composite indicators; AI report engine</w:t>
            </w:r>
          </w:p>
        </w:tc>
        <w:tc>
          <w:tcPr>
            <w:tcW w:type="dxa" w:w="17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M3: All four modules integrated</w:t>
            </w:r>
          </w:p>
        </w:tc>
        <w:tc>
          <w:tcPr>
            <w:tcW w:type="dxa" w:w="171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Integrated Platform (Beta)</w:t>
            </w:r>
          </w:p>
        </w:tc>
      </w:tr>
      <w:tr>
        <w:tc>
          <w:tcPr>
            <w:tcW w:type="dxa" w:w="12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M6–M10</w:t>
            </w:r>
          </w:p>
        </w:tc>
        <w:tc>
          <w:tcPr>
            <w:tcW w:type="dxa" w:w="22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WP4: Benchmark Database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ESG benchmark data for 11 sectors; BRSR filing quality database (200 companies FY22–24); financial ratio sector norms</w:t>
            </w:r>
          </w:p>
        </w:tc>
        <w:tc>
          <w:tcPr>
            <w:tcW w:type="dxa" w:w="17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M4: Sector benchmarks operational</w:t>
            </w:r>
          </w:p>
        </w:tc>
        <w:tc>
          <w:tcPr>
            <w:tcW w:type="dxa" w:w="171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Benchmark Database</w:t>
            </w:r>
          </w:p>
        </w:tc>
      </w:tr>
      <w:tr>
        <w:tc>
          <w:tcPr>
            <w:tcW w:type="dxa" w:w="12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M9–M14</w:t>
            </w:r>
          </w:p>
        </w:tc>
        <w:tc>
          <w:tcPr>
            <w:tcW w:type="dxa" w:w="22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WP5: Pilot Deployment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200 listed companies pilot across 10 sectors; user onboarding; structured data collection; feedback analysis; gap refinement</w:t>
            </w:r>
          </w:p>
        </w:tc>
        <w:tc>
          <w:tcPr>
            <w:tcW w:type="dxa" w:w="17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M5: Pilot complete; dataset compiled</w:t>
            </w:r>
          </w:p>
        </w:tc>
        <w:tc>
          <w:tcPr>
            <w:tcW w:type="dxa" w:w="171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Pilot Dataset; User Report</w:t>
            </w:r>
          </w:p>
        </w:tc>
      </w:tr>
      <w:tr>
        <w:tc>
          <w:tcPr>
            <w:tcW w:type="dxa" w:w="12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M12–M18</w:t>
            </w:r>
          </w:p>
        </w:tc>
        <w:tc>
          <w:tcPr>
            <w:tcW w:type="dxa" w:w="22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WP6: Validation &amp; Publication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Statistical validation of ESG scores; BRSR quality correlation analysis; inter-rater reliability test; peer-review papers submitted</w:t>
            </w:r>
          </w:p>
        </w:tc>
        <w:tc>
          <w:tcPr>
            <w:tcW w:type="dxa" w:w="17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M6: Validation report submitted to SEBI</w:t>
            </w:r>
          </w:p>
        </w:tc>
        <w:tc>
          <w:tcPr>
            <w:tcW w:type="dxa" w:w="171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3 Research Papers; Validation Report</w:t>
            </w:r>
          </w:p>
        </w:tc>
      </w:tr>
      <w:tr>
        <w:tc>
          <w:tcPr>
            <w:tcW w:type="dxa" w:w="12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M16–M22</w:t>
            </w:r>
          </w:p>
        </w:tc>
        <w:tc>
          <w:tcPr>
            <w:tcW w:type="dxa" w:w="22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WP7: SEBI Presentation &amp; Policy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Present findings to SEBI Board; co-develop BRSR Quality Assessment Rubric; webinars for CS/CFO community; ICSI CPD sessions</w:t>
            </w:r>
          </w:p>
        </w:tc>
        <w:tc>
          <w:tcPr>
            <w:tcW w:type="dxa" w:w="17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M7: SEBI acknowledgement of BRSR rubric</w:t>
            </w:r>
          </w:p>
        </w:tc>
        <w:tc>
          <w:tcPr>
            <w:tcW w:type="dxa" w:w="171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BRSR Quality Methodology (SEBI)</w:t>
            </w:r>
          </w:p>
        </w:tc>
      </w:tr>
      <w:tr>
        <w:tc>
          <w:tcPr>
            <w:tcW w:type="dxa" w:w="12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M20–M24</w:t>
            </w:r>
          </w:p>
        </w:tc>
        <w:tc>
          <w:tcPr>
            <w:tcW w:type="dxa" w:w="22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WP8: Open Launch &amp; Handover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Public open-access deployment; user documentation; training videos; GitHub open-source; SEBI integration discussions</w:t>
            </w:r>
          </w:p>
        </w:tc>
        <w:tc>
          <w:tcPr>
            <w:tcW w:type="dxa" w:w="17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M8: Platform live for all Indian companies</w:t>
            </w:r>
          </w:p>
        </w:tc>
        <w:tc>
          <w:tcPr>
            <w:tcW w:type="dxa" w:w="171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Live Platform; Open-Source Code</w:t>
            </w:r>
          </w:p>
        </w:tc>
      </w:tr>
    </w:tbl>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57A8" w:sz="6"/>
              <w:left w:val="single" w:color="0057A8" w:sz="6"/>
              <w:bottom w:val="single" w:color="0057A8" w:sz="6"/>
              <w:right w:val="single" w:color="0057A8" w:sz="6"/>
            </w:tcBorders>
            <w:shd w:fill="FEF3C7" w:val="clear"/>
            <w:tcMar>
              <w:top w:type="dxa" w:w="130"/>
              <w:left w:type="dxa" w:w="220"/>
              <w:bottom w:type="dxa" w:w="130"/>
              <w:right w:type="dxa" w:w="220"/>
            </w:tcMar>
          </w:tcPr>
          <w:p>
            <w:pPr>
              <w:spacing w:after="0" w:before="0" w:line="320"/>
              <w:jc w:val="both"/>
            </w:pPr>
            <w:r>
              <w:rPr>
                <w:rFonts w:ascii="Arial" w:cs="Arial" w:eastAsia="Arial" w:hAnsi="Arial"/>
                <w:color w:val="7C3A00"/>
                <w:sz w:val="20"/>
                <w:szCs w:val="20"/>
              </w:rPr>
              <w:t xml:space="preserve">Critical Path: Platform Alpha (M6) → Pilot Completion (M14) → Validation Report (M18) → SEBI Presentation (M20) → Open Launch (M24). All milestones have built-in 4-week buffer for regulatory consultation delays.</w:t>
            </w:r>
          </w:p>
        </w:tc>
      </w:tr>
    </w:tbl>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G:  Detailed Budget Justification</w:t>
      </w:r>
    </w:p>
    <w:p>
      <w:pPr>
        <w:spacing w:after="80" w:before="0"/>
      </w:pPr>
      <w:r>
        <w:rPr>
          <w:rFonts w:ascii="Arial" w:cs="Arial" w:eastAsia="Arial" w:hAnsi="Arial"/>
          <w:color w:val="0F0F0F"/>
          <w:sz w:val="22"/>
          <w:szCs w:val="22"/>
        </w:rPr>
        <w:t xml:space="preserve"/>
      </w:r>
    </w:p>
    <w:p>
      <w:pPr>
        <w:spacing w:after="110" w:before="60" w:line="340"/>
        <w:jc w:val="both"/>
      </w:pPr>
      <w:r>
        <w:rPr>
          <w:rFonts w:ascii="Arial" w:cs="Arial" w:eastAsia="Arial" w:hAnsi="Arial"/>
          <w:color w:val="0F0F0F"/>
          <w:sz w:val="22"/>
          <w:szCs w:val="22"/>
        </w:rPr>
        <w:t xml:space="preserve">The total grant requested is ₹85,00,000 (Rupees Eighty-Five Lakhs) over 24 months. The budget is structured across six heads, each with detailed justification for SEBI's review.</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526"/>
        <w:gridCol w:w="1400"/>
        <w:gridCol w:w="3000"/>
      </w:tblGrid>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Budget Head</w:t>
            </w:r>
          </w:p>
        </w:tc>
        <w:tc>
          <w:tcPr>
            <w:tcW w:type="dxa" w:w="1526"/>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Year 1 (₹)</w:t>
            </w:r>
          </w:p>
        </w:tc>
        <w:tc>
          <w:tcPr>
            <w:tcW w:type="dxa" w:w="14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Year 2 (₹)</w:t>
            </w:r>
          </w:p>
        </w:tc>
        <w:tc>
          <w:tcPr>
            <w:tcW w:type="dxa" w:w="30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Justification</w:t>
            </w:r>
          </w:p>
        </w:tc>
      </w:tr>
      <w:tr>
        <w:tc>
          <w:tcPr>
            <w:tcW w:type="dxa" w:w="3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bCs/>
                <w:color w:val="374151"/>
                <w:sz w:val="20"/>
                <w:szCs w:val="20"/>
              </w:rPr>
              <w:t xml:space="preserve">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Personnel — Research &amp; Development Team</w:t>
            </w:r>
          </w:p>
        </w:tc>
        <w:tc>
          <w:tcPr>
            <w:tcW w:type="dxa" w:w="15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1A3A2A"/>
                <w:sz w:val="20"/>
                <w:szCs w:val="20"/>
              </w:rPr>
              <w:t xml:space="preserve">14,00,000</w:t>
            </w:r>
          </w:p>
        </w:tc>
        <w:tc>
          <w:tcPr>
            <w:tcW w:type="dxa" w:w="14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1A3A2A"/>
                <w:sz w:val="20"/>
                <w:szCs w:val="20"/>
              </w:rPr>
              <w:t xml:space="preserve">12,00,000</w:t>
            </w:r>
          </w:p>
        </w:tc>
        <w:tc>
          <w:tcPr>
            <w:tcW w:type="dxa" w:w="30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374151"/>
                <w:sz w:val="20"/>
                <w:szCs w:val="20"/>
              </w:rPr>
              <w:t xml:space="preserve">Project Manager (24 mo); 2 Research Associates (M.Com/MBA, 20 mo); Data Analyst (18 mo); Legal Research Assistant — Labour Law (16 mo)</w:t>
            </w:r>
          </w:p>
        </w:tc>
      </w:tr>
      <w:tr>
        <w:tc>
          <w:tcPr>
            <w:tcW w:type="dxa" w:w="3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bCs/>
                <w:color w:val="374151"/>
                <w:sz w:val="20"/>
                <w:szCs w:val="20"/>
              </w:rPr>
              <w:t xml:space="preserve">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Technology Infrastructure</w:t>
            </w:r>
          </w:p>
        </w:tc>
        <w:tc>
          <w:tcPr>
            <w:tcW w:type="dxa" w:w="15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1A3A2A"/>
                <w:sz w:val="20"/>
                <w:szCs w:val="20"/>
              </w:rPr>
              <w:t xml:space="preserve">10,00,000</w:t>
            </w:r>
          </w:p>
        </w:tc>
        <w:tc>
          <w:tcPr>
            <w:tcW w:type="dxa" w:w="14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1A3A2A"/>
                <w:sz w:val="20"/>
                <w:szCs w:val="20"/>
              </w:rPr>
              <w:t xml:space="preserve">6,00,000</w:t>
            </w:r>
          </w:p>
        </w:tc>
        <w:tc>
          <w:tcPr>
            <w:tcW w:type="dxa" w:w="30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374151"/>
                <w:sz w:val="20"/>
                <w:szCs w:val="20"/>
              </w:rPr>
              <w:t xml:space="preserve">Cloud hosting (AWS/Azure — 24 mo); domain &amp; SSL; CDN; database licenses; API access (financial data); GitHub Pro; security audit</w:t>
            </w:r>
          </w:p>
        </w:tc>
      </w:tr>
      <w:tr>
        <w:tc>
          <w:tcPr>
            <w:tcW w:type="dxa" w:w="3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bCs/>
                <w:color w:val="374151"/>
                <w:sz w:val="20"/>
                <w:szCs w:val="20"/>
              </w:rPr>
              <w:t xml:space="preserve">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Software Development &amp; Engineering</w:t>
            </w:r>
          </w:p>
        </w:tc>
        <w:tc>
          <w:tcPr>
            <w:tcW w:type="dxa" w:w="15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1A3A2A"/>
                <w:sz w:val="20"/>
                <w:szCs w:val="20"/>
              </w:rPr>
              <w:t xml:space="preserve">12,00,000</w:t>
            </w:r>
          </w:p>
        </w:tc>
        <w:tc>
          <w:tcPr>
            <w:tcW w:type="dxa" w:w="14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1A3A2A"/>
                <w:sz w:val="20"/>
                <w:szCs w:val="20"/>
              </w:rPr>
              <w:t xml:space="preserve">8,00,000</w:t>
            </w:r>
          </w:p>
        </w:tc>
        <w:tc>
          <w:tcPr>
            <w:tcW w:type="dxa" w:w="30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374151"/>
                <w:sz w:val="20"/>
                <w:szCs w:val="20"/>
              </w:rPr>
              <w:t xml:space="preserve">Full-stack developer (20 mo); UI/UX designer (12 mo); DevOps engineer (16 mo); quality assurance; mobile-responsive build; accessibility audit</w:t>
            </w:r>
          </w:p>
        </w:tc>
      </w:tr>
      <w:tr>
        <w:tc>
          <w:tcPr>
            <w:tcW w:type="dxa" w:w="3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bCs/>
                <w:color w:val="374151"/>
                <w:sz w:val="20"/>
                <w:szCs w:val="20"/>
              </w:rPr>
              <w:t xml:space="preserv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Data Acquisition &amp; Benchmark Building</w:t>
            </w:r>
          </w:p>
        </w:tc>
        <w:tc>
          <w:tcPr>
            <w:tcW w:type="dxa" w:w="15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1A3A2A"/>
                <w:sz w:val="20"/>
                <w:szCs w:val="20"/>
              </w:rPr>
              <w:t xml:space="preserve">6,00,000</w:t>
            </w:r>
          </w:p>
        </w:tc>
        <w:tc>
          <w:tcPr>
            <w:tcW w:type="dxa" w:w="14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1A3A2A"/>
                <w:sz w:val="20"/>
                <w:szCs w:val="20"/>
              </w:rPr>
              <w:t xml:space="preserve">4,00,000</w:t>
            </w:r>
          </w:p>
        </w:tc>
        <w:tc>
          <w:tcPr>
            <w:tcW w:type="dxa" w:w="30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374151"/>
                <w:sz w:val="20"/>
                <w:szCs w:val="20"/>
              </w:rPr>
              <w:t xml:space="preserve">ESG rating data (Sustainalytics sample for validation); BRSR filing analysis (200 companies); sector benchmark data; financial data (Capitaline/CMIE subscription for calibration)</w:t>
            </w:r>
          </w:p>
        </w:tc>
      </w:tr>
      <w:tr>
        <w:tc>
          <w:tcPr>
            <w:tcW w:type="dxa" w:w="3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bCs/>
                <w:color w:val="374151"/>
                <w:sz w:val="20"/>
                <w:szCs w:val="20"/>
              </w:rPr>
              <w:t xml:space="preserve">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Pilot Deployment &amp; Field Activities</w:t>
            </w:r>
          </w:p>
        </w:tc>
        <w:tc>
          <w:tcPr>
            <w:tcW w:type="dxa" w:w="15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1A3A2A"/>
                <w:sz w:val="20"/>
                <w:szCs w:val="20"/>
              </w:rPr>
              <w:t xml:space="preserve">3,00,000</w:t>
            </w:r>
          </w:p>
        </w:tc>
        <w:tc>
          <w:tcPr>
            <w:tcW w:type="dxa" w:w="14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1A3A2A"/>
                <w:sz w:val="20"/>
                <w:szCs w:val="20"/>
              </w:rPr>
              <w:t xml:space="preserve">3,00,000</w:t>
            </w:r>
          </w:p>
        </w:tc>
        <w:tc>
          <w:tcPr>
            <w:tcW w:type="dxa" w:w="30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374151"/>
                <w:sz w:val="20"/>
                <w:szCs w:val="20"/>
              </w:rPr>
              <w:t xml:space="preserve">Company liaison for pilot (200 companies); travel for in-person onboarding workshops (4 cities); stakeholder consultation with SEBI; ICSI/ICAI engagement workshops</w:t>
            </w:r>
          </w:p>
        </w:tc>
      </w:tr>
      <w:tr>
        <w:tc>
          <w:tcPr>
            <w:tcW w:type="dxa" w:w="3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bCs/>
                <w:color w:val="374151"/>
                <w:sz w:val="20"/>
                <w:szCs w:val="20"/>
              </w:rPr>
              <w:t xml:space="preserve">F</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Research, Publication &amp; Dissemination</w:t>
            </w:r>
          </w:p>
        </w:tc>
        <w:tc>
          <w:tcPr>
            <w:tcW w:type="dxa" w:w="15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1A3A2A"/>
                <w:sz w:val="20"/>
                <w:szCs w:val="20"/>
              </w:rPr>
              <w:t xml:space="preserve">2,00,000</w:t>
            </w:r>
          </w:p>
        </w:tc>
        <w:tc>
          <w:tcPr>
            <w:tcW w:type="dxa" w:w="14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1A3A2A"/>
                <w:sz w:val="20"/>
                <w:szCs w:val="20"/>
              </w:rPr>
              <w:t xml:space="preserve">2,00,000</w:t>
            </w:r>
          </w:p>
        </w:tc>
        <w:tc>
          <w:tcPr>
            <w:tcW w:type="dxa" w:w="30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374151"/>
                <w:sz w:val="20"/>
                <w:szCs w:val="20"/>
              </w:rPr>
              <w:t xml:space="preserve">Academic journal submission fees (3 papers); conference presentations; SEBI policy brief printing; training video production; webinar platform</w:t>
            </w:r>
          </w:p>
        </w:tc>
      </w:tr>
      <w:tr>
        <w:tc>
          <w:tcPr>
            <w:tcW w:type="dxa" w:w="3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center"/>
            </w:pPr>
            <w:r>
              <w:rPr>
                <w:rFonts w:ascii="Arial" w:cs="Arial" w:eastAsia="Arial" w:hAnsi="Arial"/>
                <w:b/>
                <w:bCs/>
                <w:color w:val="374151"/>
                <w:sz w:val="20"/>
                <w:szCs w:val="20"/>
              </w:rPr>
              <w:t xml:space="preserve">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Contingency (5% of total)</w:t>
            </w:r>
          </w:p>
        </w:tc>
        <w:tc>
          <w:tcPr>
            <w:tcW w:type="dxa" w:w="15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1A3A2A"/>
                <w:sz w:val="20"/>
                <w:szCs w:val="20"/>
              </w:rPr>
              <w:t xml:space="preserve">2,37,500</w:t>
            </w:r>
          </w:p>
        </w:tc>
        <w:tc>
          <w:tcPr>
            <w:tcW w:type="dxa" w:w="14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1A3A2A"/>
                <w:sz w:val="20"/>
                <w:szCs w:val="20"/>
              </w:rPr>
              <w:t xml:space="preserve">2,37,500</w:t>
            </w:r>
          </w:p>
        </w:tc>
        <w:tc>
          <w:tcPr>
            <w:tcW w:type="dxa" w:w="30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374151"/>
                <w:sz w:val="20"/>
                <w:szCs w:val="20"/>
              </w:rPr>
              <w:t xml:space="preserve">Regulatory changes requiring module redesign; unforeseen technology costs; additional legal review for Labour Codes notification updates</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
            </w:r>
          </w:p>
        </w:tc>
        <w:tc>
          <w:tcPr>
            <w:tcW w:type="dxa" w:w="28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TOTAL</w:t>
            </w:r>
          </w:p>
        </w:tc>
        <w:tc>
          <w:tcPr>
            <w:tcW w:type="dxa" w:w="1526"/>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right"/>
            </w:pPr>
            <w:r>
              <w:rPr>
                <w:rFonts w:ascii="Arial" w:cs="Arial" w:eastAsia="Arial" w:hAnsi="Arial"/>
                <w:b/>
                <w:bCs/>
                <w:color w:val="FFFFFF"/>
                <w:sz w:val="20"/>
                <w:szCs w:val="20"/>
              </w:rPr>
              <w:t xml:space="preserve">49,37,500</w:t>
            </w:r>
          </w:p>
        </w:tc>
        <w:tc>
          <w:tcPr>
            <w:tcW w:type="dxa" w:w="14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right"/>
            </w:pPr>
            <w:r>
              <w:rPr>
                <w:rFonts w:ascii="Arial" w:cs="Arial" w:eastAsia="Arial" w:hAnsi="Arial"/>
                <w:b/>
                <w:bCs/>
                <w:color w:val="FFFFFF"/>
                <w:sz w:val="20"/>
                <w:szCs w:val="20"/>
              </w:rPr>
              <w:t xml:space="preserve">37,37,500</w:t>
            </w:r>
          </w:p>
        </w:tc>
        <w:tc>
          <w:tcPr>
            <w:tcW w:type="dxa" w:w="30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Grand Total: ₹ 86,75,000 → Rounded to ₹ 85,00,000 with efficiency savings</w:t>
            </w:r>
          </w:p>
        </w:tc>
      </w:tr>
    </w:tbl>
    <w:p>
      <w:pPr>
        <w:spacing w:after="80" w:before="0"/>
      </w:pPr>
      <w:r>
        <w:rPr>
          <w:rFonts w:ascii="Arial" w:cs="Arial" w:eastAsia="Arial" w:hAnsi="Arial"/>
          <w:color w:val="0F0F0F"/>
          <w:sz w:val="22"/>
          <w:szCs w:val="22"/>
        </w:rPr>
        <w:t xml:space="preserve"/>
      </w:r>
    </w:p>
    <w:p>
      <w:pPr>
        <w:spacing w:after="110" w:before="60" w:line="340"/>
        <w:jc w:val="both"/>
      </w:pPr>
      <w:r>
        <w:rPr>
          <w:rFonts w:ascii="Arial" w:cs="Arial" w:eastAsia="Arial" w:hAnsi="Arial"/>
          <w:b/>
          <w:bCs/>
          <w:color w:val="0F0F0F"/>
          <w:sz w:val="22"/>
          <w:szCs w:val="22"/>
        </w:rPr>
        <w:t xml:space="preserve">Use of Grant Funds: </w:t>
      </w:r>
      <w:r>
        <w:rPr>
          <w:rFonts w:ascii="Arial" w:cs="Arial" w:eastAsia="Arial" w:hAnsi="Arial"/>
          <w:color w:val="374151"/>
          <w:sz w:val="22"/>
          <w:szCs w:val="22"/>
        </w:rPr>
        <w:t xml:space="preserve">100% of grant funds will be utilised exclusively for the COMPASS-ESG platform development, research, and dissemination as itemised above. No overhead or institutional charges are sought. The Principal Investigator's salary is not claimed from this grant, ensuring maximum research utilisation of SEBI's investment. All expenditure will be subject to standard audit procedures and reported quarterly to SEBI.</w:t>
      </w:r>
    </w:p>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H:  Expected Outcomes, Deliverables &amp; Impact</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H.1  Primary Deliverables to SEBI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800"/>
        <w:gridCol w:w="3026"/>
      </w:tblGrid>
      <w:tr>
        <w:tc>
          <w:tcPr>
            <w:tcW w:type="dxa" w:w="4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Deliverable</w:t>
            </w:r>
          </w:p>
        </w:tc>
        <w:tc>
          <w:tcPr>
            <w:tcW w:type="dxa" w:w="28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Format</w:t>
            </w:r>
          </w:p>
        </w:tc>
        <w:tc>
          <w:tcPr>
            <w:tcW w:type="dxa" w:w="3026"/>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Timeline</w:t>
            </w:r>
          </w:p>
        </w:tc>
      </w:tr>
      <w:tr>
        <w:tc>
          <w:tcPr>
            <w:tcW w:type="dxa" w:w="4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D1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COMPASS-ESG Platform — Live, open-access, freely accessible to all Indian listed companies</w:t>
            </w:r>
          </w:p>
        </w:tc>
        <w:tc>
          <w:tcPr>
            <w:tcW w:type="dxa" w:w="28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Web Application (browser-native, mobile-responsive)</w:t>
            </w:r>
          </w:p>
        </w:tc>
        <w:tc>
          <w:tcPr>
            <w:tcW w:type="dxa" w:w="30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bCs/>
                <w:color w:val="1A3A2A"/>
                <w:sz w:val="20"/>
                <w:szCs w:val="20"/>
              </w:rPr>
              <w:t xml:space="preserve">Month 24 (Open Launch)</w:t>
            </w:r>
          </w:p>
        </w:tc>
      </w:tr>
      <w:tr>
        <w:tc>
          <w:tcPr>
            <w:tcW w:type="dxa" w:w="4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D2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120-Parameter ESG Scoring Methodology with India-Calibrated Weights — Published open documentation</w:t>
            </w:r>
          </w:p>
        </w:tc>
        <w:tc>
          <w:tcPr>
            <w:tcW w:type="dxa" w:w="28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PDF Technical Report + Academic Journal Publication</w:t>
            </w:r>
          </w:p>
        </w:tc>
        <w:tc>
          <w:tcPr>
            <w:tcW w:type="dxa" w:w="30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bCs/>
                <w:color w:val="1A3A2A"/>
                <w:sz w:val="20"/>
                <w:szCs w:val="20"/>
              </w:rPr>
              <w:t xml:space="preserve">Month 18</w:t>
            </w:r>
          </w:p>
        </w:tc>
      </w:tr>
      <w:tr>
        <w:tc>
          <w:tcPr>
            <w:tcW w:type="dxa" w:w="4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D3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BRSR Quality Assessment Rubric — Co-developed with SEBI for potential adoption in SEBI's quality review process</w:t>
            </w:r>
          </w:p>
        </w:tc>
        <w:tc>
          <w:tcPr>
            <w:tcW w:type="dxa" w:w="28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PDF Rubric + SEBI Policy Brief</w:t>
            </w:r>
          </w:p>
        </w:tc>
        <w:tc>
          <w:tcPr>
            <w:tcW w:type="dxa" w:w="30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bCs/>
                <w:color w:val="1A3A2A"/>
                <w:sz w:val="20"/>
                <w:szCs w:val="20"/>
              </w:rPr>
              <w:t xml:space="preserve">Month 20</w:t>
            </w:r>
          </w:p>
        </w:tc>
      </w:tr>
      <w:tr>
        <w:tc>
          <w:tcPr>
            <w:tcW w:type="dxa" w:w="4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D4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Indian Labour Law Compliance Framework — 9-statute assessment module mapped to BRSR P3/P5 and ESG Social</w:t>
            </w:r>
          </w:p>
        </w:tc>
        <w:tc>
          <w:tcPr>
            <w:tcW w:type="dxa" w:w="28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Platform Module + Legal Reference Document</w:t>
            </w:r>
          </w:p>
        </w:tc>
        <w:tc>
          <w:tcPr>
            <w:tcW w:type="dxa" w:w="30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bCs/>
                <w:color w:val="1A3A2A"/>
                <w:sz w:val="20"/>
                <w:szCs w:val="20"/>
              </w:rPr>
              <w:t xml:space="preserve">Month 16</w:t>
            </w:r>
          </w:p>
        </w:tc>
      </w:tr>
      <w:tr>
        <w:tc>
          <w:tcPr>
            <w:tcW w:type="dxa" w:w="4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D5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Sector-Wise ESG &amp; BRSR Benchmark Dataset — 200 listed companies, 10 sectors, FY22–24</w:t>
            </w:r>
          </w:p>
        </w:tc>
        <w:tc>
          <w:tcPr>
            <w:tcW w:type="dxa" w:w="28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Database + Statistical Report to SEBI</w:t>
            </w:r>
          </w:p>
        </w:tc>
        <w:tc>
          <w:tcPr>
            <w:tcW w:type="dxa" w:w="30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bCs/>
                <w:color w:val="1A3A2A"/>
                <w:sz w:val="20"/>
                <w:szCs w:val="20"/>
              </w:rPr>
              <w:t xml:space="preserve">Month 15</w:t>
            </w:r>
          </w:p>
        </w:tc>
      </w:tr>
      <w:tr>
        <w:tc>
          <w:tcPr>
            <w:tcW w:type="dxa" w:w="4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D6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India's First Integrated Corporate Health Score — Combining financial ratios, ESG, BRSR, and labour compliance into one composite health score</w:t>
            </w:r>
          </w:p>
        </w:tc>
        <w:tc>
          <w:tcPr>
            <w:tcW w:type="dxa" w:w="28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Platform Feature + Methodology Document</w:t>
            </w:r>
          </w:p>
        </w:tc>
        <w:tc>
          <w:tcPr>
            <w:tcW w:type="dxa" w:w="30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bCs/>
                <w:color w:val="1A3A2A"/>
                <w:sz w:val="20"/>
                <w:szCs w:val="20"/>
              </w:rPr>
              <w:t xml:space="preserve">Month 18</w:t>
            </w:r>
          </w:p>
        </w:tc>
      </w:tr>
      <w:tr>
        <w:tc>
          <w:tcPr>
            <w:tcW w:type="dxa" w:w="4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D7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Three Peer-Reviewed Research Papers — Submitted to Scopus/ABDC-listed journals</w:t>
            </w:r>
          </w:p>
        </w:tc>
        <w:tc>
          <w:tcPr>
            <w:tcW w:type="dxa" w:w="28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Academic Publications</w:t>
            </w:r>
          </w:p>
        </w:tc>
        <w:tc>
          <w:tcPr>
            <w:tcW w:type="dxa" w:w="30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bCs/>
                <w:color w:val="1A3A2A"/>
                <w:sz w:val="20"/>
                <w:szCs w:val="20"/>
              </w:rPr>
              <w:t xml:space="preserve">Month 21–23</w:t>
            </w:r>
          </w:p>
        </w:tc>
      </w:tr>
      <w:tr>
        <w:tc>
          <w:tcPr>
            <w:tcW w:type="dxa" w:w="4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D8</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Capacity Building Programme — 10 webinars for Company Secretaries, CFOs, and Compliance Officers</w:t>
            </w:r>
          </w:p>
        </w:tc>
        <w:tc>
          <w:tcPr>
            <w:tcW w:type="dxa" w:w="2800"/>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Webinar Series + Training Materials</w:t>
            </w:r>
          </w:p>
        </w:tc>
        <w:tc>
          <w:tcPr>
            <w:tcW w:type="dxa" w:w="3026"/>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bCs/>
                <w:color w:val="1A3A2A"/>
                <w:sz w:val="20"/>
                <w:szCs w:val="20"/>
              </w:rPr>
              <w:t xml:space="preserve">Month 18–24</w:t>
            </w:r>
          </w:p>
        </w:tc>
      </w:tr>
    </w:tbl>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H.2  Strategic Impact for SEBI &amp; Indian Capital Markets</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6126"/>
      </w:tblGrid>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
            </w:r>
          </w:p>
        </w:tc>
        <w:tc>
          <w:tcPr>
            <w:tcW w:type="dxa" w:w="26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Impact Dimension</w:t>
            </w:r>
          </w:p>
        </w:tc>
        <w:tc>
          <w:tcPr>
            <w:tcW w:type="dxa" w:w="6126"/>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Specific Impact</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1</w:t>
            </w:r>
          </w:p>
        </w:tc>
        <w:tc>
          <w:tcPr>
            <w:tcW w:type="dxa" w:w="26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BRSR Quality Improvement</w:t>
            </w:r>
          </w:p>
        </w:tc>
        <w:tc>
          <w:tcPr>
            <w:tcW w:type="dxa" w:w="61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A standardised, rubric-anchored BRSR assessment platform will systematically raise disclosure quality across the top 1,000 listed companies — reducing the narrative/checkbox BRSR filings that currently predominate and enabling SEBI's quality reviewers to apply a consistent benchmarking methodology.</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2</w:t>
            </w:r>
          </w:p>
        </w:tc>
        <w:tc>
          <w:tcPr>
            <w:tcW w:type="dxa" w:w="26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ESG Market Credibility</w:t>
            </w:r>
          </w:p>
        </w:tc>
        <w:tc>
          <w:tcPr>
            <w:tcW w:type="dxa" w:w="61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India's ESG disclosure credibility with foreign portfolio investors, multilateral institutions, and global ESG rating agencies will improve as companies begin using a transparent, verifiable scoring methodology — reducing the discount applied to Indian companies by MSCI, Sustainalytics, and CDP due to disclosure gaps.</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3</w:t>
            </w:r>
          </w:p>
        </w:tc>
        <w:tc>
          <w:tcPr>
            <w:tcW w:type="dxa" w:w="26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Labour Law Compliance Visibility</w:t>
            </w:r>
          </w:p>
        </w:tc>
        <w:tc>
          <w:tcPr>
            <w:tcW w:type="dxa" w:w="61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By integrating nine labour statutes into the BRSR/ESG assessment framework, the platform creates regulatory visibility for labour compliance obligations that currently exist in administrative silos — supporting the Ministry of Labour's objectives under the Labour Codes while reinforcing SEBI's ESG disclosure standards.</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4</w:t>
            </w:r>
          </w:p>
        </w:tc>
        <w:tc>
          <w:tcPr>
            <w:tcW w:type="dxa" w:w="26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Green Finance Enablement</w:t>
            </w:r>
          </w:p>
        </w:tc>
        <w:tc>
          <w:tcPr>
            <w:tcW w:type="dxa" w:w="61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Accurate ESG scoring and BRSR compliance data are preconditions for green bond issuance, sustainability-linked loans, ESG index inclusion, and access to climate finance. COMPASS-ESG will lower the cost and complexity of these transactions for Indian companies, supporting SEBI's Green Bond Framework (2023).</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5</w:t>
            </w:r>
          </w:p>
        </w:tc>
        <w:tc>
          <w:tcPr>
            <w:tcW w:type="dxa" w:w="26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Investor Protection</w:t>
            </w:r>
          </w:p>
        </w:tc>
        <w:tc>
          <w:tcPr>
            <w:tcW w:type="dxa" w:w="61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The financial health analytics module (35 ratios + 15 composite indicators) provides retail and institutional investors with early warning signals on corporate distress, earnings manipulation (Beneish M-Score), and investment quality (Piotroski F-Score) — directly supporting SEBI's investor protection mandate.</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6</w:t>
            </w:r>
          </w:p>
        </w:tc>
        <w:tc>
          <w:tcPr>
            <w:tcW w:type="dxa" w:w="2600"/>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Public Digital Infrastructure</w:t>
            </w:r>
          </w:p>
        </w:tc>
        <w:tc>
          <w:tcPr>
            <w:tcW w:type="dxa" w:w="6126"/>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As a freely accessible, open-source platform endorsed by SEBI, COMPASS-ESG becomes a permanent piece of India's financial market regulatory infrastructure — analogous to the MCA21 portal for company filing or the SCORES platform for investor complaints, but for ESG compliance.</w:t>
            </w:r>
          </w:p>
        </w:tc>
      </w:tr>
    </w:tbl>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I:  Applicant Credentials &amp; Institutional Support</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I.1  Principal Investigator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2D6A4F" w:sz="6"/>
              <w:left w:val="single" w:color="2D6A4F" w:sz="6"/>
              <w:bottom w:val="single" w:color="2D6A4F" w:sz="6"/>
              <w:right w:val="single" w:color="2D6A4F" w:sz="6"/>
            </w:tcBorders>
            <w:shd w:fill="DCFCE7" w:val="clear"/>
            <w:tcMar>
              <w:top w:type="dxa" w:w="180"/>
              <w:left w:type="dxa" w:w="220"/>
              <w:bottom w:type="dxa" w:w="180"/>
              <w:right w:type="dxa" w:w="220"/>
            </w:tcMar>
          </w:tcPr>
          <w:p>
            <w:pPr>
              <w:spacing w:after="60" w:before="40"/>
              <w:jc w:val="left"/>
            </w:pPr>
            <w:r>
              <w:rPr>
                <w:rFonts w:ascii="Arial" w:cs="Arial" w:eastAsia="Arial" w:hAnsi="Arial"/>
                <w:b/>
                <w:bCs/>
                <w:color w:val="1A3A2A"/>
                <w:sz w:val="20"/>
                <w:szCs w:val="20"/>
              </w:rPr>
              <w:t xml:space="preserve">DR. DEBASIS PAHI</w:t>
            </w:r>
          </w:p>
          <w:p>
            <w:pPr>
              <w:spacing w:after="60" w:before="40"/>
              <w:jc w:val="left"/>
            </w:pPr>
            <w:r>
              <w:rPr>
                <w:rFonts w:ascii="Arial" w:cs="Arial" w:eastAsia="Arial" w:hAnsi="Arial"/>
                <w:color w:val="374151"/>
                <w:sz w:val="18"/>
                <w:szCs w:val="18"/>
              </w:rPr>
              <w:t xml:space="preserve">Principal Investigator</w:t>
            </w:r>
          </w:p>
          <w:p>
            <w:pPr>
              <w:spacing w:after="0" w:before="0"/>
            </w:pPr>
            <w:r>
              <w:rPr>
                <w:rFonts w:ascii="Arial" w:cs="Arial" w:eastAsia="Arial" w:hAnsi="Arial"/>
                <w:color w:val="0F0F0F"/>
                <w:sz w:val="22"/>
                <w:szCs w:val="22"/>
              </w:rPr>
              <w:t xml:space="preserve"/>
            </w:r>
          </w:p>
          <w:p>
            <w:pPr>
              <w:spacing w:after="60" w:before="40"/>
              <w:jc w:val="left"/>
            </w:pPr>
            <w:r>
              <w:rPr>
                <w:rFonts w:ascii="Arial" w:cs="Arial" w:eastAsia="Arial" w:hAnsi="Arial"/>
                <w:color w:val="374151"/>
                <w:sz w:val="19"/>
                <w:szCs w:val="19"/>
              </w:rPr>
              <w:t xml:space="preserve">• Academic Qualifications: M.Com | MBA | Ph.D. (Commerce)</w:t>
            </w:r>
          </w:p>
          <w:p>
            <w:pPr>
              <w:spacing w:after="60" w:before="40"/>
              <w:jc w:val="left"/>
            </w:pPr>
            <w:r>
              <w:rPr>
                <w:rFonts w:ascii="Arial" w:cs="Arial" w:eastAsia="Arial" w:hAnsi="Arial"/>
                <w:color w:val="374151"/>
                <w:sz w:val="19"/>
                <w:szCs w:val="19"/>
              </w:rPr>
              <w:t xml:space="preserve">• Position: Asst. Professor OES-I &amp; Head of Department</w:t>
            </w:r>
          </w:p>
          <w:p>
            <w:pPr>
              <w:spacing w:after="60" w:before="40"/>
              <w:jc w:val="left"/>
            </w:pPr>
            <w:r>
              <w:rPr>
                <w:rFonts w:ascii="Arial" w:cs="Arial" w:eastAsia="Arial" w:hAnsi="Arial"/>
                <w:color w:val="374151"/>
                <w:sz w:val="19"/>
                <w:szCs w:val="19"/>
              </w:rPr>
              <w:t xml:space="preserve">• Institution: Model Degree College, Malkangiri</w:t>
            </w:r>
          </w:p>
          <w:p>
            <w:pPr>
              <w:spacing w:after="60" w:before="40"/>
              <w:jc w:val="left"/>
            </w:pPr>
            <w:r>
              <w:rPr>
                <w:rFonts w:ascii="Arial" w:cs="Arial" w:eastAsia="Arial" w:hAnsi="Arial"/>
                <w:color w:val="374151"/>
                <w:sz w:val="19"/>
                <w:szCs w:val="19"/>
              </w:rPr>
              <w:t xml:space="preserve">• University: Vikram Dev University, Odisha</w:t>
            </w:r>
          </w:p>
          <w:p>
            <w:pPr>
              <w:spacing w:after="60" w:before="40"/>
              <w:jc w:val="left"/>
            </w:pPr>
            <w:r>
              <w:rPr>
                <w:rFonts w:ascii="Arial" w:cs="Arial" w:eastAsia="Arial" w:hAnsi="Arial"/>
                <w:color w:val="374151"/>
                <w:sz w:val="19"/>
                <w:szCs w:val="19"/>
              </w:rPr>
              <w:t xml:space="preserve">• Teaching Experience: 10+ years in Commerce &amp; Finance</w:t>
            </w:r>
          </w:p>
          <w:p>
            <w:pPr>
              <w:spacing w:after="60" w:before="40"/>
              <w:jc w:val="left"/>
            </w:pPr>
            <w:r>
              <w:rPr>
                <w:rFonts w:ascii="Arial" w:cs="Arial" w:eastAsia="Arial" w:hAnsi="Arial"/>
                <w:color w:val="374151"/>
                <w:sz w:val="19"/>
                <w:szCs w:val="19"/>
              </w:rPr>
              <w:t xml:space="preserve">• Specialisation: Financial Analytics, ESG, BRSR, Labour Law</w:t>
            </w:r>
          </w:p>
          <w:p>
            <w:pPr>
              <w:spacing w:after="60" w:before="40"/>
              <w:jc w:val="left"/>
            </w:pPr>
            <w:r>
              <w:rPr>
                <w:rFonts w:ascii="Arial" w:cs="Arial" w:eastAsia="Arial" w:hAnsi="Arial"/>
                <w:color w:val="374151"/>
                <w:sz w:val="19"/>
                <w:szCs w:val="19"/>
              </w:rPr>
              <w:t xml:space="preserve">• Research: Published in national &amp; international journals</w:t>
            </w:r>
          </w:p>
          <w:p>
            <w:pPr>
              <w:spacing w:after="60" w:before="40"/>
              <w:jc w:val="left"/>
            </w:pPr>
            <w:r>
              <w:rPr>
                <w:rFonts w:ascii="Arial" w:cs="Arial" w:eastAsia="Arial" w:hAnsi="Arial"/>
                <w:color w:val="374151"/>
                <w:sz w:val="19"/>
                <w:szCs w:val="19"/>
              </w:rPr>
              <w:t xml:space="preserve">• Platform: Developer of Company Health Dashboard (CHD)</w:t>
            </w:r>
          </w:p>
          <w:p>
            <w:pPr>
              <w:spacing w:after="60" w:before="40"/>
              <w:jc w:val="left"/>
            </w:pPr>
            <w:r>
              <w:rPr>
                <w:rFonts w:ascii="Arial" w:cs="Arial" w:eastAsia="Arial" w:hAnsi="Arial"/>
                <w:color w:val="374151"/>
                <w:sz w:val="19"/>
                <w:szCs w:val="19"/>
              </w:rPr>
              <w:t xml:space="preserve">• CHD Access: drdpklass.github.io (live prototype)</w:t>
            </w:r>
          </w:p>
          <w:p>
            <w:pPr>
              <w:spacing w:after="60" w:before="40"/>
              <w:jc w:val="left"/>
            </w:pPr>
            <w:r>
              <w:rPr>
                <w:rFonts w:ascii="Arial" w:cs="Arial" w:eastAsia="Arial" w:hAnsi="Arial"/>
                <w:color w:val="374151"/>
                <w:sz w:val="19"/>
                <w:szCs w:val="19"/>
              </w:rPr>
              <w:t xml:space="preserve">• Presentations: National seminars &amp; faculty development programs</w:t>
            </w:r>
          </w:p>
          <w:p>
            <w:pPr>
              <w:spacing w:after="60" w:before="40"/>
              <w:jc w:val="left"/>
            </w:pPr>
            <w:r>
              <w:rPr>
                <w:rFonts w:ascii="Arial" w:cs="Arial" w:eastAsia="Arial" w:hAnsi="Arial"/>
                <w:color w:val="374151"/>
                <w:sz w:val="19"/>
                <w:szCs w:val="19"/>
              </w:rPr>
              <w:t xml:space="preserve">• Training: Corporate &amp; academic workshops conducted</w:t>
            </w:r>
          </w:p>
          <w:p>
            <w:pPr>
              <w:spacing w:after="60" w:before="40"/>
              <w:jc w:val="left"/>
            </w:pPr>
            <w:r>
              <w:rPr>
                <w:rFonts w:ascii="Arial" w:cs="Arial" w:eastAsia="Arial" w:hAnsi="Arial"/>
                <w:color w:val="374151"/>
                <w:sz w:val="19"/>
                <w:szCs w:val="19"/>
              </w:rPr>
              <w:t xml:space="preserve">• Networks: ICAI, ICSI, AICTE faculty programs</w:t>
            </w:r>
          </w:p>
        </w:tc>
        <w:tc>
          <w:tcPr>
            <w:tcW w:type="dxa" w:w="4626"/>
            <w:tcBorders>
              <w:top w:val="single" w:color="CCCCCC" w:sz="4"/>
              <w:left w:val="single" w:color="CCCCCC" w:sz="4"/>
              <w:bottom w:val="single" w:color="CCCCCC" w:sz="4"/>
              <w:right w:val="single" w:color="CCCCCC" w:sz="4"/>
            </w:tcBorders>
            <w:shd w:fill="F5F4F0" w:val="clear"/>
            <w:tcMar>
              <w:top w:type="dxa" w:w="180"/>
              <w:left w:type="dxa" w:w="200"/>
              <w:bottom w:type="dxa" w:w="180"/>
              <w:right w:type="dxa" w:w="200"/>
            </w:tcMar>
          </w:tcPr>
          <w:p>
            <w:pPr>
              <w:spacing w:after="60" w:before="40"/>
              <w:jc w:val="left"/>
            </w:pPr>
            <w:r>
              <w:rPr>
                <w:rFonts w:ascii="Arial" w:cs="Arial" w:eastAsia="Arial" w:hAnsi="Arial"/>
                <w:b/>
                <w:bCs/>
                <w:color w:val="003366"/>
                <w:sz w:val="18"/>
                <w:szCs w:val="18"/>
              </w:rPr>
              <w:t xml:space="preserve">PROTOTYPE PLATFORM — LIVE EVIDENCE</w:t>
            </w:r>
          </w:p>
          <w:p>
            <w:pPr>
              <w:spacing w:after="0" w:before="0"/>
            </w:pPr>
            <w:r>
              <w:rPr>
                <w:rFonts w:ascii="Arial" w:cs="Arial" w:eastAsia="Arial" w:hAnsi="Arial"/>
                <w:color w:val="0F0F0F"/>
                <w:sz w:val="22"/>
                <w:szCs w:val="22"/>
              </w:rPr>
              <w:t xml:space="preserve"/>
            </w:r>
          </w:p>
          <w:p>
            <w:pPr>
              <w:spacing w:after="110" w:before="60" w:line="340"/>
              <w:jc w:val="both"/>
            </w:pPr>
            <w:r>
              <w:rPr>
                <w:rFonts w:ascii="Arial" w:cs="Arial" w:eastAsia="Arial" w:hAnsi="Arial"/>
                <w:color w:val="374151"/>
                <w:sz w:val="20"/>
                <w:szCs w:val="20"/>
              </w:rPr>
              <w:t xml:space="preserve">The Company Health Dashboard (CHD) at drdpklass.github.io is a working prototype of COMPASS-ESG, demonstrating the Principal Investigator's technical and methodological capability. The prototype already includes:</w:t>
            </w:r>
          </w:p>
          <w:p>
            <w:pPr>
              <w:spacing w:after="0" w:before="0"/>
            </w:pPr>
            <w:r>
              <w:rPr>
                <w:rFonts w:ascii="Arial" w:cs="Arial" w:eastAsia="Arial" w:hAnsi="Arial"/>
                <w:color w:val="0F0F0F"/>
                <w:sz w:val="22"/>
                <w:szCs w:val="22"/>
              </w:rPr>
              <w:t xml:space="preserve"/>
            </w:r>
          </w:p>
          <w:p>
            <w:pPr>
              <w:spacing w:after="60" w:before="40"/>
              <w:jc w:val="left"/>
            </w:pPr>
            <w:r>
              <w:rPr>
                <w:rFonts w:ascii="Arial" w:cs="Arial" w:eastAsia="Arial" w:hAnsi="Arial"/>
                <w:b w:val="false"/>
                <w:bCs w:val="false"/>
                <w:color w:val="1A3A2A"/>
                <w:sz w:val="20"/>
                <w:szCs w:val="20"/>
              </w:rPr>
              <w:t xml:space="preserve">✓ 35 financial ratios fully computed</w:t>
            </w:r>
          </w:p>
          <w:p>
            <w:pPr>
              <w:spacing w:after="60" w:before="40"/>
              <w:jc w:val="left"/>
            </w:pPr>
            <w:r>
              <w:rPr>
                <w:rFonts w:ascii="Arial" w:cs="Arial" w:eastAsia="Arial" w:hAnsi="Arial"/>
                <w:b w:val="false"/>
                <w:bCs w:val="false"/>
                <w:color w:val="1A3A2A"/>
                <w:sz w:val="20"/>
                <w:szCs w:val="20"/>
              </w:rPr>
              <w:t xml:space="preserve">✓ 15 composite indicators (Altman, Piotroski, Beneish, etc.)</w:t>
            </w:r>
          </w:p>
          <w:p>
            <w:pPr>
              <w:spacing w:after="60" w:before="40"/>
              <w:jc w:val="left"/>
            </w:pPr>
            <w:r>
              <w:rPr>
                <w:rFonts w:ascii="Arial" w:cs="Arial" w:eastAsia="Arial" w:hAnsi="Arial"/>
                <w:b w:val="false"/>
                <w:bCs w:val="false"/>
                <w:color w:val="1A3A2A"/>
                <w:sz w:val="20"/>
                <w:szCs w:val="20"/>
              </w:rPr>
              <w:t xml:space="preserve">✓ 120-parameter ESG scoring engine with 5-band rubrics</w:t>
            </w:r>
          </w:p>
          <w:p>
            <w:pPr>
              <w:spacing w:after="60" w:before="40"/>
              <w:jc w:val="left"/>
            </w:pPr>
            <w:r>
              <w:rPr>
                <w:rFonts w:ascii="Arial" w:cs="Arial" w:eastAsia="Arial" w:hAnsi="Arial"/>
                <w:b w:val="false"/>
                <w:bCs w:val="false"/>
                <w:color w:val="1A3A2A"/>
                <w:sz w:val="20"/>
                <w:szCs w:val="20"/>
              </w:rPr>
              <w:t xml:space="preserve">✓ 54-indicator BRSR checklist — all 9 NVG principles</w:t>
            </w:r>
          </w:p>
          <w:p>
            <w:pPr>
              <w:spacing w:after="60" w:before="40"/>
              <w:jc w:val="left"/>
            </w:pPr>
            <w:r>
              <w:rPr>
                <w:rFonts w:ascii="Arial" w:cs="Arial" w:eastAsia="Arial" w:hAnsi="Arial"/>
                <w:b w:val="false"/>
                <w:bCs w:val="false"/>
                <w:color w:val="1A3A2A"/>
                <w:sz w:val="20"/>
                <w:szCs w:val="20"/>
              </w:rPr>
              <w:t xml:space="preserve">✓ Labour law compliance parameters integrated</w:t>
            </w:r>
          </w:p>
          <w:p>
            <w:pPr>
              <w:spacing w:after="60" w:before="40"/>
              <w:jc w:val="left"/>
            </w:pPr>
            <w:r>
              <w:rPr>
                <w:rFonts w:ascii="Arial" w:cs="Arial" w:eastAsia="Arial" w:hAnsi="Arial"/>
                <w:b w:val="false"/>
                <w:bCs w:val="false"/>
                <w:color w:val="1A3A2A"/>
                <w:sz w:val="20"/>
                <w:szCs w:val="20"/>
              </w:rPr>
              <w:t xml:space="preserve">✓ AI-assisted analyst report generation</w:t>
            </w:r>
          </w:p>
          <w:p>
            <w:pPr>
              <w:spacing w:after="60" w:before="40"/>
              <w:jc w:val="left"/>
            </w:pPr>
            <w:r>
              <w:rPr>
                <w:rFonts w:ascii="Arial" w:cs="Arial" w:eastAsia="Arial" w:hAnsi="Arial"/>
                <w:b w:val="false"/>
                <w:bCs w:val="false"/>
                <w:color w:val="1A3A2A"/>
                <w:sz w:val="20"/>
                <w:szCs w:val="20"/>
              </w:rPr>
              <w:t xml:space="preserve">✓ Live market data integration (API)</w:t>
            </w:r>
          </w:p>
          <w:p>
            <w:pPr>
              <w:spacing w:after="60" w:before="40"/>
              <w:jc w:val="left"/>
            </w:pPr>
            <w:r>
              <w:rPr>
                <w:rFonts w:ascii="Arial" w:cs="Arial" w:eastAsia="Arial" w:hAnsi="Arial"/>
                <w:b w:val="false"/>
                <w:bCs w:val="false"/>
                <w:color w:val="1A3A2A"/>
                <w:sz w:val="20"/>
                <w:szCs w:val="20"/>
              </w:rPr>
              <w:t xml:space="preserve">✓ Interactive quiz &amp; leaderboard for training</w:t>
            </w:r>
          </w:p>
          <w:p>
            <w:pPr>
              <w:spacing w:after="60" w:before="40"/>
              <w:jc w:val="left"/>
            </w:pPr>
            <w:r>
              <w:rPr>
                <w:rFonts w:ascii="Arial" w:cs="Arial" w:eastAsia="Arial" w:hAnsi="Arial"/>
                <w:b w:val="false"/>
                <w:bCs w:val="false"/>
                <w:color w:val="1A3A2A"/>
                <w:sz w:val="20"/>
                <w:szCs w:val="20"/>
              </w:rPr>
              <w:t xml:space="preserve">✓ Deployed as open-access GitHub Pages app</w:t>
            </w:r>
          </w:p>
          <w:p>
            <w:pPr>
              <w:spacing w:after="60" w:before="40"/>
              <w:jc w:val="left"/>
            </w:pPr>
            <w:r>
              <w:rPr>
                <w:rFonts w:ascii="Arial" w:cs="Arial" w:eastAsia="Arial" w:hAnsi="Arial"/>
                <w:b w:val="false"/>
                <w:bCs w:val="false"/>
                <w:color w:val="1A3A2A"/>
                <w:sz w:val="20"/>
                <w:szCs w:val="20"/>
              </w:rPr>
              <w:t xml:space="preserve">✓ No login, no subscription, zero cost to users</w:t>
            </w:r>
          </w:p>
        </w:tc>
      </w:tr>
    </w:tbl>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I.2  Collaborating Experts</w:t>
      </w:r>
    </w:p>
    <w:p>
      <w:pPr>
        <w:spacing w:after="110" w:before="60" w:line="340"/>
        <w:jc w:val="both"/>
      </w:pPr>
      <w:r>
        <w:rPr>
          <w:rFonts w:ascii="Arial" w:cs="Arial" w:eastAsia="Arial" w:hAnsi="Arial"/>
          <w:color w:val="0F0F0F"/>
          <w:sz w:val="22"/>
          <w:szCs w:val="22"/>
        </w:rPr>
        <w:t xml:space="preserve">The project will engage the following domain experts as paid consultants (budgeted under Personnel and Field Activities):</w:t>
      </w:r>
    </w:p>
    <w:p>
      <w:pPr>
        <w:pStyle w:val="ListParagraph"/>
        <w:numPr>
          <w:ilvl w:val="0"/>
          <w:numId w:val="2"/>
        </w:numPr>
        <w:spacing w:after="40" w:before="40"/>
      </w:pPr>
      <w:r>
        <w:rPr>
          <w:rFonts w:ascii="Arial" w:cs="Arial" w:eastAsia="Arial" w:hAnsi="Arial"/>
          <w:color w:val="0F0F0F"/>
          <w:sz w:val="22"/>
          <w:szCs w:val="22"/>
        </w:rPr>
        <w:t xml:space="preserve">Chartered Accountants (2): Financial ratio validation, Ind AS compliance review, BRSR financial KPI alignment</w:t>
      </w:r>
    </w:p>
    <w:p>
      <w:pPr>
        <w:pStyle w:val="ListParagraph"/>
        <w:numPr>
          <w:ilvl w:val="0"/>
          <w:numId w:val="2"/>
        </w:numPr>
        <w:spacing w:after="40" w:before="40"/>
      </w:pPr>
      <w:r>
        <w:rPr>
          <w:rFonts w:ascii="Arial" w:cs="Arial" w:eastAsia="Arial" w:hAnsi="Arial"/>
          <w:color w:val="0F0F0F"/>
          <w:sz w:val="22"/>
          <w:szCs w:val="22"/>
        </w:rPr>
        <w:t xml:space="preserve">Company Secretaries (2): BRSR filing process expertise, SEBI LODR compliance, secretarial audit standards</w:t>
      </w:r>
    </w:p>
    <w:p>
      <w:pPr>
        <w:pStyle w:val="ListParagraph"/>
        <w:numPr>
          <w:ilvl w:val="0"/>
          <w:numId w:val="2"/>
        </w:numPr>
        <w:spacing w:after="40" w:before="40"/>
      </w:pPr>
      <w:r>
        <w:rPr>
          <w:rFonts w:ascii="Arial" w:cs="Arial" w:eastAsia="Arial" w:hAnsi="Arial"/>
          <w:color w:val="0F0F0F"/>
          <w:sz w:val="22"/>
          <w:szCs w:val="22"/>
        </w:rPr>
        <w:t xml:space="preserve">Labour Law Advocates (2): National practice; legal opinion on nine-statute compliance framework; Labour Code update monitoring</w:t>
      </w:r>
    </w:p>
    <w:p>
      <w:pPr>
        <w:pStyle w:val="ListParagraph"/>
        <w:numPr>
          <w:ilvl w:val="0"/>
          <w:numId w:val="2"/>
        </w:numPr>
        <w:spacing w:after="40" w:before="40"/>
      </w:pPr>
      <w:r>
        <w:rPr>
          <w:rFonts w:ascii="Arial" w:cs="Arial" w:eastAsia="Arial" w:hAnsi="Arial"/>
          <w:color w:val="0F0F0F"/>
          <w:sz w:val="22"/>
          <w:szCs w:val="22"/>
        </w:rPr>
        <w:t xml:space="preserve">ESG Data Specialists (1): GRI Standards alignment, CDP methodology, TCFD scenario analysis framework</w:t>
      </w:r>
    </w:p>
    <w:p>
      <w:pPr>
        <w:pStyle w:val="ListParagraph"/>
        <w:numPr>
          <w:ilvl w:val="0"/>
          <w:numId w:val="2"/>
        </w:numPr>
        <w:spacing w:after="40" w:before="40"/>
      </w:pPr>
      <w:r>
        <w:rPr>
          <w:rFonts w:ascii="Arial" w:cs="Arial" w:eastAsia="Arial" w:hAnsi="Arial"/>
          <w:color w:val="0F0F0F"/>
          <w:sz w:val="22"/>
          <w:szCs w:val="22"/>
        </w:rPr>
        <w:t xml:space="preserve">IT Architect (1): Cloud infrastructure, API security, scalability design, VAPT (Vulnerability Assessment &amp; Penetration Testing)</w:t>
      </w:r>
    </w:p>
    <w:p>
      <w:pPr>
        <w:pStyle w:val="ListParagraph"/>
        <w:numPr>
          <w:ilvl w:val="0"/>
          <w:numId w:val="2"/>
        </w:numPr>
        <w:spacing w:after="40" w:before="40"/>
      </w:pPr>
      <w:r>
        <w:rPr>
          <w:rFonts w:ascii="Arial" w:cs="Arial" w:eastAsia="Arial" w:hAnsi="Arial"/>
          <w:color w:val="0F0F0F"/>
          <w:sz w:val="22"/>
          <w:szCs w:val="22"/>
        </w:rPr>
        <w:t xml:space="preserve">Statistical Consultant (1): ESG weight calibration regression analysis, inter-rater reliability, validation methodology</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I.3  Institutional Support</w:t>
      </w:r>
    </w:p>
    <w:p>
      <w:pPr>
        <w:spacing w:after="110" w:before="60" w:line="340"/>
        <w:jc w:val="both"/>
      </w:pPr>
      <w:r>
        <w:rPr>
          <w:rFonts w:ascii="Arial" w:cs="Arial" w:eastAsia="Arial" w:hAnsi="Arial"/>
          <w:color w:val="0F0F0F"/>
          <w:sz w:val="22"/>
          <w:szCs w:val="22"/>
        </w:rPr>
        <w:t xml:space="preserve">Model Degree College, Malkangiri, and Vikram Dev University, Odisha, provide institutional support including: access to research computing facilities; library resources; administrative support for grant management; and institutional endorsement for SEBI engagement. A formal institutional support letter will be enclosed with the submission.</w:t>
      </w:r>
    </w:p>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J:  Alignment with SEBI's Strategic Objectives</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57A8" w:sz="6"/>
              <w:left w:val="single" w:color="0057A8" w:sz="6"/>
              <w:bottom w:val="single" w:color="0057A8" w:sz="6"/>
              <w:right w:val="single" w:color="0057A8" w:sz="6"/>
            </w:tcBorders>
            <w:shd w:fill="DBEAFE" w:val="clear"/>
            <w:tcMar>
              <w:top w:type="dxa" w:w="130"/>
              <w:left w:type="dxa" w:w="220"/>
              <w:bottom w:type="dxa" w:w="130"/>
              <w:right w:type="dxa" w:w="220"/>
            </w:tcMar>
          </w:tcPr>
          <w:p>
            <w:pPr>
              <w:spacing w:after="0" w:before="0" w:line="320"/>
              <w:jc w:val="both"/>
            </w:pPr>
            <w:r>
              <w:rPr>
                <w:rFonts w:ascii="Arial" w:cs="Arial" w:eastAsia="Arial" w:hAnsi="Arial"/>
                <w:color w:val="003366"/>
                <w:sz w:val="20"/>
                <w:szCs w:val="20"/>
              </w:rPr>
              <w:t xml:space="preserve">Every objective of COMPASS-ESG maps directly to SEBI's core statutory mandates and strategic priorities. This section provides explicit regulatory alignment to demonstrate that this grant serves SEBI's institutional mission, not merely the applicant's research interests.</w:t>
            </w:r>
          </w:p>
        </w:tc>
      </w:tr>
    </w:tbl>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COMPASS-ESG Feature</w:t>
            </w:r>
          </w:p>
        </w:tc>
        <w:tc>
          <w:tcPr>
            <w:tcW w:type="dxa" w:w="2913"/>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SEBI Strategic Priority</w:t>
            </w:r>
          </w:p>
        </w:tc>
        <w:tc>
          <w:tcPr>
            <w:tcW w:type="dxa" w:w="2913"/>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Specific Regulatory Basis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120-parameter ESG Scoring with open rubrics</w:t>
            </w:r>
          </w:p>
        </w:tc>
        <w:tc>
          <w:tcPr>
            <w:tcW w:type="dxa" w:w="2913"/>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Improving quality and comparability of ESG disclosures</w:t>
            </w:r>
          </w:p>
        </w:tc>
        <w:tc>
          <w:tcPr>
            <w:tcW w:type="dxa" w:w="29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 Consultation Paper on ESG Rating Providers (2022); SEBI Circular on ESG Disclosures (2023)</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54-indicator BRSR Compliance Assessment</w:t>
            </w:r>
          </w:p>
        </w:tc>
        <w:tc>
          <w:tcPr>
            <w:tcW w:type="dxa" w:w="2913"/>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Strengthening mandatory sustainability reporting for listed companies</w:t>
            </w:r>
          </w:p>
        </w:tc>
        <w:tc>
          <w:tcPr>
            <w:tcW w:type="dxa" w:w="29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 LODR (Amendment) 2021; BRSR Core (2023) for top 250 companies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Labour Law (POSH, EPF, Child Labour) Integration</w:t>
            </w:r>
          </w:p>
        </w:tc>
        <w:tc>
          <w:tcPr>
            <w:tcW w:type="dxa" w:w="2913"/>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Protecting employee rights; strengthening social governance disclosures</w:t>
            </w:r>
          </w:p>
        </w:tc>
        <w:tc>
          <w:tcPr>
            <w:tcW w:type="dxa" w:w="29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BRSR P3 &amp; P5; SEBI's ESG framework's Social pillar alignment with ILO Core Conventions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Altman Z, Beneish M, Piotroski F, Sloan Accruals</w:t>
            </w:r>
          </w:p>
        </w:tc>
        <w:tc>
          <w:tcPr>
            <w:tcW w:type="dxa" w:w="2913"/>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Investor protection through early warning of distress and manipulation</w:t>
            </w:r>
          </w:p>
        </w:tc>
        <w:tc>
          <w:tcPr>
            <w:tcW w:type="dxa" w:w="29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 Act S.11: Protecting investor interests; SEBI (PFUTP) Regulations 2003</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Sector-benchmarked ESG dataset (200 companies)</w:t>
            </w:r>
          </w:p>
        </w:tc>
        <w:tc>
          <w:tcPr>
            <w:tcW w:type="dxa" w:w="2913"/>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Building India's ESG data infrastructure for regulation and research</w:t>
            </w:r>
          </w:p>
        </w:tc>
        <w:tc>
          <w:tcPr>
            <w:tcW w:type="dxa" w:w="29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 Technical Advisory Committee recommendations on ESG data standardisation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Open-access, zero-cost platform</w:t>
            </w:r>
          </w:p>
        </w:tc>
        <w:tc>
          <w:tcPr>
            <w:tcW w:type="dxa" w:w="2913"/>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Democratising compliance tools for all 7,500+ listed companies</w:t>
            </w:r>
          </w:p>
        </w:tc>
        <w:tc>
          <w:tcPr>
            <w:tcW w:type="dxa" w:w="29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SEBI's stated objective of levelling the playing field for mid/small-cap companies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BRSR Quality Rubric — Co-developed with SEBI</w:t>
            </w:r>
          </w:p>
        </w:tc>
        <w:tc>
          <w:tcPr>
            <w:tcW w:type="dxa" w:w="2913"/>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Enabling consistent SEBI quality review of BRSR filings</w:t>
            </w:r>
          </w:p>
        </w:tc>
        <w:tc>
          <w:tcPr>
            <w:tcW w:type="dxa" w:w="29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 BRSR Quality Review reports (2023, 2024) — need for standardised assessment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AI-generated integrated corporate report</w:t>
            </w:r>
          </w:p>
        </w:tc>
        <w:tc>
          <w:tcPr>
            <w:tcW w:type="dxa" w:w="2913"/>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Advancing integrated financial + ESG + governance reporting</w:t>
            </w:r>
          </w:p>
        </w:tc>
        <w:tc>
          <w:tcPr>
            <w:tcW w:type="dxa" w:w="29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SEBI's encouragement of Integrated Reporting (IR Framework) for listed companies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Financial ratio analysis (35 ratios, live data)</w:t>
            </w:r>
          </w:p>
        </w:tc>
        <w:tc>
          <w:tcPr>
            <w:tcW w:type="dxa" w:w="2913"/>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Supporting informed investment decisions by retail investors</w:t>
            </w:r>
          </w:p>
        </w:tc>
        <w:tc>
          <w:tcPr>
            <w:tcW w:type="dxa" w:w="29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 Investor Education &amp; Protection Fund (IEPF) objectives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Green Bond / Sustainability-Linked Loan readiness assessment</w:t>
            </w:r>
          </w:p>
        </w:tc>
        <w:tc>
          <w:tcPr>
            <w:tcW w:type="dxa" w:w="2913"/>
            <w:tcBorders>
              <w:top w:val="single" w:color="CCCCCC" w:sz="4"/>
              <w:left w:val="single" w:color="CCCCCC" w:sz="4"/>
              <w:bottom w:val="single" w:color="CCCCCC" w:sz="4"/>
              <w:right w:val="single" w:color="CCCCCC" w:sz="4"/>
            </w:tcBorders>
            <w:shd w:fill="DBEAFE" w:val="clear"/>
            <w:tcMar>
              <w:top w:type="dxa" w:w="80"/>
              <w:left w:type="dxa" w:w="130"/>
              <w:bottom w:type="dxa" w:w="80"/>
              <w:right w:type="dxa" w:w="130"/>
            </w:tcMar>
            <w:vAlign w:val="center"/>
          </w:tcPr>
          <w:p>
            <w:pPr>
              <w:spacing w:after="0" w:before="0"/>
              <w:jc w:val="left"/>
            </w:pPr>
            <w:r>
              <w:rPr>
                <w:rFonts w:ascii="Arial" w:cs="Arial" w:eastAsia="Arial" w:hAnsi="Arial"/>
                <w:b/>
                <w:bCs/>
                <w:color w:val="1E3A5F"/>
                <w:sz w:val="20"/>
                <w:szCs w:val="20"/>
              </w:rPr>
              <w:t xml:space="preserve">Supporting India's green finance ecosystem</w:t>
            </w:r>
          </w:p>
        </w:tc>
        <w:tc>
          <w:tcPr>
            <w:tcW w:type="dxa" w:w="291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SEBI Green Bond Framework (2023); RBI Sustainable Finance Directions</w:t>
            </w:r>
          </w:p>
        </w:tc>
      </w:tr>
    </w:tbl>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K:  Risk Assessment &amp; Mitigation</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1400"/>
        <w:gridCol w:w="2463"/>
        <w:gridCol w:w="2663"/>
      </w:tblGrid>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w:t>
            </w:r>
          </w:p>
        </w:tc>
        <w:tc>
          <w:tcPr>
            <w:tcW w:type="dxa" w:w="22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Risk</w:t>
            </w:r>
          </w:p>
        </w:tc>
        <w:tc>
          <w:tcPr>
            <w:tcW w:type="dxa" w:w="14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Likelihood</w:t>
            </w:r>
          </w:p>
        </w:tc>
        <w:tc>
          <w:tcPr>
            <w:tcW w:type="dxa" w:w="2463"/>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Impact</w:t>
            </w:r>
          </w:p>
        </w:tc>
        <w:tc>
          <w:tcPr>
            <w:tcW w:type="dxa" w:w="2663"/>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0"/>
                <w:szCs w:val="20"/>
              </w:rPr>
              <w:t xml:space="preserve">Mitigation Strategy</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Labour Codes notified mid-project, requiring module redesign</w:t>
            </w:r>
          </w:p>
        </w:tc>
        <w:tc>
          <w:tcPr>
            <w:tcW w:type="dxa" w:w="14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spacing w:after="0" w:before="0"/>
              <w:jc w:val="center"/>
            </w:pPr>
            <w:r>
              <w:rPr>
                <w:rFonts w:ascii="Arial" w:cs="Arial" w:eastAsia="Arial" w:hAnsi="Arial"/>
                <w:b/>
                <w:bCs/>
                <w:color w:val="7C3A00"/>
                <w:sz w:val="20"/>
                <w:szCs w:val="20"/>
              </w:rPr>
              <w:t xml:space="preserve">Medium</w:t>
            </w:r>
          </w:p>
        </w:tc>
        <w:tc>
          <w:tcPr>
            <w:tcW w:type="dxa" w:w="246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Module requires significant legal update</w:t>
            </w:r>
          </w:p>
        </w:tc>
        <w:tc>
          <w:tcPr>
            <w:tcW w:type="dxa" w:w="266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Annual legal review cycle built into budget (5% contingency); modular architecture enables rapid updates</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Companies reluctant to participate in pilot</w:t>
            </w:r>
          </w:p>
        </w:tc>
        <w:tc>
          <w:tcPr>
            <w:tcW w:type="dxa" w:w="14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spacing w:after="0" w:before="0"/>
              <w:jc w:val="center"/>
            </w:pPr>
            <w:r>
              <w:rPr>
                <w:rFonts w:ascii="Arial" w:cs="Arial" w:eastAsia="Arial" w:hAnsi="Arial"/>
                <w:b/>
                <w:bCs/>
                <w:color w:val="7C3A00"/>
                <w:sz w:val="20"/>
                <w:szCs w:val="20"/>
              </w:rPr>
              <w:t xml:space="preserve">Low–Medium</w:t>
            </w:r>
          </w:p>
        </w:tc>
        <w:tc>
          <w:tcPr>
            <w:tcW w:type="dxa" w:w="246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Pilot dataset smaller than 200 companies</w:t>
            </w:r>
          </w:p>
        </w:tc>
        <w:tc>
          <w:tcPr>
            <w:tcW w:type="dxa" w:w="266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Institutional letters from SEBI/ICSI/ICAI for pilot participation; NSE/BSE listing department engagement; industry association partnerships</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API data provider discontinues or changes pricing</w:t>
            </w:r>
          </w:p>
        </w:tc>
        <w:tc>
          <w:tcPr>
            <w:tcW w:type="dxa" w:w="14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center"/>
            </w:pPr>
            <w:r>
              <w:rPr>
                <w:rFonts w:ascii="Arial" w:cs="Arial" w:eastAsia="Arial" w:hAnsi="Arial"/>
                <w:b/>
                <w:bCs/>
                <w:color w:val="1A3A2A"/>
                <w:sz w:val="20"/>
                <w:szCs w:val="20"/>
              </w:rPr>
              <w:t xml:space="preserve">Low</w:t>
            </w:r>
          </w:p>
        </w:tc>
        <w:tc>
          <w:tcPr>
            <w:tcW w:type="dxa" w:w="246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Financial analytics module disrupted</w:t>
            </w:r>
          </w:p>
        </w:tc>
        <w:tc>
          <w:tcPr>
            <w:tcW w:type="dxa" w:w="266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Multi-provider architecture (primary + backup API); manual data entry fallback built into platform</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Technical scalability under high concurrent usage</w:t>
            </w:r>
          </w:p>
        </w:tc>
        <w:tc>
          <w:tcPr>
            <w:tcW w:type="dxa" w:w="14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center"/>
            </w:pPr>
            <w:r>
              <w:rPr>
                <w:rFonts w:ascii="Arial" w:cs="Arial" w:eastAsia="Arial" w:hAnsi="Arial"/>
                <w:b/>
                <w:bCs/>
                <w:color w:val="1A3A2A"/>
                <w:sz w:val="20"/>
                <w:szCs w:val="20"/>
              </w:rPr>
              <w:t xml:space="preserve">Low</w:t>
            </w:r>
          </w:p>
        </w:tc>
        <w:tc>
          <w:tcPr>
            <w:tcW w:type="dxa" w:w="246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Platform performance degradation</w:t>
            </w:r>
          </w:p>
        </w:tc>
        <w:tc>
          <w:tcPr>
            <w:tcW w:type="dxa" w:w="266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Cloud auto-scaling infrastructure; load testing before open launch; CDN deployment</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ESG weight calibration finds India-specific deviations from global benchmarks</w:t>
            </w:r>
          </w:p>
        </w:tc>
        <w:tc>
          <w:tcPr>
            <w:tcW w:type="dxa" w:w="14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spacing w:after="0" w:before="0"/>
              <w:jc w:val="center"/>
            </w:pPr>
            <w:r>
              <w:rPr>
                <w:rFonts w:ascii="Arial" w:cs="Arial" w:eastAsia="Arial" w:hAnsi="Arial"/>
                <w:b/>
                <w:bCs/>
                <w:color w:val="7C3A00"/>
                <w:sz w:val="20"/>
                <w:szCs w:val="20"/>
              </w:rPr>
              <w:t xml:space="preserve">Medium</w:t>
            </w:r>
          </w:p>
        </w:tc>
        <w:tc>
          <w:tcPr>
            <w:tcW w:type="dxa" w:w="246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Requires weight recalibration, delaying publication</w:t>
            </w:r>
          </w:p>
        </w:tc>
        <w:tc>
          <w:tcPr>
            <w:tcW w:type="dxa" w:w="266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Built into methodology: India recalibration is planned Phase 2 activity; interim global weights disclosed as estimates</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SEBI regulatory change affecting BRSR requirements</w:t>
            </w:r>
          </w:p>
        </w:tc>
        <w:tc>
          <w:tcPr>
            <w:tcW w:type="dxa" w:w="14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center"/>
            </w:pPr>
            <w:r>
              <w:rPr>
                <w:rFonts w:ascii="Arial" w:cs="Arial" w:eastAsia="Arial" w:hAnsi="Arial"/>
                <w:b/>
                <w:bCs/>
                <w:color w:val="1A3A2A"/>
                <w:sz w:val="20"/>
                <w:szCs w:val="20"/>
              </w:rPr>
              <w:t xml:space="preserve">Low</w:t>
            </w:r>
          </w:p>
        </w:tc>
        <w:tc>
          <w:tcPr>
            <w:tcW w:type="dxa" w:w="246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BRSR module needs update</w:t>
            </w:r>
          </w:p>
        </w:tc>
        <w:tc>
          <w:tcPr>
            <w:tcW w:type="dxa" w:w="266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Real-time regulatory monitoring; SEBI liaison maintained throughout project; modular BRSR architecture</w:t>
            </w:r>
          </w:p>
        </w:tc>
      </w:tr>
      <w:tr>
        <w:tc>
          <w:tcPr>
            <w:tcW w:type="dxa" w:w="300"/>
            <w:tcBorders>
              <w:top w:val="single" w:color="CCCCCC" w:sz="4"/>
              <w:left w:val="single" w:color="CCCCCC" w:sz="4"/>
              <w:bottom w:val="single" w:color="CCCCCC" w:sz="4"/>
              <w:right w:val="single" w:color="CCCCCC" w:sz="4"/>
            </w:tcBorders>
            <w:shd w:fill="00336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Key personnel attrition</w:t>
            </w:r>
          </w:p>
        </w:tc>
        <w:tc>
          <w:tcPr>
            <w:tcW w:type="dxa" w:w="14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center"/>
            </w:pPr>
            <w:r>
              <w:rPr>
                <w:rFonts w:ascii="Arial" w:cs="Arial" w:eastAsia="Arial" w:hAnsi="Arial"/>
                <w:b/>
                <w:bCs/>
                <w:color w:val="1A3A2A"/>
                <w:sz w:val="20"/>
                <w:szCs w:val="20"/>
              </w:rPr>
              <w:t xml:space="preserve">Low</w:t>
            </w:r>
          </w:p>
        </w:tc>
        <w:tc>
          <w:tcPr>
            <w:tcW w:type="dxa" w:w="2463"/>
            <w:tcBorders>
              <w:top w:val="single" w:color="CCCCCC" w:sz="4"/>
              <w:left w:val="single" w:color="CCCCCC" w:sz="4"/>
              <w:bottom w:val="single" w:color="CCCCCC" w:sz="4"/>
              <w:right w:val="single" w:color="CCCCCC" w:sz="4"/>
            </w:tcBorders>
            <w:shd w:fill="F5F4F0"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F0F0F"/>
                <w:sz w:val="20"/>
                <w:szCs w:val="20"/>
              </w:rPr>
              <w:t xml:space="preserve">Project delay</w:t>
            </w:r>
          </w:p>
        </w:tc>
        <w:tc>
          <w:tcPr>
            <w:tcW w:type="dxa" w:w="2663"/>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color w:val="1A3A2A"/>
                <w:sz w:val="20"/>
                <w:szCs w:val="20"/>
              </w:rPr>
              <w:t xml:space="preserve">All methodologies documented; no single-person dependency; PI provides continuity</w:t>
            </w:r>
          </w:p>
        </w:tc>
      </w:tr>
    </w:tbl>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L:  Sustainability &amp; Open-Access Plan Post-Grant</w:t>
      </w:r>
    </w:p>
    <w:p>
      <w:pPr>
        <w:spacing w:after="80" w:before="0"/>
      </w:pPr>
      <w:r>
        <w:rPr>
          <w:rFonts w:ascii="Arial" w:cs="Arial" w:eastAsia="Arial" w:hAnsi="Arial"/>
          <w:color w:val="0F0F0F"/>
          <w:sz w:val="22"/>
          <w:szCs w:val="22"/>
        </w:rPr>
        <w:t xml:space="preserve"/>
      </w:r>
    </w:p>
    <w:p>
      <w:pPr>
        <w:spacing w:after="110" w:before="60" w:line="340"/>
        <w:jc w:val="both"/>
      </w:pPr>
      <w:r>
        <w:rPr>
          <w:rFonts w:ascii="Arial" w:cs="Arial" w:eastAsia="Arial" w:hAnsi="Arial"/>
          <w:color w:val="0F0F0F"/>
          <w:sz w:val="22"/>
          <w:szCs w:val="22"/>
        </w:rPr>
        <w:t xml:space="preserve">COMPASS-ESG is designed for permanent free access to all Indian companies. Post-grant sustainability is built into the platform's technical and institutional architecture:</w:t>
      </w:r>
    </w:p>
    <w:p>
      <w:pPr>
        <w:spacing w:after="80" w:before="0"/>
      </w:pPr>
      <w:r>
        <w:rPr>
          <w:rFonts w:ascii="Arial" w:cs="Arial" w:eastAsia="Arial" w:hAnsi="Arial"/>
          <w:color w:val="0F0F0F"/>
          <w:sz w:val="22"/>
          <w:szCs w:val="22"/>
        </w:rPr>
        <w:t xml:space="preserve"/>
      </w:r>
    </w:p>
    <w:p>
      <w:pPr>
        <w:pStyle w:val="ListParagraph"/>
        <w:numPr>
          <w:ilvl w:val="0"/>
          <w:numId w:val="2"/>
        </w:numPr>
        <w:spacing w:after="40" w:before="40"/>
      </w:pPr>
      <w:r>
        <w:rPr>
          <w:rFonts w:ascii="Arial" w:cs="Arial" w:eastAsia="Arial" w:hAnsi="Arial"/>
          <w:color w:val="0F0F0F"/>
          <w:sz w:val="22"/>
          <w:szCs w:val="22"/>
        </w:rPr>
        <w:t xml:space="preserve">Open-Source Codebase: The complete platform code will be published under MIT License on GitHub, enabling any institution — SEBI, ICSI, BSE, NSE, academic institutions — to host, adapt, and extend the platform without dependency on any single maintainer.</w:t>
      </w:r>
    </w:p>
    <w:p>
      <w:pPr>
        <w:pStyle w:val="ListParagraph"/>
        <w:numPr>
          <w:ilvl w:val="0"/>
          <w:numId w:val="2"/>
        </w:numPr>
        <w:spacing w:after="40" w:before="40"/>
      </w:pPr>
      <w:r>
        <w:rPr>
          <w:rFonts w:ascii="Arial" w:cs="Arial" w:eastAsia="Arial" w:hAnsi="Arial"/>
          <w:color w:val="0F0F0F"/>
          <w:sz w:val="22"/>
          <w:szCs w:val="22"/>
        </w:rPr>
        <w:t xml:space="preserve">Zero Marginal Cost Architecture: The platform's browser-native, client-side processing design means hosting costs are minimal (₹30,000–50,000 per year for cloud/CDN), manageable by any sponsoring institution or through academic hosting.</w:t>
      </w:r>
    </w:p>
    <w:p>
      <w:pPr>
        <w:pStyle w:val="ListParagraph"/>
        <w:numPr>
          <w:ilvl w:val="0"/>
          <w:numId w:val="2"/>
        </w:numPr>
        <w:spacing w:after="40" w:before="40"/>
      </w:pPr>
      <w:r>
        <w:rPr>
          <w:rFonts w:ascii="Arial" w:cs="Arial" w:eastAsia="Arial" w:hAnsi="Arial"/>
          <w:color w:val="0F0F0F"/>
          <w:sz w:val="22"/>
          <w:szCs w:val="22"/>
        </w:rPr>
        <w:t xml:space="preserve">SEBI / Institutional Adoption: We will actively propose that SEBI, ICSI (Institute of Company Secretaries of India), ICAI (Institute of Chartered Accountants of India), or CII (Confederation of Indian Industry) adopt COMPASS-ESG as an official BRSR/ESG self-assessment tool — ensuring institutional hosting and maintenance beyond the grant period.</w:t>
      </w:r>
    </w:p>
    <w:p>
      <w:pPr>
        <w:pStyle w:val="ListParagraph"/>
        <w:numPr>
          <w:ilvl w:val="0"/>
          <w:numId w:val="2"/>
        </w:numPr>
        <w:spacing w:after="40" w:before="40"/>
      </w:pPr>
      <w:r>
        <w:rPr>
          <w:rFonts w:ascii="Arial" w:cs="Arial" w:eastAsia="Arial" w:hAnsi="Arial"/>
          <w:color w:val="0F0F0F"/>
          <w:sz w:val="22"/>
          <w:szCs w:val="22"/>
        </w:rPr>
        <w:t xml:space="preserve">Annual Update Protocol: A published Annual Update Protocol will ensure that the platform's regulatory references (BRSR format, Labour Code notifications, SEBI circulars) are updated within 90 days of regulatory changes, maintained by the Principal Investigator and partner institutions.</w:t>
      </w:r>
    </w:p>
    <w:p>
      <w:pPr>
        <w:pStyle w:val="ListParagraph"/>
        <w:numPr>
          <w:ilvl w:val="0"/>
          <w:numId w:val="2"/>
        </w:numPr>
        <w:spacing w:after="40" w:before="40"/>
      </w:pPr>
      <w:r>
        <w:rPr>
          <w:rFonts w:ascii="Arial" w:cs="Arial" w:eastAsia="Arial" w:hAnsi="Arial"/>
          <w:color w:val="0F0F0F"/>
          <w:sz w:val="22"/>
          <w:szCs w:val="22"/>
        </w:rPr>
        <w:t xml:space="preserve">Academic Embedding: COMPASS-ESG will be embedded into M.Com., MBA, and CS (Company Secretary) curricula across Vikram Dev University and partner institutions, ensuring ongoing academic use and maintenance.</w:t>
      </w:r>
    </w:p>
    <w:p>
      <w:pPr>
        <w:pStyle w:val="ListParagraph"/>
        <w:numPr>
          <w:ilvl w:val="0"/>
          <w:numId w:val="2"/>
        </w:numPr>
        <w:spacing w:after="40" w:before="40"/>
      </w:pPr>
      <w:r>
        <w:rPr>
          <w:rFonts w:ascii="Arial" w:cs="Arial" w:eastAsia="Arial" w:hAnsi="Arial"/>
          <w:color w:val="0F0F0F"/>
          <w:sz w:val="22"/>
          <w:szCs w:val="22"/>
        </w:rPr>
        <w:t xml:space="preserve">No Paywall: The platform will never be monetised or paywalled for Indian companies. Any commercial advisory services using the platform's methodology (as already offered by the PI separately) are entirely distinct from the platform itself.</w:t>
      </w:r>
    </w:p>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M:  Ethical Considerations &amp; Data Governance</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M.1  Data Privacy and Confidentiality</w:t>
      </w:r>
    </w:p>
    <w:p>
      <w:pPr>
        <w:spacing w:after="110" w:before="60" w:line="340"/>
        <w:jc w:val="both"/>
      </w:pPr>
      <w:r>
        <w:rPr>
          <w:rFonts w:ascii="Arial" w:cs="Arial" w:eastAsia="Arial" w:hAnsi="Arial"/>
          <w:color w:val="0F0F0F"/>
          <w:sz w:val="22"/>
          <w:szCs w:val="22"/>
        </w:rPr>
        <w:t xml:space="preserve">All company data collected during the pilot phase will be governed by a strict Data Management Protocol: (i) all participating companies will sign a Data Sharing Agreement specifying permissible uses; (ii) company-identifiable data will not be published in any form without explicit written consent; (iii) all published analyses will use anonymised or aggregated data; (iv) data will be stored on encrypted cloud servers with access controls; (v) the platform's open-access deployment will not collect or retain any user data — all computations occur client-side in the user's browser.</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M.2  Conflicts of Interest</w:t>
      </w:r>
    </w:p>
    <w:p>
      <w:pPr>
        <w:spacing w:after="110" w:before="60" w:line="340"/>
        <w:jc w:val="both"/>
      </w:pPr>
      <w:r>
        <w:rPr>
          <w:rFonts w:ascii="Arial" w:cs="Arial" w:eastAsia="Arial" w:hAnsi="Arial"/>
          <w:color w:val="0F0F0F"/>
          <w:sz w:val="22"/>
          <w:szCs w:val="22"/>
        </w:rPr>
        <w:t xml:space="preserve">The Principal Investigator declares no financial conflict of interest with any ESG rating agency, financial data provider, or corporate entity. The PI's separate consultancy services are disclosed transparently and are entirely distinct from the COMPASS-ESG platform, which will remain free and open. All grant funds will be managed through the host institution's accounts with standard audit procedures.</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M.3  Intellectual Property</w:t>
      </w:r>
    </w:p>
    <w:p>
      <w:pPr>
        <w:spacing w:after="110" w:before="60" w:line="340"/>
        <w:jc w:val="both"/>
      </w:pPr>
      <w:r>
        <w:rPr>
          <w:rFonts w:ascii="Arial" w:cs="Arial" w:eastAsia="Arial" w:hAnsi="Arial"/>
          <w:color w:val="0F0F0F"/>
          <w:sz w:val="22"/>
          <w:szCs w:val="22"/>
        </w:rPr>
        <w:t xml:space="preserve">All platform code and methodology developed under this grant will be placed in the public domain under open-access licensing. SEBI will be acknowledged as the grant authority in all publications, platform interfaces, and communications. The BRSR Quality Assessment Rubric, developed jointly with SEBI, will be attributed to SEBI and the PI jointly, with SEBI retaining the right to publish and adopt the rubric independently.</w:t>
      </w:r>
    </w:p>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N:  Declarations &amp; Undertakings</w:t>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57A8" w:sz="6"/>
              <w:left w:val="single" w:color="0057A8" w:sz="6"/>
              <w:bottom w:val="single" w:color="0057A8" w:sz="6"/>
              <w:right w:val="single" w:color="0057A8" w:sz="6"/>
            </w:tcBorders>
            <w:shd w:fill="DBEAFE" w:val="clear"/>
            <w:tcMar>
              <w:top w:type="dxa" w:w="130"/>
              <w:left w:type="dxa" w:w="220"/>
              <w:bottom w:type="dxa" w:w="130"/>
              <w:right w:type="dxa" w:w="220"/>
            </w:tcMar>
          </w:tcPr>
          <w:p>
            <w:pPr>
              <w:spacing w:after="0" w:before="0" w:line="320"/>
              <w:jc w:val="both"/>
            </w:pPr>
            <w:r>
              <w:rPr>
                <w:rFonts w:ascii="Arial" w:cs="Arial" w:eastAsia="Arial" w:hAnsi="Arial"/>
                <w:color w:val="003366"/>
                <w:sz w:val="20"/>
                <w:szCs w:val="20"/>
              </w:rPr>
              <w:t xml:space="preserve">The Principal Investigator, Dr. Debasis Pahi, hereby makes the following declarations in support of this Grant Application to SEBI:</w:t>
            </w:r>
          </w:p>
        </w:tc>
      </w:tr>
    </w:tbl>
    <w:p>
      <w:pPr>
        <w:spacing w:after="80" w:before="0"/>
      </w:pPr>
      <w:r>
        <w:rPr>
          <w:rFonts w:ascii="Arial" w:cs="Arial" w:eastAsia="Arial" w:hAnsi="Arial"/>
          <w:color w:val="0F0F0F"/>
          <w:sz w:val="22"/>
          <w:szCs w:val="22"/>
        </w:rPr>
        <w:t xml:space="preserve"/>
      </w:r>
    </w:p>
    <w:p>
      <w:pPr>
        <w:pStyle w:val="ListParagraph"/>
        <w:numPr>
          <w:ilvl w:val="0"/>
          <w:numId w:val="3"/>
        </w:numPr>
        <w:spacing w:after="45" w:before="45"/>
      </w:pPr>
      <w:r>
        <w:rPr>
          <w:rFonts w:ascii="Arial" w:cs="Arial" w:eastAsia="Arial" w:hAnsi="Arial"/>
          <w:color w:val="0F0F0F"/>
          <w:sz w:val="22"/>
          <w:szCs w:val="22"/>
        </w:rPr>
        <w:t xml:space="preserve">I declare that all information provided in this proposal is true, complete, and accurate to the best of my knowledge. No material information has been omitted or misrepresented.</w:t>
      </w:r>
    </w:p>
    <w:p>
      <w:pPr>
        <w:pStyle w:val="ListParagraph"/>
        <w:numPr>
          <w:ilvl w:val="0"/>
          <w:numId w:val="3"/>
        </w:numPr>
        <w:spacing w:after="45" w:before="45"/>
      </w:pPr>
      <w:r>
        <w:rPr>
          <w:rFonts w:ascii="Arial" w:cs="Arial" w:eastAsia="Arial" w:hAnsi="Arial"/>
          <w:color w:val="0F0F0F"/>
          <w:sz w:val="22"/>
          <w:szCs w:val="22"/>
        </w:rPr>
        <w:t xml:space="preserve">I declare that the Company Health Dashboard (CHD) prototype, cited as evidence of technical capability, has been entirely developed by me and is freely accessible at drdpklass.github.io. No third-party intellectual property rights are infringed.</w:t>
      </w:r>
    </w:p>
    <w:p>
      <w:pPr>
        <w:pStyle w:val="ListParagraph"/>
        <w:numPr>
          <w:ilvl w:val="0"/>
          <w:numId w:val="3"/>
        </w:numPr>
        <w:spacing w:after="45" w:before="45"/>
      </w:pPr>
      <w:r>
        <w:rPr>
          <w:rFonts w:ascii="Arial" w:cs="Arial" w:eastAsia="Arial" w:hAnsi="Arial"/>
          <w:color w:val="0F0F0F"/>
          <w:sz w:val="22"/>
          <w:szCs w:val="22"/>
        </w:rPr>
        <w:t xml:space="preserve">I undertake that the grant funds, if awarded, will be utilised solely for the purposes stated in this proposal and in accordance with SEBI's grant utilisation guidelines. Quarterly utilisation reports will be submitted to SEBI's designated officer.</w:t>
      </w:r>
    </w:p>
    <w:p>
      <w:pPr>
        <w:pStyle w:val="ListParagraph"/>
        <w:numPr>
          <w:ilvl w:val="0"/>
          <w:numId w:val="3"/>
        </w:numPr>
        <w:spacing w:after="45" w:before="45"/>
      </w:pPr>
      <w:r>
        <w:rPr>
          <w:rFonts w:ascii="Arial" w:cs="Arial" w:eastAsia="Arial" w:hAnsi="Arial"/>
          <w:color w:val="0F0F0F"/>
          <w:sz w:val="22"/>
          <w:szCs w:val="22"/>
        </w:rPr>
        <w:t xml:space="preserve">I undertake that the COMPASS-ESG platform will be maintained as a free, open-access public resource for all Indian registered companies for a minimum period of five years from the date of open launch.</w:t>
      </w:r>
    </w:p>
    <w:p>
      <w:pPr>
        <w:pStyle w:val="ListParagraph"/>
        <w:numPr>
          <w:ilvl w:val="0"/>
          <w:numId w:val="3"/>
        </w:numPr>
        <w:spacing w:after="45" w:before="45"/>
      </w:pPr>
      <w:r>
        <w:rPr>
          <w:rFonts w:ascii="Arial" w:cs="Arial" w:eastAsia="Arial" w:hAnsi="Arial"/>
          <w:color w:val="0F0F0F"/>
          <w:sz w:val="22"/>
          <w:szCs w:val="22"/>
        </w:rPr>
        <w:t xml:space="preserve">I declare that I am not currently in receipt of any other government grant for the same project or any substantially similar project.</w:t>
      </w:r>
    </w:p>
    <w:p>
      <w:pPr>
        <w:pStyle w:val="ListParagraph"/>
        <w:numPr>
          <w:ilvl w:val="0"/>
          <w:numId w:val="3"/>
        </w:numPr>
        <w:spacing w:after="45" w:before="45"/>
      </w:pPr>
      <w:r>
        <w:rPr>
          <w:rFonts w:ascii="Arial" w:cs="Arial" w:eastAsia="Arial" w:hAnsi="Arial"/>
          <w:color w:val="0F0F0F"/>
          <w:sz w:val="22"/>
          <w:szCs w:val="22"/>
        </w:rPr>
        <w:t xml:space="preserve">I undertake to acknowledge SEBI's grant support prominently on the platform, in all publications, and in all public communications related to COMPASS-ESG.</w:t>
      </w:r>
    </w:p>
    <w:p>
      <w:pPr>
        <w:pStyle w:val="ListParagraph"/>
        <w:numPr>
          <w:ilvl w:val="0"/>
          <w:numId w:val="3"/>
        </w:numPr>
        <w:spacing w:after="45" w:before="45"/>
      </w:pPr>
      <w:r>
        <w:rPr>
          <w:rFonts w:ascii="Arial" w:cs="Arial" w:eastAsia="Arial" w:hAnsi="Arial"/>
          <w:color w:val="0F0F0F"/>
          <w:sz w:val="22"/>
          <w:szCs w:val="22"/>
        </w:rPr>
        <w:t xml:space="preserve">I undertake to submit annual progress reports, financial utilisation statements (audited), and a final project completion report to SEBI within the timelines specified in the grant agreement.</w:t>
      </w:r>
    </w:p>
    <w:p>
      <w:pPr>
        <w:pStyle w:val="ListParagraph"/>
        <w:numPr>
          <w:ilvl w:val="0"/>
          <w:numId w:val="3"/>
        </w:numPr>
        <w:spacing w:after="45" w:before="45"/>
      </w:pPr>
      <w:r>
        <w:rPr>
          <w:rFonts w:ascii="Arial" w:cs="Arial" w:eastAsia="Arial" w:hAnsi="Arial"/>
          <w:color w:val="0F0F0F"/>
          <w:sz w:val="22"/>
          <w:szCs w:val="22"/>
        </w:rPr>
        <w:t xml:space="preserve">I undertake to make the BRSR Quality Assessment Rubric, developed under this grant, available to SEBI for adoption, modification, and official use without any licensing restriction or fee.</w:t>
      </w:r>
    </w:p>
    <w:p>
      <w:pPr>
        <w:spacing w:after="160" w:before="0"/>
      </w:pPr>
      <w:r>
        <w:rPr>
          <w:rFonts w:ascii="Arial" w:cs="Arial" w:eastAsia="Arial" w:hAnsi="Arial"/>
          <w:color w:val="0F0F0F"/>
          <w:sz w:val="22"/>
          <w:szCs w:val="22"/>
        </w:rPr>
        <w:t xml:space="preserve"/>
      </w:r>
    </w:p>
    <w:p>
      <w:pPr>
        <w:pBdr>
          <w:bottom w:val="single" w:color="003366" w:sz="6" w:space="1"/>
        </w:pBdr>
        <w:spacing w:after="120" w:before="120"/>
      </w:pPr>
      <w:r>
        <w:rPr>
          <w:rFonts w:ascii="Arial" w:cs="Arial" w:eastAsia="Arial" w:hAnsi="Arial"/>
          <w:color w:val="0F0F0F"/>
          <w:sz w:val="22"/>
          <w:szCs w:val="22"/>
        </w:rPr>
        <w:t xml:space="preserve"/>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003366" w:sz="6"/>
              <w:left w:val="single" w:color="003366" w:sz="6"/>
              <w:bottom w:val="single" w:color="003366" w:sz="6"/>
              <w:right w:val="single" w:color="003366" w:sz="6"/>
            </w:tcBorders>
            <w:shd w:fill="DBEAFE" w:val="clear"/>
            <w:tcMar>
              <w:top w:type="dxa" w:w="220"/>
              <w:left w:type="dxa" w:w="260"/>
              <w:bottom w:type="dxa" w:w="220"/>
              <w:right w:type="dxa" w:w="260"/>
            </w:tcMar>
          </w:tcPr>
          <w:p>
            <w:pPr>
              <w:spacing w:after="60" w:before="40"/>
              <w:jc w:val="left"/>
            </w:pPr>
            <w:r>
              <w:rPr>
                <w:rFonts w:ascii="Arial" w:cs="Arial" w:eastAsia="Arial" w:hAnsi="Arial"/>
                <w:b/>
                <w:bCs/>
                <w:color w:val="003366"/>
                <w:sz w:val="16"/>
                <w:szCs w:val="16"/>
              </w:rPr>
              <w:t xml:space="preserve">APPLICANT SIGNATURE</w:t>
            </w:r>
          </w:p>
          <w:p>
            <w:pPr>
              <w:spacing w:after="80" w:before="0"/>
            </w:pPr>
            <w:r>
              <w:rPr>
                <w:rFonts w:ascii="Arial" w:cs="Arial" w:eastAsia="Arial" w:hAnsi="Arial"/>
                <w:color w:val="0F0F0F"/>
                <w:sz w:val="22"/>
                <w:szCs w:val="22"/>
              </w:rPr>
              <w:t xml:space="preserve"/>
            </w:r>
          </w:p>
          <w:p>
            <w:pPr>
              <w:spacing w:after="60" w:before="40"/>
              <w:jc w:val="left"/>
            </w:pPr>
            <w:r>
              <w:rPr>
                <w:rFonts w:ascii="Arial" w:cs="Arial" w:eastAsia="Arial" w:hAnsi="Arial"/>
                <w:b/>
                <w:bCs/>
                <w:color w:val="0F0F0F"/>
                <w:sz w:val="20"/>
                <w:szCs w:val="20"/>
              </w:rPr>
              <w:t xml:space="preserve">Name:  Dr. Debasis Pahi</w:t>
            </w:r>
          </w:p>
          <w:p>
            <w:pPr>
              <w:spacing w:after="60" w:before="40"/>
              <w:jc w:val="left"/>
            </w:pPr>
            <w:r>
              <w:rPr>
                <w:rFonts w:ascii="Arial" w:cs="Arial" w:eastAsia="Arial" w:hAnsi="Arial"/>
                <w:color w:val="374151"/>
                <w:sz w:val="19"/>
                <w:szCs w:val="19"/>
              </w:rPr>
              <w:t xml:space="preserve">Designation:  Asst. Professor OES-I &amp; HoD, Commerce</w:t>
            </w:r>
          </w:p>
          <w:p>
            <w:pPr>
              <w:spacing w:after="60" w:before="40"/>
              <w:jc w:val="left"/>
            </w:pPr>
            <w:r>
              <w:rPr>
                <w:rFonts w:ascii="Arial" w:cs="Arial" w:eastAsia="Arial" w:hAnsi="Arial"/>
                <w:color w:val="374151"/>
                <w:sz w:val="19"/>
                <w:szCs w:val="19"/>
              </w:rPr>
              <w:t xml:space="preserve">Institution:  Model Degree College, Malkangiri</w:t>
            </w:r>
          </w:p>
          <w:p>
            <w:pPr>
              <w:spacing w:after="60" w:before="40"/>
              <w:jc w:val="left"/>
            </w:pPr>
            <w:r>
              <w:rPr>
                <w:rFonts w:ascii="Arial" w:cs="Arial" w:eastAsia="Arial" w:hAnsi="Arial"/>
                <w:color w:val="374151"/>
                <w:sz w:val="19"/>
                <w:szCs w:val="19"/>
              </w:rPr>
              <w:t xml:space="preserve">University:  Vikram Dev University, Odisha</w:t>
            </w:r>
          </w:p>
          <w:p>
            <w:pPr>
              <w:spacing w:after="60" w:before="40"/>
              <w:jc w:val="left"/>
            </w:pPr>
            <w:r>
              <w:rPr>
                <w:rFonts w:ascii="Arial" w:cs="Arial" w:eastAsia="Arial" w:hAnsi="Arial"/>
                <w:color w:val="374151"/>
                <w:sz w:val="19"/>
                <w:szCs w:val="19"/>
              </w:rPr>
              <w:t xml:space="preserve">Date:  ________________________</w:t>
            </w:r>
          </w:p>
          <w:p>
            <w:pPr>
              <w:spacing w:after="80" w:before="0"/>
            </w:pPr>
            <w:r>
              <w:rPr>
                <w:rFonts w:ascii="Arial" w:cs="Arial" w:eastAsia="Arial" w:hAnsi="Arial"/>
                <w:color w:val="0F0F0F"/>
                <w:sz w:val="22"/>
                <w:szCs w:val="22"/>
              </w:rPr>
              <w:t xml:space="preserve"/>
            </w:r>
          </w:p>
          <w:p>
            <w:pPr>
              <w:spacing w:after="60" w:before="40"/>
              <w:jc w:val="left"/>
            </w:pPr>
            <w:r>
              <w:rPr>
                <w:rFonts w:ascii="Arial" w:cs="Arial" w:eastAsia="Arial" w:hAnsi="Arial"/>
                <w:color w:val="374151"/>
                <w:sz w:val="19"/>
                <w:szCs w:val="19"/>
              </w:rPr>
              <w:t xml:space="preserve">Signature:  ________________________</w:t>
            </w:r>
          </w:p>
          <w:p>
            <w:pPr>
              <w:spacing w:after="60" w:before="40"/>
              <w:jc w:val="left"/>
            </w:pPr>
            <w:r>
              <w:rPr>
                <w:rFonts w:ascii="Arial" w:cs="Arial" w:eastAsia="Arial" w:hAnsi="Arial"/>
                <w:color w:val="6B7280"/>
                <w:sz w:val="17"/>
                <w:szCs w:val="17"/>
              </w:rPr>
              <w:t xml:space="preserve">(with institutional seal)</w:t>
            </w:r>
          </w:p>
        </w:tc>
        <w:tc>
          <w:tcPr>
            <w:tcW w:type="dxa" w:w="4626"/>
            <w:tcBorders>
              <w:top w:val="single" w:color="2D6A4F" w:sz="6"/>
              <w:left w:val="single" w:color="2D6A4F" w:sz="6"/>
              <w:bottom w:val="single" w:color="2D6A4F" w:sz="6"/>
              <w:right w:val="single" w:color="2D6A4F" w:sz="6"/>
            </w:tcBorders>
            <w:shd w:fill="DCFCE7" w:val="clear"/>
            <w:tcMar>
              <w:top w:type="dxa" w:w="220"/>
              <w:left w:type="dxa" w:w="260"/>
              <w:bottom w:type="dxa" w:w="220"/>
              <w:right w:type="dxa" w:w="260"/>
            </w:tcMar>
          </w:tcPr>
          <w:p>
            <w:pPr>
              <w:spacing w:after="60" w:before="40"/>
              <w:jc w:val="left"/>
            </w:pPr>
            <w:r>
              <w:rPr>
                <w:rFonts w:ascii="Arial" w:cs="Arial" w:eastAsia="Arial" w:hAnsi="Arial"/>
                <w:b/>
                <w:bCs/>
                <w:color w:val="1A3A2A"/>
                <w:sz w:val="16"/>
                <w:szCs w:val="16"/>
              </w:rPr>
              <w:t xml:space="preserve">INSTITUTIONAL ENDORSEMENT</w:t>
            </w:r>
          </w:p>
          <w:p>
            <w:pPr>
              <w:spacing w:after="80" w:before="0"/>
            </w:pPr>
            <w:r>
              <w:rPr>
                <w:rFonts w:ascii="Arial" w:cs="Arial" w:eastAsia="Arial" w:hAnsi="Arial"/>
                <w:color w:val="0F0F0F"/>
                <w:sz w:val="22"/>
                <w:szCs w:val="22"/>
              </w:rPr>
              <w:t xml:space="preserve"/>
            </w:r>
          </w:p>
          <w:p>
            <w:pPr>
              <w:spacing w:after="60" w:before="40"/>
              <w:jc w:val="left"/>
            </w:pPr>
            <w:r>
              <w:rPr>
                <w:rFonts w:ascii="Arial" w:cs="Arial" w:eastAsia="Arial" w:hAnsi="Arial"/>
                <w:b/>
                <w:bCs/>
                <w:color w:val="0F0F0F"/>
                <w:sz w:val="20"/>
                <w:szCs w:val="20"/>
              </w:rPr>
              <w:t xml:space="preserve">Head of Institution / Principal:</w:t>
            </w:r>
          </w:p>
          <w:p>
            <w:pPr>
              <w:spacing w:after="60" w:before="40"/>
              <w:jc w:val="left"/>
            </w:pPr>
            <w:r>
              <w:rPr>
                <w:rFonts w:ascii="Arial" w:cs="Arial" w:eastAsia="Arial" w:hAnsi="Arial"/>
                <w:color w:val="374151"/>
                <w:sz w:val="19"/>
                <w:szCs w:val="19"/>
              </w:rPr>
              <w:t xml:space="preserve">Name:  ________________________</w:t>
            </w:r>
          </w:p>
          <w:p>
            <w:pPr>
              <w:spacing w:after="60" w:before="40"/>
              <w:jc w:val="left"/>
            </w:pPr>
            <w:r>
              <w:rPr>
                <w:rFonts w:ascii="Arial" w:cs="Arial" w:eastAsia="Arial" w:hAnsi="Arial"/>
                <w:color w:val="374151"/>
                <w:sz w:val="19"/>
                <w:szCs w:val="19"/>
              </w:rPr>
              <w:t xml:space="preserve">Designation:  Principal / Director</w:t>
            </w:r>
          </w:p>
          <w:p>
            <w:pPr>
              <w:spacing w:after="60" w:before="40"/>
              <w:jc w:val="left"/>
            </w:pPr>
            <w:r>
              <w:rPr>
                <w:rFonts w:ascii="Arial" w:cs="Arial" w:eastAsia="Arial" w:hAnsi="Arial"/>
                <w:color w:val="374151"/>
                <w:sz w:val="19"/>
                <w:szCs w:val="19"/>
              </w:rPr>
              <w:t xml:space="preserve">Institution:  Model Degree College, Malkangiri</w:t>
            </w:r>
          </w:p>
          <w:p>
            <w:pPr>
              <w:spacing w:after="60" w:before="40"/>
              <w:jc w:val="left"/>
            </w:pPr>
            <w:r>
              <w:rPr>
                <w:rFonts w:ascii="Arial" w:cs="Arial" w:eastAsia="Arial" w:hAnsi="Arial"/>
                <w:color w:val="374151"/>
                <w:sz w:val="19"/>
                <w:szCs w:val="19"/>
              </w:rPr>
              <w:t xml:space="preserve">Date:  ________________________</w:t>
            </w:r>
          </w:p>
          <w:p>
            <w:pPr>
              <w:spacing w:after="80" w:before="0"/>
            </w:pPr>
            <w:r>
              <w:rPr>
                <w:rFonts w:ascii="Arial" w:cs="Arial" w:eastAsia="Arial" w:hAnsi="Arial"/>
                <w:color w:val="0F0F0F"/>
                <w:sz w:val="22"/>
                <w:szCs w:val="22"/>
              </w:rPr>
              <w:t xml:space="preserve"/>
            </w:r>
          </w:p>
          <w:p>
            <w:pPr>
              <w:spacing w:after="60" w:before="40"/>
              <w:jc w:val="left"/>
            </w:pPr>
            <w:r>
              <w:rPr>
                <w:rFonts w:ascii="Arial" w:cs="Arial" w:eastAsia="Arial" w:hAnsi="Arial"/>
                <w:color w:val="374151"/>
                <w:sz w:val="19"/>
                <w:szCs w:val="19"/>
              </w:rPr>
              <w:t xml:space="preserve">Signature:  ________________________</w:t>
            </w:r>
          </w:p>
          <w:p>
            <w:pPr>
              <w:spacing w:after="60" w:before="40"/>
              <w:jc w:val="left"/>
            </w:pPr>
            <w:r>
              <w:rPr>
                <w:rFonts w:ascii="Arial" w:cs="Arial" w:eastAsia="Arial" w:hAnsi="Arial"/>
                <w:color w:val="6B7280"/>
                <w:sz w:val="17"/>
                <w:szCs w:val="17"/>
              </w:rPr>
              <w:t xml:space="preserve">(with institutional seal)</w:t>
            </w:r>
          </w:p>
        </w:tc>
      </w:tr>
    </w:tbl>
    <w:p>
      <w:r>
        <w:br w:type="page"/>
      </w:r>
    </w:p>
    <w:p>
      <w:pPr>
        <w:pBdr>
          <w:top w:val="none" w:color="FFFFFF" w:sz="0"/>
          <w:bottom w:val="single" w:color="003366" w:sz="10"/>
          <w:left w:val="none" w:color="FFFFFF" w:sz="0"/>
          <w:right w:val="none" w:color="FFFFFF" w:sz="0"/>
        </w:pBdr>
        <w:spacing w:after="120" w:before="360"/>
      </w:pPr>
      <w:r>
        <w:rPr>
          <w:rFonts w:ascii="Arial" w:cs="Arial" w:eastAsia="Arial" w:hAnsi="Arial"/>
          <w:b/>
          <w:bCs/>
          <w:color w:val="003366"/>
          <w:sz w:val="30"/>
          <w:szCs w:val="30"/>
          <w:shd w:fill="DBEAFE" w:color="DBEAFE" w:val="clear"/>
        </w:rPr>
        <w:t xml:space="preserve">  Part O:  References &amp; Regulatory Citations</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Regulatory Documents</w:t>
      </w:r>
    </w:p>
    <w:p>
      <w:pPr>
        <w:pStyle w:val="ListParagraph"/>
        <w:numPr>
          <w:ilvl w:val="0"/>
          <w:numId w:val="2"/>
        </w:numPr>
        <w:spacing w:after="40" w:before="40"/>
      </w:pPr>
      <w:r>
        <w:rPr>
          <w:rFonts w:ascii="Arial" w:cs="Arial" w:eastAsia="Arial" w:hAnsi="Arial"/>
          <w:color w:val="0F0F0F"/>
          <w:sz w:val="22"/>
          <w:szCs w:val="22"/>
        </w:rPr>
        <w:t xml:space="preserve">Securities and Exchange Board of India. (2021). SEBI (Listing Obligations and Disclosure Requirements) (Second Amendment) Regulations, 2021 — BRSR Format. SEBI Circular SEBI/LAD-NRO/GN/2021/22, May 10, 2021.</w:t>
      </w:r>
    </w:p>
    <w:p>
      <w:pPr>
        <w:pStyle w:val="ListParagraph"/>
        <w:numPr>
          <w:ilvl w:val="0"/>
          <w:numId w:val="2"/>
        </w:numPr>
        <w:spacing w:after="40" w:before="40"/>
      </w:pPr>
      <w:r>
        <w:rPr>
          <w:rFonts w:ascii="Arial" w:cs="Arial" w:eastAsia="Arial" w:hAnsi="Arial"/>
          <w:color w:val="0F0F0F"/>
          <w:sz w:val="22"/>
          <w:szCs w:val="22"/>
        </w:rPr>
        <w:t xml:space="preserve">Securities and Exchange Board of India. (2023). BRSR Core — Framework for Assurance and ESG Disclosures for Value Chain. SEBI Circular SEBI/HO/CFD/CFD-SEC-2/P/CIR/2023/122, July 12, 2023.</w:t>
      </w:r>
    </w:p>
    <w:p>
      <w:pPr>
        <w:pStyle w:val="ListParagraph"/>
        <w:numPr>
          <w:ilvl w:val="0"/>
          <w:numId w:val="2"/>
        </w:numPr>
        <w:spacing w:after="40" w:before="40"/>
      </w:pPr>
      <w:r>
        <w:rPr>
          <w:rFonts w:ascii="Arial" w:cs="Arial" w:eastAsia="Arial" w:hAnsi="Arial"/>
          <w:color w:val="0F0F0F"/>
          <w:sz w:val="22"/>
          <w:szCs w:val="22"/>
        </w:rPr>
        <w:t xml:space="preserve">Securities and Exchange Board of India. (2022). Consultation Paper on ESG Rating Providers. SEBI, January 24, 2022.</w:t>
      </w:r>
    </w:p>
    <w:p>
      <w:pPr>
        <w:pStyle w:val="ListParagraph"/>
        <w:numPr>
          <w:ilvl w:val="0"/>
          <w:numId w:val="2"/>
        </w:numPr>
        <w:spacing w:after="40" w:before="40"/>
      </w:pPr>
      <w:r>
        <w:rPr>
          <w:rFonts w:ascii="Arial" w:cs="Arial" w:eastAsia="Arial" w:hAnsi="Arial"/>
          <w:color w:val="0F0F0F"/>
          <w:sz w:val="22"/>
          <w:szCs w:val="22"/>
        </w:rPr>
        <w:t xml:space="preserve">Securities and Exchange Board of India. (2023). Green Bond Framework. SEBI Circular SEBI/HO/CFD/PoD-1/P/CIR/2023/32, March 3, 2023.</w:t>
      </w:r>
    </w:p>
    <w:p>
      <w:pPr>
        <w:pStyle w:val="ListParagraph"/>
        <w:numPr>
          <w:ilvl w:val="0"/>
          <w:numId w:val="2"/>
        </w:numPr>
        <w:spacing w:after="40" w:before="40"/>
      </w:pPr>
      <w:r>
        <w:rPr>
          <w:rFonts w:ascii="Arial" w:cs="Arial" w:eastAsia="Arial" w:hAnsi="Arial"/>
          <w:color w:val="0F0F0F"/>
          <w:sz w:val="22"/>
          <w:szCs w:val="22"/>
        </w:rPr>
        <w:t xml:space="preserve">Ministry of Corporate Affairs. (2013). Companies Act, 2013 — Section 135 (Corporate Social Responsibility). Government of India.</w:t>
      </w:r>
    </w:p>
    <w:p>
      <w:pPr>
        <w:pStyle w:val="ListParagraph"/>
        <w:numPr>
          <w:ilvl w:val="0"/>
          <w:numId w:val="2"/>
        </w:numPr>
        <w:spacing w:after="40" w:before="40"/>
      </w:pPr>
      <w:r>
        <w:rPr>
          <w:rFonts w:ascii="Arial" w:cs="Arial" w:eastAsia="Arial" w:hAnsi="Arial"/>
          <w:color w:val="0F0F0F"/>
          <w:sz w:val="22"/>
          <w:szCs w:val="22"/>
        </w:rPr>
        <w:t xml:space="preserve">Ministry of Labour &amp; Employment. (2019). Code on Wages, 2019; Industrial Relations Code, 2020; Code on Social Security, 2020; Occupational Safety, Health and Working Conditions Code, 2020. Government of India.</w:t>
      </w:r>
    </w:p>
    <w:p>
      <w:pPr>
        <w:spacing w:after="80" w:before="0"/>
      </w:pPr>
      <w:r>
        <w:rPr>
          <w:rFonts w:ascii="Arial" w:cs="Arial" w:eastAsia="Arial" w:hAnsi="Arial"/>
          <w:color w:val="0F0F0F"/>
          <w:sz w:val="22"/>
          <w:szCs w:val="22"/>
        </w:rPr>
        <w:t xml:space="preserve"/>
      </w:r>
    </w:p>
    <w:p>
      <w:pPr>
        <w:spacing w:after="100" w:before="260"/>
      </w:pPr>
      <w:r>
        <w:rPr>
          <w:rFonts w:ascii="Arial" w:cs="Arial" w:eastAsia="Arial" w:hAnsi="Arial"/>
          <w:b/>
          <w:bCs/>
          <w:color w:val="1E3A5F"/>
          <w:sz w:val="25"/>
          <w:szCs w:val="25"/>
        </w:rPr>
        <w:t xml:space="preserve">Academic References</w:t>
      </w:r>
    </w:p>
    <w:p>
      <w:pPr>
        <w:pStyle w:val="ListParagraph"/>
        <w:numPr>
          <w:ilvl w:val="0"/>
          <w:numId w:val="2"/>
        </w:numPr>
        <w:spacing w:after="40" w:before="40"/>
      </w:pPr>
      <w:r>
        <w:rPr>
          <w:rFonts w:ascii="Arial" w:cs="Arial" w:eastAsia="Arial" w:hAnsi="Arial"/>
          <w:color w:val="0F0F0F"/>
          <w:sz w:val="22"/>
          <w:szCs w:val="22"/>
        </w:rPr>
        <w:t xml:space="preserve">Altman, E.I. (1968). Financial ratios, discriminant analysis and the prediction of corporate bankruptcy. Journal of Finance, 23(4), 589–609.</w:t>
      </w:r>
    </w:p>
    <w:p>
      <w:pPr>
        <w:pStyle w:val="ListParagraph"/>
        <w:numPr>
          <w:ilvl w:val="0"/>
          <w:numId w:val="2"/>
        </w:numPr>
        <w:spacing w:after="40" w:before="40"/>
      </w:pPr>
      <w:r>
        <w:rPr>
          <w:rFonts w:ascii="Arial" w:cs="Arial" w:eastAsia="Arial" w:hAnsi="Arial"/>
          <w:color w:val="0F0F0F"/>
          <w:sz w:val="22"/>
          <w:szCs w:val="22"/>
        </w:rPr>
        <w:t xml:space="preserve">Beneish, M.D. (1999). The detection of earnings manipulation. Financial Analysts Journal, 55(5), 24–36.</w:t>
      </w:r>
    </w:p>
    <w:p>
      <w:pPr>
        <w:pStyle w:val="ListParagraph"/>
        <w:numPr>
          <w:ilvl w:val="0"/>
          <w:numId w:val="2"/>
        </w:numPr>
        <w:spacing w:after="40" w:before="40"/>
      </w:pPr>
      <w:r>
        <w:rPr>
          <w:rFonts w:ascii="Arial" w:cs="Arial" w:eastAsia="Arial" w:hAnsi="Arial"/>
          <w:color w:val="0F0F0F"/>
          <w:sz w:val="22"/>
          <w:szCs w:val="22"/>
        </w:rPr>
        <w:t xml:space="preserve">Berg, F., Koelbel, J.F., &amp; Rigobon, R. (2022). Aggregate confusion: The divergence of ESG ratings. Review of Finance, 26(6), 1315–1344.</w:t>
      </w:r>
    </w:p>
    <w:p>
      <w:pPr>
        <w:pStyle w:val="ListParagraph"/>
        <w:numPr>
          <w:ilvl w:val="0"/>
          <w:numId w:val="2"/>
        </w:numPr>
        <w:spacing w:after="40" w:before="40"/>
      </w:pPr>
      <w:r>
        <w:rPr>
          <w:rFonts w:ascii="Arial" w:cs="Arial" w:eastAsia="Arial" w:hAnsi="Arial"/>
          <w:color w:val="0F0F0F"/>
          <w:sz w:val="22"/>
          <w:szCs w:val="22"/>
        </w:rPr>
        <w:t xml:space="preserve">Clark, G.L., Feiner, A., &amp; Viehs, M. (2015). From the stockholder to the stakeholder: How sustainability can drive financial outperformance. University of Oxford &amp; Arabesque Partners.</w:t>
      </w:r>
    </w:p>
    <w:p>
      <w:pPr>
        <w:pStyle w:val="ListParagraph"/>
        <w:numPr>
          <w:ilvl w:val="0"/>
          <w:numId w:val="2"/>
        </w:numPr>
        <w:spacing w:after="40" w:before="40"/>
      </w:pPr>
      <w:r>
        <w:rPr>
          <w:rFonts w:ascii="Arial" w:cs="Arial" w:eastAsia="Arial" w:hAnsi="Arial"/>
          <w:color w:val="0F0F0F"/>
          <w:sz w:val="22"/>
          <w:szCs w:val="22"/>
        </w:rPr>
        <w:t xml:space="preserve">Friede, G., Busch, T., &amp; Bassen, A. (2015). ESG and financial performance: Aggregated evidence from more than 2,000 empirical studies. Journal of Sustainable Finance &amp; Investment, 5(4), 210–233.</w:t>
      </w:r>
    </w:p>
    <w:p>
      <w:pPr>
        <w:pStyle w:val="ListParagraph"/>
        <w:numPr>
          <w:ilvl w:val="0"/>
          <w:numId w:val="2"/>
        </w:numPr>
        <w:spacing w:after="40" w:before="40"/>
      </w:pPr>
      <w:r>
        <w:rPr>
          <w:rFonts w:ascii="Arial" w:cs="Arial" w:eastAsia="Arial" w:hAnsi="Arial"/>
          <w:color w:val="0F0F0F"/>
          <w:sz w:val="22"/>
          <w:szCs w:val="22"/>
        </w:rPr>
        <w:t xml:space="preserve">Hevner, A.R., March, S.T., Park, J., &amp; Ram, S. (2004). Design science in information systems research. MIS Quarterly, 28(1), 75–105.</w:t>
      </w:r>
    </w:p>
    <w:p>
      <w:pPr>
        <w:pStyle w:val="ListParagraph"/>
        <w:numPr>
          <w:ilvl w:val="0"/>
          <w:numId w:val="2"/>
        </w:numPr>
        <w:spacing w:after="40" w:before="40"/>
      </w:pPr>
      <w:r>
        <w:rPr>
          <w:rFonts w:ascii="Arial" w:cs="Arial" w:eastAsia="Arial" w:hAnsi="Arial"/>
          <w:color w:val="0F0F0F"/>
          <w:sz w:val="22"/>
          <w:szCs w:val="22"/>
        </w:rPr>
        <w:t xml:space="preserve">Ohlson, J.A. (1980). Financial ratios and the probabilistic prediction of bankruptcy. Journal of Accounting Research, 18(1), 109–131.</w:t>
      </w:r>
    </w:p>
    <w:p>
      <w:pPr>
        <w:pStyle w:val="ListParagraph"/>
        <w:numPr>
          <w:ilvl w:val="0"/>
          <w:numId w:val="2"/>
        </w:numPr>
        <w:spacing w:after="40" w:before="40"/>
      </w:pPr>
      <w:r>
        <w:rPr>
          <w:rFonts w:ascii="Arial" w:cs="Arial" w:eastAsia="Arial" w:hAnsi="Arial"/>
          <w:color w:val="0F0F0F"/>
          <w:sz w:val="22"/>
          <w:szCs w:val="22"/>
        </w:rPr>
        <w:t xml:space="preserve">Peffers, K., Tuunanen, T., Rothenberger, M.A., &amp; Chatterjee, S. (2007). A design science research methodology for information systems research. Journal of Management Information Systems, 24(3), 45–77.</w:t>
      </w:r>
    </w:p>
    <w:p>
      <w:pPr>
        <w:pStyle w:val="ListParagraph"/>
        <w:numPr>
          <w:ilvl w:val="0"/>
          <w:numId w:val="2"/>
        </w:numPr>
        <w:spacing w:after="40" w:before="40"/>
      </w:pPr>
      <w:r>
        <w:rPr>
          <w:rFonts w:ascii="Arial" w:cs="Arial" w:eastAsia="Arial" w:hAnsi="Arial"/>
          <w:color w:val="0F0F0F"/>
          <w:sz w:val="22"/>
          <w:szCs w:val="22"/>
        </w:rPr>
        <w:t xml:space="preserve">Piotroski, J.D. (2000). Value investing: The use of historical financial statement information to separate winners from losers. Journal of Accounting Research, 38(Supplement), 1–41.</w:t>
      </w:r>
    </w:p>
    <w:p>
      <w:pPr>
        <w:pStyle w:val="ListParagraph"/>
        <w:numPr>
          <w:ilvl w:val="0"/>
          <w:numId w:val="2"/>
        </w:numPr>
        <w:spacing w:after="40" w:before="40"/>
      </w:pPr>
      <w:r>
        <w:rPr>
          <w:rFonts w:ascii="Arial" w:cs="Arial" w:eastAsia="Arial" w:hAnsi="Arial"/>
          <w:color w:val="0F0F0F"/>
          <w:sz w:val="22"/>
          <w:szCs w:val="22"/>
        </w:rPr>
        <w:t xml:space="preserve">Sloan, R.G. (1996). Do stock prices fully reflect information in accruals and cash flows about future earnings? Accounting Review, 71(3), 289–315.</w:t>
      </w:r>
    </w:p>
    <w:p>
      <w:pPr>
        <w:pStyle w:val="ListParagraph"/>
        <w:numPr>
          <w:ilvl w:val="0"/>
          <w:numId w:val="2"/>
        </w:numPr>
        <w:spacing w:after="40" w:before="40"/>
      </w:pPr>
      <w:r>
        <w:rPr>
          <w:rFonts w:ascii="Arial" w:cs="Arial" w:eastAsia="Arial" w:hAnsi="Arial"/>
          <w:color w:val="0F0F0F"/>
          <w:sz w:val="22"/>
          <w:szCs w:val="22"/>
        </w:rPr>
        <w:t xml:space="preserve">Zmijewski, M.E. (1984). Methodological issues related to the estimation of financial distress prediction models. Journal of Accounting Research, 22(Supplement), 59–82.</w:t>
      </w:r>
    </w:p>
    <w:p>
      <w:pPr>
        <w:spacing w:after="160" w:before="0"/>
      </w:pPr>
      <w:r>
        <w:rPr>
          <w:rFonts w:ascii="Arial" w:cs="Arial" w:eastAsia="Arial" w:hAnsi="Arial"/>
          <w:color w:val="0F0F0F"/>
          <w:sz w:val="22"/>
          <w:szCs w:val="22"/>
        </w:rPr>
        <w:t xml:space="preserve"/>
      </w:r>
    </w:p>
    <w:p>
      <w:pPr>
        <w:pBdr>
          <w:bottom w:val="single" w:color="003366" w:sz="6" w:space="1"/>
        </w:pBdr>
        <w:spacing w:after="120" w:before="120"/>
      </w:pPr>
      <w:r>
        <w:rPr>
          <w:rFonts w:ascii="Arial" w:cs="Arial" w:eastAsia="Arial" w:hAnsi="Arial"/>
          <w:color w:val="0F0F0F"/>
          <w:sz w:val="22"/>
          <w:szCs w:val="22"/>
        </w:rPr>
        <w:t xml:space="preserve"/>
      </w:r>
    </w:p>
    <w:p>
      <w:pPr>
        <w:spacing w:after="80" w:before="0"/>
      </w:pPr>
      <w:r>
        <w:rPr>
          <w:rFonts w:ascii="Arial" w:cs="Arial" w:eastAsia="Arial" w:hAnsi="Arial"/>
          <w:color w:val="0F0F0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366" w:sz="8"/>
              <w:left w:val="single" w:color="003366" w:sz="8"/>
              <w:bottom w:val="single" w:color="003366" w:sz="8"/>
              <w:right w:val="single" w:color="003366" w:sz="8"/>
            </w:tcBorders>
            <w:shd w:fill="003366" w:val="clear"/>
            <w:tcMar>
              <w:top w:type="dxa" w:w="180"/>
              <w:left w:type="dxa" w:w="260"/>
              <w:bottom w:type="dxa" w:w="180"/>
              <w:right w:type="dxa" w:w="260"/>
            </w:tcMar>
          </w:tcPr>
          <w:p>
            <w:pPr>
              <w:spacing w:after="50" w:before="50"/>
              <w:jc w:val="center"/>
            </w:pPr>
            <w:r>
              <w:rPr>
                <w:rFonts w:ascii="Arial" w:cs="Arial" w:eastAsia="Arial" w:hAnsi="Arial"/>
                <w:color w:val="d1fae5"/>
                <w:sz w:val="20"/>
                <w:szCs w:val="20"/>
              </w:rPr>
              <w:t xml:space="preserve">This grant proposal is submitted with the conviction that COMPASS-ESG will become a foundational piece of India's ESG and corporate sustainability infrastructure —</w:t>
            </w:r>
          </w:p>
          <w:p>
            <w:pPr>
              <w:spacing w:after="50" w:before="50"/>
              <w:jc w:val="center"/>
            </w:pPr>
            <w:r>
              <w:rPr>
                <w:rFonts w:ascii="Arial" w:cs="Arial" w:eastAsia="Arial" w:hAnsi="Arial"/>
                <w:color w:val="d1fae5"/>
                <w:sz w:val="20"/>
                <w:szCs w:val="20"/>
              </w:rPr>
              <w:t xml:space="preserve">freely accessible, methodologically rigorous, and permanently aligned with SEBI's mission of transparent, credible, and investor-protective capital markets.</w:t>
            </w:r>
          </w:p>
          <w:p>
            <w:pPr>
              <w:spacing w:after="0" w:before="0"/>
            </w:pPr>
            <w:r>
              <w:rPr>
                <w:rFonts w:ascii="Arial" w:cs="Arial" w:eastAsia="Arial" w:hAnsi="Arial"/>
                <w:color w:val="0F0F0F"/>
                <w:sz w:val="22"/>
                <w:szCs w:val="22"/>
              </w:rPr>
              <w:t xml:space="preserve"/>
            </w:r>
          </w:p>
          <w:p>
            <w:pPr>
              <w:spacing w:after="50" w:before="50"/>
              <w:jc w:val="center"/>
            </w:pPr>
            <w:r>
              <w:rPr>
                <w:rFonts w:ascii="Arial" w:cs="Arial" w:eastAsia="Arial" w:hAnsi="Arial"/>
                <w:b/>
                <w:bCs/>
                <w:color w:val="FFFFFF"/>
                <w:sz w:val="18"/>
                <w:szCs w:val="18"/>
              </w:rPr>
              <w:t xml:space="preserve">Dr. Debasis Pahi  |  drdpklass.github.io  |  Model Degree College, Malkangiri, Odisha</w:t>
            </w:r>
          </w:p>
          <w:p>
            <w:pPr>
              <w:spacing w:after="50" w:before="50"/>
              <w:jc w:val="center"/>
            </w:pPr>
            <w:r>
              <w:rPr>
                <w:rFonts w:ascii="Arial" w:cs="Arial" w:eastAsia="Arial" w:hAnsi="Arial"/>
                <w:color w:val="A8C8F0"/>
                <w:sz w:val="16"/>
                <w:szCs w:val="16"/>
              </w:rPr>
              <w:t xml:space="preserve">© 2025  |  Proposal Reference: DP/SEBI/ESG-GRANT/2025/001</w:t>
            </w:r>
          </w:p>
        </w:tc>
      </w:tr>
    </w:tbl>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bottom w:val="none" w:color="FFFFFF" w:sz="0"/>
        <w:left w:val="none" w:color="FFFFFF" w:sz="0"/>
        <w:right w:val="none" w:color="FFFFFF" w:sz="0"/>
      </w:pBdr>
      <w:spacing w:after="0" w:before="80"/>
      <w:jc w:val="center"/>
    </w:pPr>
    <w:r>
      <w:rPr>
        <w:rFonts w:ascii="Arial" w:cs="Arial" w:eastAsia="Arial" w:hAnsi="Arial"/>
        <w:color w:val="6B7280"/>
        <w:sz w:val="16"/>
        <w:szCs w:val="16"/>
      </w:rPr>
      <w:t xml:space="preserve">Dr. Debasis Pahi  |  SEBI Grant Proposal: COMPASS-ESG Platform  |  Model Degree College, Malkangiri, Odisha  |  drdpklass.github.io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003366" w:sz="6"/>
      </w:pBdr>
      <w:tabs>
        <w:tab w:val="right" w:pos="8800"/>
      </w:tabs>
      <w:spacing w:after="80" w:before="0"/>
    </w:pPr>
    <w:r>
      <w:rPr>
        <w:rFonts w:ascii="Arial" w:cs="Arial" w:eastAsia="Arial" w:hAnsi="Arial"/>
        <w:b/>
        <w:bCs/>
        <w:color w:val="003366"/>
        <w:sz w:val="18"/>
        <w:szCs w:val="18"/>
      </w:rPr>
      <w:t xml:space="preserve">GRANT PROJECT PROPOSAL</w:t>
    </w:r>
    <w:r>
      <w:rPr>
        <w:rFonts w:ascii="Arial" w:cs="Arial" w:eastAsia="Arial" w:hAnsi="Arial"/>
        <w:color w:val="6B7280"/>
        <w:sz w:val="16"/>
        <w:szCs w:val="16"/>
      </w:rPr>
      <w:t xml:space="preserve">   |   Securities and Exchange Board of India (SEBI)</w:t>
    </w:r>
    <w:r>
      <w:rPr>
        <w:rFonts w:ascii="Arial" w:cs="Arial" w:eastAsia="Arial" w:hAnsi="Arial"/>
        <w:sz w:val="16"/>
        <w:szCs w:val="16"/>
      </w:rPr>
      <w:t xml:space="preserve">	</w:t>
    </w:r>
    <w:r>
      <w:rPr>
        <w:rFonts w:ascii="Arial" w:cs="Arial" w:eastAsia="Arial" w:hAnsi="Arial"/>
        <w:b/>
        <w:bCs/>
        <w:color w:val="D97706"/>
        <w:sz w:val="16"/>
        <w:szCs w:val="16"/>
      </w:rPr>
      <w:t xml:space="preserve">CONFIDENTIAL  |  REF: DP/SEBI/ESG/2025/001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60"/>
      </w:pPr>
    </w:lvl>
  </w:abstractNum>
  <w:abstractNum w:abstractNumId="3" w15:restartNumberingAfterBreak="0">
    <w:multiLevelType w:val="hybridMultilevel"/>
    <w:lvl w:ilvl="0" w15:tentative="1">
      <w:start w:val="1"/>
      <w:numFmt w:val="bullet"/>
      <w:lvlText w:val="▸"/>
      <w:lvlJc w:val="left"/>
      <w:pPr>
        <w:ind w:left="1060" w:hanging="360"/>
      </w:pPr>
    </w:lvl>
  </w:abstractNum>
  <w:abstractNum w:abstractNumId="4" w15:restartNumberingAfterBreak="0">
    <w:multiLevelType w:val="hybridMultilevel"/>
    <w:lvl w:ilvl="0" w15:tentative="1">
      <w:start w:val="1"/>
      <w:numFmt w:val="decimal"/>
      <w:lvlText w:val="%1."/>
      <w:lvlJc w:val="left"/>
      <w:pPr>
        <w:ind w:left="700" w:hanging="360"/>
      </w:pPr>
    </w:lvl>
  </w:abstractNum>
  <w:abstractNum w:abstractNumId="5" w15:restartNumberingAfterBreak="0">
    <w:multiLevelType w:val="hybridMultilevel"/>
    <w:lvl w:ilvl="0" w15:tentative="1">
      <w:start w:val="1"/>
      <w:numFmt w:val="lowerLetter"/>
      <w:lvlText w:val="(%1)"/>
      <w:lvlJc w:val="left"/>
      <w:pPr>
        <w:ind w:left="7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0F0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2026-04-14T02:36:22.893Z</dcterms:created>
  <dcterms:modified xsi:type="dcterms:W3CDTF">2026-04-14T02:36:22.894Z</dcterms:modified>
</cp:coreProperties>
</file>

<file path=docProps/custom.xml><?xml version="1.0" encoding="utf-8"?>
<Properties xmlns="http://schemas.openxmlformats.org/officeDocument/2006/custom-properties" xmlns:vt="http://schemas.openxmlformats.org/officeDocument/2006/docPropsVTypes"/>
</file>