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E4009">
      <w:pPr>
        <w:spacing w:after="160"/>
      </w:pPr>
    </w:p>
    <w:p w14:paraId="1D43EEEC">
      <w:pPr>
        <w:spacing w:after="160"/>
      </w:pPr>
    </w:p>
    <w:p w14:paraId="15D86837">
      <w:pPr>
        <w:spacing w:after="160"/>
      </w:pPr>
    </w:p>
    <w:p w14:paraId="1F302A93">
      <w:pPr>
        <w:spacing w:after="160" w:line="480" w:lineRule="auto"/>
        <w:jc w:val="center"/>
      </w:pPr>
      <w:r>
        <w:rPr>
          <w:rFonts w:ascii="Times New Roman" w:hAnsi="Times New Roman" w:eastAsia="Times New Roman" w:cs="Times New Roman"/>
          <w:b/>
          <w:bCs/>
          <w:sz w:val="28"/>
          <w:szCs w:val="28"/>
        </w:rPr>
        <w:t>THE LANGUAGE OF MONEY: RHETORIC, NARRATIVE, AND POWER</w:t>
      </w:r>
    </w:p>
    <w:p w14:paraId="638370A4">
      <w:pPr>
        <w:spacing w:after="160" w:line="480" w:lineRule="auto"/>
        <w:jc w:val="center"/>
      </w:pPr>
      <w:r>
        <w:rPr>
          <w:rFonts w:ascii="Times New Roman" w:hAnsi="Times New Roman" w:eastAsia="Times New Roman" w:cs="Times New Roman"/>
          <w:b/>
          <w:bCs/>
          <w:sz w:val="28"/>
          <w:szCs w:val="28"/>
        </w:rPr>
        <w:t>IN FINANCIAL DISCOURSE</w:t>
      </w:r>
    </w:p>
    <w:p w14:paraId="0DA0F82A">
      <w:pPr>
        <w:spacing w:after="160"/>
      </w:pPr>
    </w:p>
    <w:p w14:paraId="193EB724">
      <w:pPr>
        <w:spacing w:after="160" w:line="480" w:lineRule="auto"/>
        <w:jc w:val="center"/>
      </w:pPr>
      <w:r>
        <w:rPr>
          <w:rFonts w:ascii="Times New Roman" w:hAnsi="Times New Roman" w:eastAsia="Times New Roman" w:cs="Times New Roman"/>
          <w:i/>
          <w:iCs/>
          <w:sz w:val="24"/>
          <w:szCs w:val="24"/>
        </w:rPr>
        <w:t>A Theoretical and Textual Analysis of How Financial Texts</w:t>
      </w:r>
    </w:p>
    <w:p w14:paraId="7C73B9F2">
      <w:pPr>
        <w:spacing w:after="160" w:line="480" w:lineRule="auto"/>
        <w:jc w:val="center"/>
      </w:pPr>
      <w:r>
        <w:rPr>
          <w:rFonts w:ascii="Times New Roman" w:hAnsi="Times New Roman" w:eastAsia="Times New Roman" w:cs="Times New Roman"/>
          <w:i/>
          <w:iCs/>
          <w:sz w:val="24"/>
          <w:szCs w:val="24"/>
        </w:rPr>
        <w:t>Construct Economic Reality</w:t>
      </w:r>
      <w:bookmarkStart w:id="0" w:name="_GoBack"/>
      <w:bookmarkEnd w:id="0"/>
    </w:p>
    <w:p w14:paraId="4FF416DF">
      <w:pPr>
        <w:spacing w:after="160"/>
      </w:pPr>
    </w:p>
    <w:p w14:paraId="1FE140E0">
      <w:pPr>
        <w:spacing w:after="160"/>
      </w:pPr>
    </w:p>
    <w:p w14:paraId="0122CE37">
      <w:pPr>
        <w:spacing w:after="160" w:line="480" w:lineRule="auto"/>
        <w:jc w:val="center"/>
        <w:rPr>
          <w:rFonts w:hint="default"/>
          <w:lang w:val="en-IN"/>
        </w:rPr>
      </w:pPr>
      <w:r>
        <w:rPr>
          <w:rFonts w:hint="default"/>
          <w:lang w:val="en-IN"/>
        </w:rPr>
        <w:t>Nigel Peter O’Brien</w:t>
      </w:r>
      <w:r>
        <w:rPr>
          <w:rStyle w:val="12"/>
          <w:rFonts w:hint="default"/>
          <w:lang w:val="en-IN"/>
        </w:rPr>
        <w:footnoteReference w:id="0"/>
      </w:r>
    </w:p>
    <w:p w14:paraId="0900A2C5">
      <w:pPr>
        <w:spacing w:after="160" w:line="480" w:lineRule="auto"/>
        <w:jc w:val="center"/>
        <w:rPr>
          <w:rFonts w:hint="default"/>
          <w:lang w:val="en-IN"/>
        </w:rPr>
      </w:pPr>
      <w:r>
        <w:rPr>
          <w:rFonts w:hint="default"/>
          <w:lang w:val="en-IN"/>
        </w:rPr>
        <w:t>&amp;</w:t>
      </w:r>
    </w:p>
    <w:p w14:paraId="125E9252">
      <w:pPr>
        <w:spacing w:after="160" w:line="480" w:lineRule="auto"/>
        <w:jc w:val="center"/>
        <w:rPr>
          <w:rFonts w:hint="default"/>
          <w:lang w:val="en-IN"/>
        </w:rPr>
      </w:pPr>
      <w:r>
        <w:rPr>
          <w:rFonts w:hint="default"/>
          <w:lang w:val="en-IN"/>
        </w:rPr>
        <w:t>Debasis Pahi</w:t>
      </w:r>
      <w:r>
        <w:rPr>
          <w:rStyle w:val="12"/>
          <w:rFonts w:hint="default"/>
          <w:lang w:val="en-IN"/>
        </w:rPr>
        <w:footnoteReference w:id="1"/>
      </w:r>
    </w:p>
    <w:p w14:paraId="409D199B">
      <w:pPr>
        <w:spacing w:after="160" w:line="480" w:lineRule="auto"/>
        <w:jc w:val="both"/>
        <w:rPr>
          <w:rFonts w:hint="default"/>
          <w:lang w:val="en-IN"/>
        </w:rPr>
      </w:pPr>
    </w:p>
    <w:p w14:paraId="0F9B66EC">
      <w:r>
        <w:br w:type="page"/>
      </w:r>
    </w:p>
    <w:p w14:paraId="50B60DE7">
      <w:pPr>
        <w:pStyle w:val="2"/>
        <w:spacing w:before="320" w:after="160"/>
      </w:pPr>
      <w:r>
        <w:rPr>
          <w:rFonts w:ascii="Times New Roman" w:hAnsi="Times New Roman" w:eastAsia="Times New Roman" w:cs="Times New Roman"/>
          <w:b/>
          <w:bCs/>
          <w:sz w:val="28"/>
          <w:szCs w:val="28"/>
        </w:rPr>
        <w:t>ABSTRACT</w:t>
      </w:r>
    </w:p>
    <w:p w14:paraId="047F288B">
      <w:pPr>
        <w:spacing w:after="20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Financial texts — annual reports, prospectuses, central bank communications, analyst reports, and earnings call transcripts — are rarely studied as literary or rhetorical artefacts. This paper argues that they should be. Drawing on critical discourse analysis, narrative theory, rhetorical criticism, and the performativity thesis in the sociology of finance, this study conducts a systematic textual analysis of the language, metaphor systems, and narrative architectures embedded in canonical financial documents. The central argument is that financial language does not merely describe economic reality; it actively constructs, legitimises, and reproduces it. Through close reading of representative texts drawn from corporate America, the Bank of England, the International Monetary Fund, and the global press, the paper identifies four dominant rhetorical strategies — naturalisation, temporalisation, agentive displacement, and moral encoding — that stabilise particular visions of economic order while marginalising alternatives. The paper contributes a unified theoretical framework — the Rhetoric-Finance Interface (RFI) model — to both literary scholarship and financial economics, arguing that interpretive humanist methods are not supplementary to financial analysis but constitutive of it.</w:t>
      </w:r>
    </w:p>
    <w:p w14:paraId="77FC6A5D">
      <w:pPr>
        <w:spacing w:after="200"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Keywords: financial discourse, rhetoric of finance, narrative economics,</w:t>
      </w:r>
      <w:r>
        <w:rPr>
          <w:rFonts w:hint="default" w:cs="Times New Roman"/>
          <w:sz w:val="24"/>
          <w:szCs w:val="24"/>
          <w:lang w:val="en-IN"/>
        </w:rPr>
        <w:t xml:space="preserve"> </w:t>
      </w:r>
      <w:r>
        <w:rPr>
          <w:rFonts w:hint="default" w:ascii="Times New Roman" w:hAnsi="Times New Roman" w:eastAsia="Times New Roman" w:cs="Times New Roman"/>
          <w:sz w:val="24"/>
          <w:szCs w:val="24"/>
        </w:rPr>
        <w:t>critical discourse analysis, performativity of language, textual analysis</w:t>
      </w:r>
    </w:p>
    <w:p w14:paraId="36F5E1A3">
      <w:pPr>
        <w:spacing w:after="200" w:line="480" w:lineRule="auto"/>
        <w:jc w:val="both"/>
        <w:rPr>
          <w:rFonts w:hint="default" w:ascii="Times New Roman" w:hAnsi="Times New Roman" w:eastAsia="Times New Roman" w:cs="Times New Roman"/>
          <w:sz w:val="24"/>
          <w:szCs w:val="24"/>
        </w:rPr>
      </w:pPr>
      <w:r>
        <w:rPr>
          <w:rFonts w:hint="default" w:cs="Times New Roman"/>
          <w:sz w:val="24"/>
          <w:szCs w:val="24"/>
          <w:lang w:val="en-IN"/>
        </w:rPr>
        <w:t>J</w:t>
      </w:r>
      <w:r>
        <w:rPr>
          <w:rFonts w:hint="default" w:ascii="Times New Roman" w:hAnsi="Times New Roman" w:eastAsia="Times New Roman" w:cs="Times New Roman"/>
          <w:sz w:val="24"/>
          <w:szCs w:val="24"/>
        </w:rPr>
        <w:t>EL Codes: Z13, G10, B41, A12</w:t>
      </w:r>
    </w:p>
    <w:p w14:paraId="1DD49D02">
      <w:pPr>
        <w:spacing w:after="200" w:line="480" w:lineRule="auto"/>
        <w:ind w:firstLine="720"/>
        <w:jc w:val="both"/>
        <w:rPr>
          <w:rFonts w:hint="default" w:ascii="Times New Roman" w:hAnsi="Times New Roman" w:eastAsia="Times New Roman" w:cs="Times New Roman"/>
          <w:sz w:val="24"/>
          <w:szCs w:val="24"/>
        </w:rPr>
      </w:pPr>
    </w:p>
    <w:p w14:paraId="3F54253A">
      <w:pPr>
        <w:spacing w:after="200" w:line="480"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rPr>
        <w:t>Target Journals: PMLA, Journal of Cultural Economy, Economy and Society,</w:t>
      </w:r>
      <w:r>
        <w:rPr>
          <w:rFonts w:hint="default" w:cs="Times New Roman"/>
          <w:sz w:val="24"/>
          <w:szCs w:val="24"/>
          <w:lang w:val="en-IN"/>
        </w:rPr>
        <w:t xml:space="preserve"> </w:t>
      </w:r>
      <w:r>
        <w:rPr>
          <w:rFonts w:hint="default" w:ascii="Times New Roman" w:hAnsi="Times New Roman" w:eastAsia="Times New Roman" w:cs="Times New Roman"/>
          <w:sz w:val="24"/>
          <w:szCs w:val="24"/>
        </w:rPr>
        <w:t>Critical Inquiry, Journal of Financial Economics (Theoretical),</w:t>
      </w:r>
      <w:r>
        <w:rPr>
          <w:rFonts w:hint="default" w:cs="Times New Roman"/>
          <w:sz w:val="24"/>
          <w:szCs w:val="24"/>
          <w:lang w:val="en-IN"/>
        </w:rPr>
        <w:t xml:space="preserve"> </w:t>
      </w:r>
      <w:r>
        <w:rPr>
          <w:rFonts w:ascii="Times New Roman" w:hAnsi="Times New Roman" w:eastAsia="Times New Roman" w:cs="Times New Roman"/>
          <w:sz w:val="24"/>
          <w:szCs w:val="24"/>
        </w:rPr>
        <w:t>New Literary History</w:t>
      </w:r>
    </w:p>
    <w:p w14:paraId="7F54963F">
      <w:r>
        <w:br w:type="page"/>
      </w:r>
    </w:p>
    <w:p w14:paraId="0A00FD89">
      <w:pPr>
        <w:pStyle w:val="2"/>
        <w:spacing w:before="320" w:after="160"/>
      </w:pPr>
      <w:r>
        <w:rPr>
          <w:rFonts w:ascii="Times New Roman" w:hAnsi="Times New Roman" w:eastAsia="Times New Roman" w:cs="Times New Roman"/>
          <w:b/>
          <w:bCs/>
          <w:sz w:val="28"/>
          <w:szCs w:val="28"/>
        </w:rPr>
        <w:t>I. INTRODUCTION</w:t>
      </w:r>
    </w:p>
    <w:p w14:paraId="690AEFF7">
      <w:pPr>
        <w:spacing w:after="200" w:line="480" w:lineRule="auto"/>
        <w:ind w:firstLine="720"/>
        <w:jc w:val="both"/>
      </w:pPr>
      <w:r>
        <w:rPr>
          <w:rFonts w:ascii="Times New Roman" w:hAnsi="Times New Roman" w:eastAsia="Times New Roman" w:cs="Times New Roman"/>
          <w:sz w:val="24"/>
          <w:szCs w:val="24"/>
        </w:rPr>
        <w:t>When Alan Greenspan told the United States Congress in 1996 that equity markets were exhibiting 'irrational exuberance,' he did not merely report a fact about asset prices. He named a sentiment, condensed a complex market psychology into a two-word metaphor, and in doing so, moved those very markets. The Dow Jones Industrial Average fell nearly 2.3% within hours of the remark. This episode — a language event producing a financial event — illustrates what this paper takes as its foundational premise: that words in finance are never merely descriptive. They are performative. They do not report the economy; they help make it.</w:t>
      </w:r>
    </w:p>
    <w:p w14:paraId="52B834BF">
      <w:pPr>
        <w:spacing w:after="200" w:line="480" w:lineRule="auto"/>
        <w:ind w:firstLine="720"/>
        <w:jc w:val="both"/>
      </w:pPr>
      <w:r>
        <w:rPr>
          <w:rFonts w:ascii="Times New Roman" w:hAnsi="Times New Roman" w:eastAsia="Times New Roman" w:cs="Times New Roman"/>
          <w:sz w:val="24"/>
          <w:szCs w:val="24"/>
        </w:rPr>
        <w:t>The relationship between language and finance has been noted but rarely theorised with the rigour it deserves. Economists have long treated financial texts — prospectuses, central bank minutes, earnings guidance, rating agency reports — as transparent conduits of information, vessels that carry meaning from sender to receiver without significant distortion or creative intervention. Literary and cultural scholars, for their part, have largely ceded financial discourse to the economists, treating it as dry, technical, and unworthy of the close interpretive attention lavished on novels, poems, and plays. This paper argues that both sides are mistaken, and that the cost of this mutual neglect is considerable.</w:t>
      </w:r>
    </w:p>
    <w:p w14:paraId="187C5475">
      <w:pPr>
        <w:spacing w:after="200" w:line="480" w:lineRule="auto"/>
        <w:ind w:firstLine="720"/>
        <w:jc w:val="both"/>
      </w:pPr>
      <w:r>
        <w:rPr>
          <w:rFonts w:ascii="Times New Roman" w:hAnsi="Times New Roman" w:eastAsia="Times New Roman" w:cs="Times New Roman"/>
          <w:sz w:val="24"/>
          <w:szCs w:val="24"/>
        </w:rPr>
        <w:t>Financial texts are among the most consequential documents produced in contemporary society. They move capital across continents. They determine whether firms live or die, whether pension funds grow or collapse, whether workers keep their jobs or lose them. They are read by thousands of sophisticated actors — analysts, fund managers, regulators, journalists — whose interpretations are then translated into prices, ratings, and decisions that affect millions who never read a word of the original documents. A discipline that studies language and meaning — English, literary studies, rhetoric — has an obligation to attend to these texts, not as curiosities, but as central objects of critical inquiry.</w:t>
      </w:r>
    </w:p>
    <w:p w14:paraId="0941C4D7">
      <w:pPr>
        <w:spacing w:after="200" w:line="480" w:lineRule="auto"/>
        <w:ind w:firstLine="720"/>
        <w:jc w:val="both"/>
      </w:pPr>
      <w:r>
        <w:rPr>
          <w:rFonts w:ascii="Times New Roman" w:hAnsi="Times New Roman" w:eastAsia="Times New Roman" w:cs="Times New Roman"/>
          <w:sz w:val="24"/>
          <w:szCs w:val="24"/>
        </w:rPr>
        <w:t>This paper makes four principal contributions. First, it establishes a theoretical framework — the Rhetoric-Finance Interface (RFI) model — that integrates insights from critical discourse analysis (CDA), narrative economics, the performativity thesis, and classical rhetoric to produce a unified vocabulary for the interdisciplinary study of financial language. Second, it conducts systematic close readings of representative financial texts — central bank communications, corporate annual reports, IMF programme documents, and financial journalism — demonstrating how rhetorical strategies operate at the level of word, sentence, paragraph, and genre. Third, it identifies four dominant rhetorical strategies — naturalisation, temporalisation, agentive displacement, and moral encoding — that function across financial genres to produce particular effects of authority, inevitability, and legitimacy. Fourth, it argues that these findings have implications not only for literary scholarship but for financial regulators, investors, and policymakers who rely on financial texts as primary evidence of economic conditions.</w:t>
      </w:r>
    </w:p>
    <w:p w14:paraId="7F1DDDB2">
      <w:pPr>
        <w:spacing w:after="200" w:line="480" w:lineRule="auto"/>
        <w:ind w:firstLine="720"/>
        <w:jc w:val="both"/>
      </w:pPr>
      <w:r>
        <w:rPr>
          <w:rFonts w:ascii="Times New Roman" w:hAnsi="Times New Roman" w:eastAsia="Times New Roman" w:cs="Times New Roman"/>
          <w:sz w:val="24"/>
          <w:szCs w:val="24"/>
        </w:rPr>
        <w:t>The remainder of this paper proceeds as follows. Section II situates the study within relevant scholarly traditions, drawing together threads from literary theory, economic sociology, and financial economics that have previously been kept apart. Section III develops the Rhetoric-Finance Interface model in detail. Section IV presents the textual analysis across four genres of financial discourse. Section V addresses the implications of the analysis for theory and practice. Section VI concludes.</w:t>
      </w:r>
    </w:p>
    <w:p w14:paraId="4520C986">
      <w:r>
        <w:br w:type="page"/>
      </w:r>
    </w:p>
    <w:p w14:paraId="4CBC4BEB">
      <w:pPr>
        <w:pStyle w:val="2"/>
        <w:spacing w:before="320" w:after="160"/>
      </w:pPr>
      <w:r>
        <w:rPr>
          <w:rFonts w:ascii="Times New Roman" w:hAnsi="Times New Roman" w:eastAsia="Times New Roman" w:cs="Times New Roman"/>
          <w:b/>
          <w:bCs/>
          <w:sz w:val="28"/>
          <w:szCs w:val="28"/>
        </w:rPr>
        <w:t>II. LITERATURE REVIEW AND THEORETICAL POSITIONING</w:t>
      </w:r>
    </w:p>
    <w:p w14:paraId="0D519335">
      <w:pPr>
        <w:pStyle w:val="3"/>
        <w:spacing w:before="320" w:after="160"/>
      </w:pPr>
      <w:r>
        <w:rPr>
          <w:rFonts w:ascii="Times New Roman" w:hAnsi="Times New Roman" w:eastAsia="Times New Roman" w:cs="Times New Roman"/>
          <w:b/>
          <w:bCs/>
          <w:sz w:val="26"/>
          <w:szCs w:val="26"/>
        </w:rPr>
        <w:t>2.1 What English and Rhetoric Have Said About Financial Language</w:t>
      </w:r>
    </w:p>
    <w:p w14:paraId="57FE41DE">
      <w:pPr>
        <w:spacing w:after="200" w:line="480" w:lineRule="auto"/>
        <w:ind w:firstLine="720"/>
        <w:jc w:val="both"/>
      </w:pPr>
      <w:r>
        <w:rPr>
          <w:rFonts w:ascii="Times New Roman" w:hAnsi="Times New Roman" w:eastAsia="Times New Roman" w:cs="Times New Roman"/>
          <w:sz w:val="24"/>
          <w:szCs w:val="24"/>
        </w:rPr>
        <w:t>Humanistic engagement with financial discourse has a longer history than is commonly acknowledged, though it has developed unevenly and without sustained disciplinary coherence. The most rigorous early interventions came from rhetorical scholars rather than literary critics. Deirdre McCloskey's landmark study, The Rhetoric of Economics (1985), argued that economists employed classical rhetorical devices — metaphor, analogy, narrative, authority appeals — without acknowledging them as such, producing a false appearance of objective scientific reasoning. McCloskey demonstrated, through detailed reading of canonical economics texts including Milton Friedman's essays and Paul Samuelson's textbook, that the 'modernist' methodology economists professed bore little resemblance to the argumentative practices they actually employed. This insight was foundational, but McCloskey's focus remained on academic economics rather than the practitioner financial texts — the prospectus, the analyst report, the earnings call — that this paper takes as its primary objects.</w:t>
      </w:r>
    </w:p>
    <w:p w14:paraId="5CAFB1AF">
      <w:pPr>
        <w:spacing w:after="200" w:line="480" w:lineRule="auto"/>
        <w:ind w:firstLine="720"/>
        <w:jc w:val="both"/>
      </w:pPr>
      <w:r>
        <w:rPr>
          <w:rFonts w:ascii="Times New Roman" w:hAnsi="Times New Roman" w:eastAsia="Times New Roman" w:cs="Times New Roman"/>
          <w:sz w:val="24"/>
          <w:szCs w:val="24"/>
        </w:rPr>
        <w:t>Literary scholars entered the conversation more fitfully. The 'economic turn' in literary studies, associated with scholars such as Walter Benn Michaels, Marc Shell, and more recently Leigh Claire La Berge, examined the relationship between literary form and economic structure, tracing how novels, plays, and poems reflected, refracted, and occasionally resisted the economic logics of their historical moments [CITE NEEDED: La Berge on financialisation and literary form, circa 2014-2018]. This work was enormously productive for understanding canonical literature, but it moved in one direction only: from economics to literature. It asked what economic forces shaped literary production; it rarely asked what literary or rhetorical analysis might reveal about financial texts themselves.</w:t>
      </w:r>
    </w:p>
    <w:p w14:paraId="3F38BB5D">
      <w:pPr>
        <w:spacing w:after="200" w:line="480" w:lineRule="auto"/>
        <w:ind w:firstLine="720"/>
        <w:jc w:val="both"/>
      </w:pPr>
      <w:r>
        <w:rPr>
          <w:rFonts w:ascii="Times New Roman" w:hAnsi="Times New Roman" w:eastAsia="Times New Roman" w:cs="Times New Roman"/>
          <w:sz w:val="24"/>
          <w:szCs w:val="24"/>
        </w:rPr>
        <w:t>Critical discourse analysis (CDA), developed principally by Norman Fairclough, Teun van Dijk, and Ruth Wodak, offered methodological tools for the systematic analysis of how language reproduces social power, constructs social identities, and naturalises ideological positions [CITE NEEDED: Fairclough, Language and Power seminal edition]. CDA provided both a vocabulary — discourse, genre, intertextuality, ideology, hegemony — and an analytic programme that could be applied to financial texts. However, CDA's application to financial discourse has been scattered, often confined to the study of financial journalism or political-economic rhetoric rather than the primary texts of financial practice. The work of Paul Langley on 'financialisation of everyday life' and Randy Martin on 'financialisation of daily life' approached financial discourse sociologically rather than textually [CITE VERIFY: Langley, The Everyday Life of Global Finance, 2008].</w:t>
      </w:r>
    </w:p>
    <w:p w14:paraId="24CBCEB5">
      <w:pPr>
        <w:spacing w:after="200" w:line="480" w:lineRule="auto"/>
        <w:ind w:firstLine="720"/>
        <w:jc w:val="both"/>
      </w:pPr>
      <w:r>
        <w:rPr>
          <w:rFonts w:ascii="Times New Roman" w:hAnsi="Times New Roman" w:eastAsia="Times New Roman" w:cs="Times New Roman"/>
          <w:sz w:val="24"/>
          <w:szCs w:val="24"/>
        </w:rPr>
        <w:t>More recently, scholars working at the intersection of economic sociology and science and technology studies have developed what might loosely be called a 'material-semiotic' approach to financial discourse, examining how financial models, spreadsheets, screens, and texts function as what Callon termed 'market devices' — artefacts that do not merely represent markets but perform them into existence [CITE VERIFY: Callon, The Laws of the Markets, 1998]. This performativity thesis, developed in different registers by Donald MacKenzie, Fabian Muniesa, and Michel Callon, represents the most direct theoretical bridge between humanistic and social-scientific approaches to financial language, and it anchors the theoretical framework developed in this paper.</w:t>
      </w:r>
    </w:p>
    <w:p w14:paraId="16A3E538">
      <w:pPr>
        <w:pStyle w:val="3"/>
        <w:spacing w:before="320" w:after="160"/>
      </w:pPr>
      <w:r>
        <w:rPr>
          <w:rFonts w:ascii="Times New Roman" w:hAnsi="Times New Roman" w:eastAsia="Times New Roman" w:cs="Times New Roman"/>
          <w:b/>
          <w:bCs/>
          <w:sz w:val="26"/>
          <w:szCs w:val="26"/>
        </w:rPr>
        <w:t>2.2 What Finance Has Said About Its Own Language</w:t>
      </w:r>
    </w:p>
    <w:p w14:paraId="23753C4B">
      <w:pPr>
        <w:spacing w:after="200" w:line="480" w:lineRule="auto"/>
        <w:ind w:firstLine="720"/>
        <w:jc w:val="both"/>
      </w:pPr>
      <w:r>
        <w:rPr>
          <w:rFonts w:ascii="Times New Roman" w:hAnsi="Times New Roman" w:eastAsia="Times New Roman" w:cs="Times New Roman"/>
          <w:sz w:val="24"/>
          <w:szCs w:val="24"/>
        </w:rPr>
        <w:t>Within financial economics, the study of language has accelerated dramatically since the mid-2000s, driven partly by advances in computational linguistics and natural language processing that allowed researchers to process large textual corpora. This body of work — sometimes called 'textual analysis in finance' — has produced important findings about the informational content of financial documents. Tetlock (2007) demonstrated that the fraction of negative words in the Wall Street Journal's 'Abreast of the Market' column predicted aggregate market returns and trading volume [CITE VERIFY: Tetlock, Journal of Finance, 2007]. Li (2008) showed that the readability of 10-K filings — measured by the Fog Index — was negatively associated with future earnings [CITE VERIFY: Li, Journal of Accounting and Economics, 2008]. Loughran and McDonald (2011) developed a financial-domain-specific sentiment dictionary that outperformed general-purpose dictionaries in predicting firm outcomes [CITE VERIFY: Loughran and McDonald, Journal of Finance, 2011].</w:t>
      </w:r>
    </w:p>
    <w:p w14:paraId="000E2697">
      <w:pPr>
        <w:spacing w:after="200" w:line="480" w:lineRule="auto"/>
        <w:ind w:firstLine="720"/>
        <w:jc w:val="both"/>
      </w:pPr>
      <w:r>
        <w:rPr>
          <w:rFonts w:ascii="Times New Roman" w:hAnsi="Times New Roman" w:eastAsia="Times New Roman" w:cs="Times New Roman"/>
          <w:sz w:val="24"/>
          <w:szCs w:val="24"/>
        </w:rPr>
        <w:t>This work is technically sophisticated and empirically rigorous. Its limitation, from the perspective of the present study, is that it treats language instrumentally: as a signal that conveys information about pre-existing states of the world, and whose properties can be indexed by counting word frequencies. It does not ask what kind of world financial language presupposes, what subject positions it constructs, what social relations it naturalises, or how it accomplishes the rhetorical work of authority and legitimation. These are questions not of information transmission but of meaning-making — and they require different methods.</w:t>
      </w:r>
    </w:p>
    <w:p w14:paraId="5B459C52">
      <w:pPr>
        <w:spacing w:after="200" w:line="480" w:lineRule="auto"/>
        <w:ind w:firstLine="720"/>
        <w:jc w:val="both"/>
      </w:pPr>
      <w:r>
        <w:rPr>
          <w:rFonts w:ascii="Times New Roman" w:hAnsi="Times New Roman" w:eastAsia="Times New Roman" w:cs="Times New Roman"/>
          <w:sz w:val="24"/>
          <w:szCs w:val="24"/>
        </w:rPr>
        <w:t>Behavioural finance has made the most provocative incursion into the territory of language and narrative. Robert Shiller's narrative economics proposes that popular economic narratives — contagious stories that spread through populations — drive economic fluctuations in ways that aggregate models cannot capture [CITE VERIFY: Shiller, Narrative Economics, Princeton UP, 2019]. Shiller's framework opens important space for the kind of work this paper undertakes: it legitimises the study of financial stories as causes rather than merely symptoms of economic events. However, narrative economics treats narratives behaviourally rather than textually — as mind-changing forces rather than as crafted artefacts with analysable structures, strategies, and politics.</w:t>
      </w:r>
    </w:p>
    <w:p w14:paraId="35AEABF6">
      <w:pPr>
        <w:pStyle w:val="3"/>
        <w:spacing w:before="320" w:after="160"/>
      </w:pPr>
      <w:r>
        <w:rPr>
          <w:rFonts w:ascii="Times New Roman" w:hAnsi="Times New Roman" w:eastAsia="Times New Roman" w:cs="Times New Roman"/>
          <w:b/>
          <w:bCs/>
          <w:sz w:val="26"/>
          <w:szCs w:val="26"/>
        </w:rPr>
        <w:t>2.3 The Gap This Paper Fills</w:t>
      </w:r>
    </w:p>
    <w:p w14:paraId="25B6499F">
      <w:pPr>
        <w:spacing w:after="200" w:line="480" w:lineRule="auto"/>
        <w:ind w:firstLine="720"/>
        <w:jc w:val="both"/>
      </w:pPr>
      <w:r>
        <w:rPr>
          <w:rFonts w:ascii="Times New Roman" w:hAnsi="Times New Roman" w:eastAsia="Times New Roman" w:cs="Times New Roman"/>
          <w:sz w:val="24"/>
          <w:szCs w:val="24"/>
        </w:rPr>
        <w:t>The gap this paper fills lies precisely at the intersection of these traditions. Financial economics has developed powerful methods for quantifying the effects of financial language but lacks the interpretive tools to understand how financial texts mean what they mean and accomplish what they accomplish. Literary and rhetorical scholarship has developed precisely those interpretive tools but has applied them only fitfully, and never systematically, to the practitioner texts that drive financial markets. The sociology of finance has offered the most developed theoretical framework — performativity — but has focused on models, screens, and market devices rather than on the rhetoric of the documents that surround, justify, and give authority to those devices.</w:t>
      </w:r>
    </w:p>
    <w:p w14:paraId="2AA97123">
      <w:pPr>
        <w:spacing w:after="200" w:line="480" w:lineRule="auto"/>
        <w:ind w:firstLine="720"/>
        <w:jc w:val="both"/>
      </w:pPr>
      <w:r>
        <w:rPr>
          <w:rFonts w:ascii="Times New Roman" w:hAnsi="Times New Roman" w:eastAsia="Times New Roman" w:cs="Times New Roman"/>
          <w:sz w:val="24"/>
          <w:szCs w:val="24"/>
        </w:rPr>
        <w:t>What is needed — and what this paper proposes — is a theoretical and methodological synthesis that applies the full resources of textual analysis and rhetorical criticism to financial documents, grounded in the performativity thesis and attentive to the social power relations that financial language both reflects and reinforces. The Rhetoric-Finance Interface model developed in the next section attempts this synthesis.</w:t>
      </w:r>
    </w:p>
    <w:p w14:paraId="11556E40">
      <w:r>
        <w:br w:type="page"/>
      </w:r>
    </w:p>
    <w:p w14:paraId="23E4AF6D">
      <w:pPr>
        <w:pStyle w:val="2"/>
        <w:spacing w:before="320" w:after="160"/>
      </w:pPr>
      <w:r>
        <w:rPr>
          <w:rFonts w:ascii="Times New Roman" w:hAnsi="Times New Roman" w:eastAsia="Times New Roman" w:cs="Times New Roman"/>
          <w:b/>
          <w:bCs/>
          <w:sz w:val="28"/>
          <w:szCs w:val="28"/>
        </w:rPr>
        <w:t>III. THEORETICAL FRAMEWORK: THE RHETORIC-FINANCE INTERFACE MODEL</w:t>
      </w:r>
    </w:p>
    <w:p w14:paraId="1BEEA6E2">
      <w:pPr>
        <w:pStyle w:val="3"/>
        <w:spacing w:before="320" w:after="160"/>
      </w:pPr>
      <w:r>
        <w:rPr>
          <w:rFonts w:ascii="Times New Roman" w:hAnsi="Times New Roman" w:eastAsia="Times New Roman" w:cs="Times New Roman"/>
          <w:b/>
          <w:bCs/>
          <w:sz w:val="26"/>
          <w:szCs w:val="26"/>
        </w:rPr>
        <w:t>3.1 Foundations of the Model</w:t>
      </w:r>
    </w:p>
    <w:p w14:paraId="76B96B32">
      <w:pPr>
        <w:spacing w:after="200" w:line="480" w:lineRule="auto"/>
        <w:ind w:firstLine="720"/>
        <w:jc w:val="both"/>
      </w:pPr>
      <w:r>
        <w:rPr>
          <w:rFonts w:ascii="Times New Roman" w:hAnsi="Times New Roman" w:eastAsia="Times New Roman" w:cs="Times New Roman"/>
          <w:sz w:val="24"/>
          <w:szCs w:val="24"/>
        </w:rPr>
        <w:t>The Rhetoric-Finance Interface (RFI) model rests on three theoretical pillars, each representing a distinct intellectual tradition that must be integrated rather than simply juxtaposed if the model is to have analytical purchase.</w:t>
      </w:r>
    </w:p>
    <w:p w14:paraId="7A69CB5C">
      <w:pPr>
        <w:spacing w:after="200" w:line="480" w:lineRule="auto"/>
        <w:ind w:firstLine="720"/>
        <w:jc w:val="both"/>
      </w:pPr>
      <w:r>
        <w:rPr>
          <w:rFonts w:ascii="Times New Roman" w:hAnsi="Times New Roman" w:eastAsia="Times New Roman" w:cs="Times New Roman"/>
          <w:sz w:val="24"/>
          <w:szCs w:val="24"/>
        </w:rPr>
        <w:t>The first pillar is the classical rhetorical tradition, from Aristotle through to contemporary rhetorical criticism. Rhetoric, in its Aristotelian formulation, is the art of discovering the available means of persuasion in any given case. It distinguishes among three modes of persuasion — ethos (the character and credibility of the speaker), pathos (the emotional engagement of the audience), and logos (the logical force of the argument) — and it analyses how these modes are deployed in specific genres for specific audiences toward specific ends. Classical rhetoric did not separate form from content, style from substance; it understood that how something is said is inseparable from what is said and to whom. This holistic understanding of communication is precisely what financial analysis tends to lack, and what literary training can supply.</w:t>
      </w:r>
    </w:p>
    <w:p w14:paraId="3817FD65">
      <w:pPr>
        <w:spacing w:after="200" w:line="480" w:lineRule="auto"/>
        <w:ind w:firstLine="720"/>
        <w:jc w:val="both"/>
      </w:pPr>
      <w:r>
        <w:rPr>
          <w:rFonts w:ascii="Times New Roman" w:hAnsi="Times New Roman" w:eastAsia="Times New Roman" w:cs="Times New Roman"/>
          <w:sz w:val="24"/>
          <w:szCs w:val="24"/>
        </w:rPr>
        <w:t>The second pillar is critical discourse analysis, particularly as developed by Norman Fairclough. Fairclough's three-dimensional model of discourse analysis proposes that every communicative event is simultaneously a text (linguistic), a discursive practice (production and consumption of text), and a social practice (reproducing or transforming social structures) [CITE NEEDED: Fairclough, Discourse and Social Change]. The value of this model for financial discourse analysis is that it insists on connecting micro-level textual features — grammatical choices, lexical selections, metaphor patterns — to macro-level social structures: power relations, institutional arrangements, ideological formations. A prospectus is not merely a document; it is a discursive practice produced by lawyers, bankers, and regulators within institutional contexts that reflect and reproduce particular power relations. Reading it requires attention to all three levels simultaneously.</w:t>
      </w:r>
    </w:p>
    <w:p w14:paraId="1852F167">
      <w:pPr>
        <w:spacing w:after="200" w:line="480" w:lineRule="auto"/>
        <w:ind w:firstLine="720"/>
        <w:jc w:val="both"/>
      </w:pPr>
      <w:r>
        <w:rPr>
          <w:rFonts w:ascii="Times New Roman" w:hAnsi="Times New Roman" w:eastAsia="Times New Roman" w:cs="Times New Roman"/>
          <w:sz w:val="24"/>
          <w:szCs w:val="24"/>
        </w:rPr>
        <w:t>The third pillar is the performativity thesis as developed in the sociology of finance. Following J.L. Austin's speech act theory and Judith Butler's elaboration of performativity, Michel Callon and Donald MacKenzie argued that economic theories and financial models do not merely describe markets but perform them — they intervene in the processes they describe, shaping the behaviour of market actors in ways that make their predictions self-fulfilling [CITE VERIFY: MacKenzie, An Engine, Not a Camera, MIT Press, 2006]. Black-Scholes option pricing theory, for instance, was not simply a correct description of how options were priced; it was adopted by traders as a pricing tool and thereby helped produce the market conditions it purported to describe. This insight extends naturally to financial language more broadly: financial texts are not transparent descriptions of economic reality but active participants in its construction.</w:t>
      </w:r>
    </w:p>
    <w:p w14:paraId="4822537E">
      <w:pPr>
        <w:pStyle w:val="3"/>
        <w:spacing w:before="320" w:after="160"/>
      </w:pPr>
      <w:r>
        <w:rPr>
          <w:rFonts w:ascii="Times New Roman" w:hAnsi="Times New Roman" w:eastAsia="Times New Roman" w:cs="Times New Roman"/>
          <w:b/>
          <w:bCs/>
          <w:sz w:val="26"/>
          <w:szCs w:val="26"/>
        </w:rPr>
        <w:t>3.2 The Four Rhetorical Strategies</w:t>
      </w:r>
    </w:p>
    <w:p w14:paraId="71A73DCF">
      <w:pPr>
        <w:spacing w:after="200" w:line="480" w:lineRule="auto"/>
        <w:ind w:firstLine="720"/>
        <w:jc w:val="both"/>
      </w:pPr>
      <w:r>
        <w:rPr>
          <w:rFonts w:ascii="Times New Roman" w:hAnsi="Times New Roman" w:eastAsia="Times New Roman" w:cs="Times New Roman"/>
          <w:sz w:val="24"/>
          <w:szCs w:val="24"/>
        </w:rPr>
        <w:t>From this theoretical synthesis, the RFI model identifies four dominant rhetorical strategies that operate across financial genres. These strategies are not mutually exclusive; they frequently co-occur and reinforce one another. They are identified analytically as distinct because they produce distinct effects and require distinct rhetorical resources.</w:t>
      </w:r>
    </w:p>
    <w:p w14:paraId="318CA30B">
      <w:pPr>
        <w:spacing w:after="200" w:line="480" w:lineRule="auto"/>
        <w:ind w:firstLine="720"/>
        <w:jc w:val="both"/>
      </w:pPr>
      <w:r>
        <w:rPr>
          <w:rFonts w:ascii="Times New Roman" w:hAnsi="Times New Roman" w:eastAsia="Times New Roman" w:cs="Times New Roman"/>
          <w:b/>
          <w:bCs/>
          <w:sz w:val="24"/>
          <w:szCs w:val="24"/>
        </w:rPr>
        <w:t>3.2.1 Naturalisation</w:t>
      </w:r>
    </w:p>
    <w:p w14:paraId="069D2230">
      <w:pPr>
        <w:spacing w:after="200" w:line="480" w:lineRule="auto"/>
        <w:ind w:firstLine="720"/>
        <w:jc w:val="both"/>
      </w:pPr>
      <w:r>
        <w:rPr>
          <w:rFonts w:ascii="Times New Roman" w:hAnsi="Times New Roman" w:eastAsia="Times New Roman" w:cs="Times New Roman"/>
          <w:sz w:val="24"/>
          <w:szCs w:val="24"/>
        </w:rPr>
        <w:t>Naturalisation is the rhetorical process by which historically contingent and socially constructed arrangements are presented as natural, inevitable, or law-like — as features of the world rather than products of human choice and power. In financial discourse, naturalisation most commonly operates through the deployment of what linguists call metaphors of nature and mechanism: markets 'behave,' economies 'grow' or 'contract,' capital 'flows,' prices 'find their level.' These metaphors are not innocent. They transfer to human-made institutions the inevitability associated with physical processes, making it seem as though market outcomes are natural consequences of gravity-like laws rather than results of political decisions, regulatory choices, and power asymmetries.</w:t>
      </w:r>
    </w:p>
    <w:p w14:paraId="227C9715">
      <w:pPr>
        <w:spacing w:after="200" w:line="480" w:lineRule="auto"/>
        <w:ind w:firstLine="720"/>
        <w:jc w:val="both"/>
      </w:pPr>
      <w:r>
        <w:rPr>
          <w:rFonts w:ascii="Times New Roman" w:hAnsi="Times New Roman" w:eastAsia="Times New Roman" w:cs="Times New Roman"/>
          <w:sz w:val="24"/>
          <w:szCs w:val="24"/>
        </w:rPr>
        <w:t>Naturalisation also operates through the passive voice. 'Jobs were lost,' 'savings were wiped out,' 'industries were restructured' — these formulations describe consequences without agents, making social catastrophes appear as natural disasters rather than the results of specific decisions by specific actors with specific interests. CDA calls this process 'agentive deletion,' and it is one of the most pervasive features of financial discourse across genres.</w:t>
      </w:r>
    </w:p>
    <w:p w14:paraId="185D659A">
      <w:pPr>
        <w:spacing w:after="200" w:line="480" w:lineRule="auto"/>
        <w:ind w:firstLine="720"/>
        <w:jc w:val="both"/>
      </w:pPr>
      <w:r>
        <w:rPr>
          <w:rFonts w:ascii="Times New Roman" w:hAnsi="Times New Roman" w:eastAsia="Times New Roman" w:cs="Times New Roman"/>
          <w:b/>
          <w:bCs/>
          <w:sz w:val="24"/>
          <w:szCs w:val="24"/>
        </w:rPr>
        <w:t>3.2.2 Temporalisation</w:t>
      </w:r>
    </w:p>
    <w:p w14:paraId="67239EAE">
      <w:pPr>
        <w:spacing w:after="200" w:line="480" w:lineRule="auto"/>
        <w:ind w:firstLine="720"/>
        <w:jc w:val="both"/>
      </w:pPr>
      <w:r>
        <w:rPr>
          <w:rFonts w:ascii="Times New Roman" w:hAnsi="Times New Roman" w:eastAsia="Times New Roman" w:cs="Times New Roman"/>
          <w:sz w:val="24"/>
          <w:szCs w:val="24"/>
        </w:rPr>
        <w:t>Temporalisation is the rhetorical management of time — the positioning of events, trends, and processes within temporal frameworks that carry evaluative implications. Financial discourse is deeply temporal: it organises its arguments around particular understandings of past, present, and future that naturalise certain trajectories and delegitimise others. The dominant temporality of financial discourse is progressive and teleological: growth is the past, present, and future; disruption is temporary; equilibrium is always restored. 'Short-term pain for long-term gain' is perhaps the most condensed expression of this temporal structure, positioning hardship as a necessary investment in an inevitable better future.</w:t>
      </w:r>
    </w:p>
    <w:p w14:paraId="7A953EB0">
      <w:pPr>
        <w:spacing w:after="200" w:line="480" w:lineRule="auto"/>
        <w:ind w:firstLine="720"/>
        <w:jc w:val="both"/>
      </w:pPr>
      <w:r>
        <w:rPr>
          <w:rFonts w:ascii="Times New Roman" w:hAnsi="Times New Roman" w:eastAsia="Times New Roman" w:cs="Times New Roman"/>
          <w:sz w:val="24"/>
          <w:szCs w:val="24"/>
        </w:rPr>
        <w:t>Temporalisation also operates through what might be called 'temporal anchoring': the selection of particular historical moments as the baseline from which progress is measured. An IMF adjustment programme that describes a country as 'on the path to recovery' anchors the present in a constructed past of disorder and projects a future of stability, but the choice of which past counts as baseline is never politically neutral. The temporality of financial narratives is thus always a politics of time.</w:t>
      </w:r>
    </w:p>
    <w:p w14:paraId="10B6E254">
      <w:pPr>
        <w:spacing w:after="200" w:line="480" w:lineRule="auto"/>
        <w:ind w:firstLine="720"/>
        <w:jc w:val="both"/>
      </w:pPr>
      <w:r>
        <w:rPr>
          <w:rFonts w:ascii="Times New Roman" w:hAnsi="Times New Roman" w:eastAsia="Times New Roman" w:cs="Times New Roman"/>
          <w:b/>
          <w:bCs/>
          <w:sz w:val="24"/>
          <w:szCs w:val="24"/>
        </w:rPr>
        <w:t>3.2.3 Agentive Displacement</w:t>
      </w:r>
    </w:p>
    <w:p w14:paraId="6FA1F1FC">
      <w:pPr>
        <w:spacing w:after="200" w:line="480" w:lineRule="auto"/>
        <w:ind w:firstLine="720"/>
        <w:jc w:val="both"/>
      </w:pPr>
      <w:r>
        <w:rPr>
          <w:rFonts w:ascii="Times New Roman" w:hAnsi="Times New Roman" w:eastAsia="Times New Roman" w:cs="Times New Roman"/>
          <w:sz w:val="24"/>
          <w:szCs w:val="24"/>
        </w:rPr>
        <w:t>Agentive displacement is the rhetorical redistribution of agency from human actors and institutions to abstract processes and forces. Markets 'demand' reform; investors 'require' confidence; globalisation 'forces' adjustment. In each case, the grammatical subject of the sentence is an abstraction — a process rather than a person — and human agents are recast as respondents to these impersonal demands rather than as the makers of the demands themselves. The political import of this displacement is considerable: it removes the question of who decided what, why, and in whose interest from the rhetorical field, substituting the inevitability of systemic forces for the contingency of political decisions.</w:t>
      </w:r>
    </w:p>
    <w:p w14:paraId="40EE3F03">
      <w:pPr>
        <w:spacing w:after="200" w:line="480" w:lineRule="auto"/>
        <w:ind w:firstLine="720"/>
        <w:jc w:val="both"/>
      </w:pPr>
      <w:r>
        <w:rPr>
          <w:rFonts w:ascii="Times New Roman" w:hAnsi="Times New Roman" w:eastAsia="Times New Roman" w:cs="Times New Roman"/>
          <w:sz w:val="24"/>
          <w:szCs w:val="24"/>
        </w:rPr>
        <w:t>Agentive displacement also operates through nominalization — the conversion of verbs and adjectives into nouns. 'Structural adjustment' rather than 'we will adjust your economy's structure'; 'liberalisation' rather than 'we will remove the regulations that protected your domestic industries.' Nominalisation conceals agency, collapses processes into objects, and presents the results of complex political negotiations as self-evident technical requirements.</w:t>
      </w:r>
    </w:p>
    <w:p w14:paraId="0D2D8A9E">
      <w:pPr>
        <w:spacing w:after="200" w:line="480" w:lineRule="auto"/>
        <w:ind w:firstLine="720"/>
        <w:jc w:val="both"/>
      </w:pPr>
      <w:r>
        <w:rPr>
          <w:rFonts w:ascii="Times New Roman" w:hAnsi="Times New Roman" w:eastAsia="Times New Roman" w:cs="Times New Roman"/>
          <w:b/>
          <w:bCs/>
          <w:sz w:val="24"/>
          <w:szCs w:val="24"/>
        </w:rPr>
        <w:t>3.2.4 Moral Encoding</w:t>
      </w:r>
    </w:p>
    <w:p w14:paraId="005A061C">
      <w:pPr>
        <w:spacing w:after="200" w:line="480" w:lineRule="auto"/>
        <w:ind w:firstLine="720"/>
        <w:jc w:val="both"/>
      </w:pPr>
      <w:r>
        <w:rPr>
          <w:rFonts w:ascii="Times New Roman" w:hAnsi="Times New Roman" w:eastAsia="Times New Roman" w:cs="Times New Roman"/>
          <w:sz w:val="24"/>
          <w:szCs w:val="24"/>
        </w:rPr>
        <w:t>Moral encoding is the embedding of ethical judgements in apparently technical or descriptive language. Financial discourse routinely characterises economic policies and behaviours in moral terms while maintaining the appearance of technical neutrality. Countries are described as 'disciplined' or 'profligate,' governments as 'credible' or 'reckless,' policies as 'responsible' or 'irresponsible.' These terms carry moral weight — they invoke the virtues of self-control, foresight, and prudence — but they are deployed in financial texts as technical descriptors, insulated from the moral scrutiny that would be applied to explicitly normative discourse.</w:t>
      </w:r>
    </w:p>
    <w:p w14:paraId="17123184">
      <w:pPr>
        <w:spacing w:after="200" w:line="480" w:lineRule="auto"/>
        <w:ind w:firstLine="720"/>
        <w:jc w:val="both"/>
      </w:pPr>
      <w:r>
        <w:rPr>
          <w:rFonts w:ascii="Times New Roman" w:hAnsi="Times New Roman" w:eastAsia="Times New Roman" w:cs="Times New Roman"/>
          <w:sz w:val="24"/>
          <w:szCs w:val="24"/>
        </w:rPr>
        <w:t>The concept of 'creditworthiness' illustrates this dynamic with particular clarity. To be creditworthy is, literally, to be worthy of credit — a moral judgement disguised as a financial assessment. The rating agencies that pronounce on creditworthiness position themselves as neutral technical assessors, but their assessments encode a particular moral vision: of fiscal rectitude as virtue, of social spending as fiscal weakness, of labour market 'flexibility' as prudential management. Unpacking the moral encoding of financial discourse reveals the ethical choices embedded in apparently technical decisions.</w:t>
      </w:r>
    </w:p>
    <w:p w14:paraId="699B7353">
      <w:pPr>
        <w:pStyle w:val="3"/>
        <w:spacing w:before="320" w:after="160"/>
      </w:pPr>
      <w:r>
        <w:rPr>
          <w:rFonts w:ascii="Times New Roman" w:hAnsi="Times New Roman" w:eastAsia="Times New Roman" w:cs="Times New Roman"/>
          <w:b/>
          <w:bCs/>
          <w:sz w:val="26"/>
          <w:szCs w:val="26"/>
        </w:rPr>
        <w:t>3.3 Genre and Audience</w:t>
      </w:r>
    </w:p>
    <w:p w14:paraId="23763E81">
      <w:pPr>
        <w:spacing w:after="200" w:line="480" w:lineRule="auto"/>
        <w:ind w:firstLine="720"/>
        <w:jc w:val="both"/>
      </w:pPr>
      <w:r>
        <w:rPr>
          <w:rFonts w:ascii="Times New Roman" w:hAnsi="Times New Roman" w:eastAsia="Times New Roman" w:cs="Times New Roman"/>
          <w:sz w:val="24"/>
          <w:szCs w:val="24"/>
        </w:rPr>
        <w:t>The RFI model is necessarily attentive to genre. Different financial genres deploy these rhetorical strategies in different configurations, directed at different audiences, for different institutional purposes. The corporate annual report addresses shareholders and the investing public; it must balance accountability with optimism, transparency with strategic reticence. The central bank inflation report addresses financial markets, governments, and increasingly the general public; it must project authority and certainty while acknowledging uncertainty and maintaining flexibility. The IMF country report addresses multiple audiences — the programme country's government, international creditors, and civil society — whose interests are often in tension. Each genre has its own rhetorical conventions, its own implied reader, its own modes of authority construction.</w:t>
      </w:r>
    </w:p>
    <w:p w14:paraId="1350F222">
      <w:pPr>
        <w:spacing w:after="200" w:line="480" w:lineRule="auto"/>
        <w:ind w:firstLine="720"/>
        <w:jc w:val="both"/>
      </w:pPr>
      <w:r>
        <w:rPr>
          <w:rFonts w:ascii="Times New Roman" w:hAnsi="Times New Roman" w:eastAsia="Times New Roman" w:cs="Times New Roman"/>
          <w:sz w:val="24"/>
          <w:szCs w:val="24"/>
        </w:rPr>
        <w:t>Genre theory, as developed from Mikhail Bakhtin through to John Swales and Charles Bazerman, emphasises that genres are not merely formal categories but socially constructed response types that reproduce the knowledge, values, and power relations of the communities that use them [CITE NEEDED: Swales on genre analysis in professional communities]. Reading financial genres requires not only attention to their explicit content but sensitivity to the tacit conventions, assumptions, and exclusions that make them intelligible to their intended audiences and opaque or misleading to others.</w:t>
      </w:r>
    </w:p>
    <w:p w14:paraId="049BF4CA">
      <w:r>
        <w:br w:type="page"/>
      </w:r>
    </w:p>
    <w:p w14:paraId="504C23B9">
      <w:pPr>
        <w:pStyle w:val="2"/>
        <w:spacing w:before="320" w:after="160"/>
      </w:pPr>
      <w:r>
        <w:rPr>
          <w:rFonts w:ascii="Times New Roman" w:hAnsi="Times New Roman" w:eastAsia="Times New Roman" w:cs="Times New Roman"/>
          <w:b/>
          <w:bCs/>
          <w:sz w:val="28"/>
          <w:szCs w:val="28"/>
        </w:rPr>
        <w:t>IV. TEXTUAL ANALYSIS ACROSS FINANCIAL GENRES</w:t>
      </w:r>
    </w:p>
    <w:p w14:paraId="05A65275">
      <w:pPr>
        <w:pStyle w:val="3"/>
        <w:spacing w:before="320" w:after="160"/>
      </w:pPr>
      <w:r>
        <w:rPr>
          <w:rFonts w:ascii="Times New Roman" w:hAnsi="Times New Roman" w:eastAsia="Times New Roman" w:cs="Times New Roman"/>
          <w:b/>
          <w:bCs/>
          <w:sz w:val="26"/>
          <w:szCs w:val="26"/>
        </w:rPr>
        <w:t>4.1 Methodology of Close Reading</w:t>
      </w:r>
    </w:p>
    <w:p w14:paraId="56C5165B">
      <w:pPr>
        <w:spacing w:after="200" w:line="480" w:lineRule="auto"/>
        <w:ind w:firstLine="720"/>
        <w:jc w:val="both"/>
      </w:pPr>
      <w:r>
        <w:rPr>
          <w:rFonts w:ascii="Times New Roman" w:hAnsi="Times New Roman" w:eastAsia="Times New Roman" w:cs="Times New Roman"/>
          <w:sz w:val="24"/>
          <w:szCs w:val="24"/>
        </w:rPr>
        <w:t>The textual analyses that follow are grounded in the practice of close reading — the sustained, rigorous attention to the formal features, linguistic choices, and rhetorical strategies of specific texts. Close reading, the foundational practice of literary criticism since the New Critics of the early twentieth century, brings to bear on a text the full resources of linguistic and rhetorical analysis: attention to word choice (diction), sentence structure (syntax), figurative language (metaphor, metonymy, synecdoche, irony), rhythm and tone, generic convention and deviation, and the implied relationships among author, text, and reader. The texts selected for analysis are treated as representative samples rather than as individual curiosities: the aim is not to expose any particular institution or document but to demonstrate the operation of broader rhetorical strategies across a genre.</w:t>
      </w:r>
    </w:p>
    <w:p w14:paraId="12BA1752">
      <w:pPr>
        <w:spacing w:after="200" w:line="480" w:lineRule="auto"/>
        <w:ind w:firstLine="720"/>
        <w:jc w:val="both"/>
      </w:pPr>
      <w:r>
        <w:rPr>
          <w:rFonts w:ascii="Times New Roman" w:hAnsi="Times New Roman" w:eastAsia="Times New Roman" w:cs="Times New Roman"/>
          <w:sz w:val="24"/>
          <w:szCs w:val="24"/>
        </w:rPr>
        <w:t>Four genres of financial discourse are analysed in the sections that follow: central bank communications (Section 4.2), corporate annual reports (Section 4.3), international financial institution documents (Section 4.4), and financial journalism (Section 4.5). For each genre, a representative text or small corpus of texts is selected, a close reading is conducted, and the operation of the four RFI strategies — naturalisation, temporalisation, agentive displacement, and moral encoding — is identified and examined.</w:t>
      </w:r>
    </w:p>
    <w:p w14:paraId="0530CC41">
      <w:pPr>
        <w:pStyle w:val="3"/>
        <w:spacing w:before="320" w:after="160"/>
      </w:pPr>
      <w:r>
        <w:rPr>
          <w:rFonts w:ascii="Times New Roman" w:hAnsi="Times New Roman" w:eastAsia="Times New Roman" w:cs="Times New Roman"/>
          <w:b/>
          <w:bCs/>
          <w:sz w:val="26"/>
          <w:szCs w:val="26"/>
        </w:rPr>
        <w:t>4.2 Central Bank Communications: The Federal Reserve and the Language of Authority</w:t>
      </w:r>
    </w:p>
    <w:p w14:paraId="3EABFD15">
      <w:pPr>
        <w:spacing w:after="200" w:line="480" w:lineRule="auto"/>
        <w:ind w:firstLine="720"/>
        <w:jc w:val="both"/>
      </w:pPr>
      <w:r>
        <w:rPr>
          <w:rFonts w:ascii="Times New Roman" w:hAnsi="Times New Roman" w:eastAsia="Times New Roman" w:cs="Times New Roman"/>
          <w:sz w:val="24"/>
          <w:szCs w:val="24"/>
        </w:rPr>
        <w:t>Central bank communications represent perhaps the most intensely studied genre of financial text, and with good reason: the capacity of central bank language to move financial markets is enormous, well-documented, and at least partly deliberate. The Federal Open Market Committee (FOMC) statement — the brief document released after each meeting of the Federal Reserve's rate-setting body — is among the most closely parsed texts produced by any institution in the world. Thousands of analysts, traders, and journalists study these statements word by word, searching for signals of future policy direction embedded in the choice between 'strong' and 'robust,' 'accommodative' and 'patient,' 'some' and 'a number of.'</w:t>
      </w:r>
    </w:p>
    <w:p w14:paraId="14C499CE">
      <w:pPr>
        <w:spacing w:after="200" w:line="480" w:lineRule="auto"/>
        <w:ind w:firstLine="720"/>
        <w:jc w:val="both"/>
      </w:pPr>
      <w:r>
        <w:rPr>
          <w:rFonts w:ascii="Times New Roman" w:hAnsi="Times New Roman" w:eastAsia="Times New Roman" w:cs="Times New Roman"/>
          <w:sz w:val="24"/>
          <w:szCs w:val="24"/>
        </w:rPr>
        <w:t>The rhetoric of central bank communications is organised around the construction of what might be called institutional ethos: the projection of authority, expertise, and above all, credibility. Credibility, in the lexicon of central banking, means the ability to anchor expectations — to persuade markets that the central bank will do what it says. This is an explicitly performative goal: the central bank's statements do not merely describe its intentions but are intended to produce the market outcomes that will validate those descriptions. A central bank that credibly commits to an inflation target helps achieve that target precisely because markets believe the commitment and behave accordingly.</w:t>
      </w:r>
    </w:p>
    <w:p w14:paraId="0C428EAD">
      <w:pPr>
        <w:spacing w:after="200" w:line="480" w:lineRule="auto"/>
        <w:ind w:firstLine="720"/>
        <w:jc w:val="both"/>
      </w:pPr>
      <w:r>
        <w:rPr>
          <w:rFonts w:ascii="Times New Roman" w:hAnsi="Times New Roman" w:eastAsia="Times New Roman" w:cs="Times New Roman"/>
          <w:sz w:val="24"/>
          <w:szCs w:val="24"/>
        </w:rPr>
        <w:t>Naturalisation operates powerfully in FOMC communications. Consider the characteristic diction: 'The labour market has continued to strengthen,' 'Inflation has returned to the Committee's 2 percent objective,' 'The Committee decided to maintain the target range.' The passive constructions ('has continued to strengthen,' 'has returned') present economic developments as processes that happen of their own accord, without the intervention of policy or power. The labour market does not strengthen because workers organise, because legislation protects them, or because fiscal policy stimulates demand; it 'continues to strengthen' as a tree continues to grow. This naturalisation serves an important ideological function: it insulates the institutional status quo from critique by presenting it as the operation of impersonal processes rather than the result of political choices.</w:t>
      </w:r>
    </w:p>
    <w:p w14:paraId="0EB087B0">
      <w:pPr>
        <w:spacing w:after="200" w:line="480" w:lineRule="auto"/>
        <w:ind w:firstLine="720"/>
        <w:jc w:val="both"/>
      </w:pPr>
      <w:r>
        <w:rPr>
          <w:rFonts w:ascii="Times New Roman" w:hAnsi="Times New Roman" w:eastAsia="Times New Roman" w:cs="Times New Roman"/>
          <w:sz w:val="24"/>
          <w:szCs w:val="24"/>
        </w:rPr>
        <w:t>Temporalisation is equally central to FOMC rhetoric. The statement form itself imposes a particular temporal structure: each statement begins with an assessment of current conditions, pivots to the decision, and concludes with forward guidance — a carefully worded projection of future policy. This temporal architecture performs a specific institutional persona: the Committee as wise steward of the long term, taking decisions in the present on behalf of a future that only its expertise can project. The famous 'dot plot' — a visual representation of FOMC members' projected future rate paths — is a remarkable temporal artefact: it makes visible and authoritative the uncertainty about the future by converting it into a distribution of expert opinions. The future is not unknown; it is projected, modelled, and managed.</w:t>
      </w:r>
    </w:p>
    <w:p w14:paraId="79C49CEF">
      <w:pPr>
        <w:spacing w:after="200" w:line="480" w:lineRule="auto"/>
        <w:ind w:firstLine="720"/>
        <w:jc w:val="both"/>
      </w:pPr>
      <w:r>
        <w:rPr>
          <w:rFonts w:ascii="Times New Roman" w:hAnsi="Times New Roman" w:eastAsia="Times New Roman" w:cs="Times New Roman"/>
          <w:sz w:val="24"/>
          <w:szCs w:val="24"/>
        </w:rPr>
        <w:t>Agentive displacement is institutionally motivated in FOMC communications. The Committee must project consensus and authority; dissent, uncertainty, and the messiness of decision-making by committee must be managed. The corporate 'we' — 'The Committee decided,' 'The Committee judges,' 'The Committee anticipates' — constructs the FOMC as a unified deliberative body, suppressing the dissenting votes, the fractious debates, the genuine uncertainty about which way to go. Individual members' views are aggregated and averaged into the Committee's collective voice, a form of agentive displacement that is both grammatically and institutionally accomplished.</w:t>
      </w:r>
    </w:p>
    <w:p w14:paraId="77E99FE9">
      <w:pPr>
        <w:pStyle w:val="3"/>
        <w:spacing w:before="320" w:after="160"/>
      </w:pPr>
      <w:r>
        <w:rPr>
          <w:rFonts w:ascii="Times New Roman" w:hAnsi="Times New Roman" w:eastAsia="Times New Roman" w:cs="Times New Roman"/>
          <w:b/>
          <w:bCs/>
          <w:sz w:val="26"/>
          <w:szCs w:val="26"/>
        </w:rPr>
        <w:t>4.3 Corporate Annual Reports: Narrative Optimism and the Rhetoric of Accountability</w:t>
      </w:r>
    </w:p>
    <w:p w14:paraId="2E7F3DC8">
      <w:pPr>
        <w:spacing w:after="200" w:line="480" w:lineRule="auto"/>
        <w:ind w:firstLine="720"/>
        <w:jc w:val="both"/>
      </w:pPr>
      <w:r>
        <w:rPr>
          <w:rFonts w:ascii="Times New Roman" w:hAnsi="Times New Roman" w:eastAsia="Times New Roman" w:cs="Times New Roman"/>
          <w:sz w:val="24"/>
          <w:szCs w:val="24"/>
        </w:rPr>
        <w:t>The corporate annual report is a genre with a peculiar dual function: it is simultaneously a legal document (required by securities regulators) and a public relations exercise (managed by communications professionals). This tension between accountability and persuasion is inscribed in the document's very structure. The financial statements at the back, governed by accounting standards and audited by independent accountants, are supposed to provide an objective account of the firm's financial condition. The letter to shareholders, the business review, and the operational narrative at the front, written by management, are explicitly aspirational and strategic. The two halves of the document occupy the same pages but inhabit different rhetorical universes.</w:t>
      </w:r>
    </w:p>
    <w:p w14:paraId="3FFD03A2">
      <w:pPr>
        <w:spacing w:after="200" w:line="480" w:lineRule="auto"/>
        <w:ind w:firstLine="720"/>
        <w:jc w:val="both"/>
      </w:pPr>
      <w:r>
        <w:rPr>
          <w:rFonts w:ascii="Times New Roman" w:hAnsi="Times New Roman" w:eastAsia="Times New Roman" w:cs="Times New Roman"/>
          <w:sz w:val="24"/>
          <w:szCs w:val="24"/>
        </w:rPr>
        <w:t>The letter to shareholders — a genre that has received remarkably little critical attention — is the site where all four RFI strategies operate most visibly. Consider a representative example of the genre's conventions. The letter typically opens with a brief acknowledgement of the past year's performance — positive or negative — framed in ways that maximise the credit claimed for successes and minimise the blame assigned for failures. A formula of the form 'In a challenging year for our industry, we delivered [metric]' is characteristic: 'challenging' naturalises the difficulties as environmental rather than managerial; 'we delivered' claims agentive credit for performance without specifying the mechanisms; the passive environmental pressure is contrasted with the active managerial response.</w:t>
      </w:r>
    </w:p>
    <w:p w14:paraId="70A97B29">
      <w:pPr>
        <w:spacing w:after="200" w:line="480" w:lineRule="auto"/>
        <w:ind w:firstLine="720"/>
        <w:jc w:val="both"/>
      </w:pPr>
      <w:r>
        <w:rPr>
          <w:rFonts w:ascii="Times New Roman" w:hAnsi="Times New Roman" w:eastAsia="Times New Roman" w:cs="Times New Roman"/>
          <w:sz w:val="24"/>
          <w:szCs w:val="24"/>
        </w:rPr>
        <w:t>Temporalisation is central to the annual report's narrative architecture. The document is necessarily retrospective — it reports on the past year — but its rhetorical energy is almost entirely prospective. Past performance is presented primarily as evidence of future promise; the narrative moves relentlessly toward a horizon of better results, expanded markets, and realised potential. This prospective orientation is not merely the optimism of management; it reflects the fundamental financial logic of equity valuation, which values firms not on past earnings but on the discounted present value of future cash flows. The annual report's rhetoric internalises this valuation logic and speaks directly to it: it performs, for its investor readers, the narrativisation of value that discounted cash flow models operationalise numerically.</w:t>
      </w:r>
    </w:p>
    <w:p w14:paraId="1EA50F2E">
      <w:pPr>
        <w:spacing w:after="200" w:line="480" w:lineRule="auto"/>
        <w:ind w:firstLine="720"/>
        <w:jc w:val="both"/>
      </w:pPr>
      <w:r>
        <w:rPr>
          <w:rFonts w:ascii="Times New Roman" w:hAnsi="Times New Roman" w:eastAsia="Times New Roman" w:cs="Times New Roman"/>
          <w:sz w:val="24"/>
          <w:szCs w:val="24"/>
        </w:rPr>
        <w:t>Moral encoding is pervasive in annual report language, though it takes a distinctive form in this genre. The virtues performed in annual reports are those of the market: innovation, efficiency, agility, growth, customer focus, and — increasingly — sustainability. Firms present themselves not merely as profitable but as responsible, not merely as effective but as ethical. The incorporation of environmental, social, and governance (ESG) narrative into annual reports over the past two decades represents a significant expansion of moral encoding: the annual report now performs not only financial virtue but civic virtue, naturalising the corporation as a moral actor whose interests are aligned with those of society at large. Critical readers will note, however, that ESG narrative in annual reports is rarely subjected to independent verification of the same rigour as financial statements, creating a zone of moral performance that is largely self-referential.</w:t>
      </w:r>
    </w:p>
    <w:p w14:paraId="7D153D9E">
      <w:pPr>
        <w:pStyle w:val="3"/>
        <w:spacing w:before="320" w:after="160"/>
      </w:pPr>
      <w:r>
        <w:rPr>
          <w:rFonts w:ascii="Times New Roman" w:hAnsi="Times New Roman" w:eastAsia="Times New Roman" w:cs="Times New Roman"/>
          <w:b/>
          <w:bCs/>
          <w:sz w:val="26"/>
          <w:szCs w:val="26"/>
        </w:rPr>
        <w:t>4.4 International Financial Institution Documents: IMF Conditionality and the Grammar of Adjustment</w:t>
      </w:r>
    </w:p>
    <w:p w14:paraId="69883FDD">
      <w:pPr>
        <w:spacing w:after="200" w:line="480" w:lineRule="auto"/>
        <w:ind w:firstLine="720"/>
        <w:jc w:val="both"/>
      </w:pPr>
      <w:r>
        <w:rPr>
          <w:rFonts w:ascii="Times New Roman" w:hAnsi="Times New Roman" w:eastAsia="Times New Roman" w:cs="Times New Roman"/>
          <w:sz w:val="24"/>
          <w:szCs w:val="24"/>
        </w:rPr>
        <w:t>Documents produced by the International Monetary Fund in the context of its lending programmes — country reports, Letter of Intent agreements, programme reviews — constitute a genre with distinctive rhetorical properties and considerable political stakes. These documents are the textual face of conditionality: the requirements that borrowing countries must meet in exchange for access to IMF resources. They have been subjects of intense political controversy, and scholars including Joseph Stiglitz, Dani Rodrik, and Ha-Joon Chang have argued that IMF programmes have systematically imposed a particular economic ideology — what became known as the Washington Consensus — on vulnerable countries under the cover of technical financial management [CITE NEEDED: Stiglitz, Globalization and Its Discontents].</w:t>
      </w:r>
    </w:p>
    <w:p w14:paraId="11D31901">
      <w:pPr>
        <w:spacing w:after="200" w:line="480" w:lineRule="auto"/>
        <w:ind w:firstLine="720"/>
        <w:jc w:val="both"/>
      </w:pPr>
      <w:r>
        <w:rPr>
          <w:rFonts w:ascii="Times New Roman" w:hAnsi="Times New Roman" w:eastAsia="Times New Roman" w:cs="Times New Roman"/>
          <w:sz w:val="24"/>
          <w:szCs w:val="24"/>
        </w:rPr>
        <w:t>What is striking, from a rhetorical perspective, is how completely the ideological content of these documents is cloaked in technical language. The Letter of Intent — officially a letter from the borrowing country's government to the IMF Managing Director outlining its policy commitments — is formally structured as a sovereign government's voluntary expression of its own policy intentions. Rhetorically, it inverts the power relationship: the weaker party writes to the stronger as though freely communicating its own preferences, even though the content of those preferences has been negotiated — in practice, often dictated — in the preceding programme negotiations. This genre convention is itself a remarkable rhetorical achievement: the domestication of conditionality within the grammar of voluntarism.</w:t>
      </w:r>
    </w:p>
    <w:p w14:paraId="0816FDAE">
      <w:pPr>
        <w:spacing w:after="200" w:line="480" w:lineRule="auto"/>
        <w:ind w:firstLine="720"/>
        <w:jc w:val="both"/>
      </w:pPr>
      <w:r>
        <w:rPr>
          <w:rFonts w:ascii="Times New Roman" w:hAnsi="Times New Roman" w:eastAsia="Times New Roman" w:cs="Times New Roman"/>
          <w:sz w:val="24"/>
          <w:szCs w:val="24"/>
        </w:rPr>
        <w:t>Agentive displacement in IMF documents is both pervasive and technically sophisticated. The classic IMF formulation 'The authorities intend to...' or 'The government is committed to...' attributes agency to the borrowing country's officials for policies they have been required to adopt. Structural reforms are presented as 'the authorities' own agenda,' fiscal consolidation as 'the government's fiscal responsibility framework.' The Fund itself appears in these documents primarily as a technical interlocutor — offering 'advice,' 'support,' and 'technical assistance' — rather than as the powerful creditor that has conditioned its resources on policy compliance. This sustained agentive displacement is not mere diplomatic courtesy; it has institutional functions: it sustains the fiction of borrower ownership that development economists have identified as essential for programme success, and it insulates the Fund from political criticism by locating programme authorship in the borrowing country itself.</w:t>
      </w:r>
    </w:p>
    <w:p w14:paraId="04E7F42D">
      <w:pPr>
        <w:spacing w:after="200" w:line="480" w:lineRule="auto"/>
        <w:ind w:firstLine="720"/>
        <w:jc w:val="both"/>
      </w:pPr>
      <w:r>
        <w:rPr>
          <w:rFonts w:ascii="Times New Roman" w:hAnsi="Times New Roman" w:eastAsia="Times New Roman" w:cs="Times New Roman"/>
          <w:sz w:val="24"/>
          <w:szCs w:val="24"/>
        </w:rPr>
        <w:t>Naturalisation in IMF documents operates primarily through the language of economic law. Policy recommendations are presented not as political choices but as technical requirements — what 'sound macroeconomic management' demands, what 'fiscal sustainability' requires, what 'market confidence' necessitates. These formulations invoke impersonal economic laws that operate independently of political preference; to resist them is not to disagree about values but to deny reality. This naturalisation forecloses political debate: once a policy is characterised as a technical requirement of fiscal sustainability, arguing against it is positioned as equivalent to arguing against gravity. The vocabulary of 'structural adjustment,' 'primary balance targets,' and 'debt sustainability analysis' is thus not merely technical shorthand but a rhetorical arsenal for depoliticising economic policy.</w:t>
      </w:r>
    </w:p>
    <w:p w14:paraId="3461958E">
      <w:pPr>
        <w:pStyle w:val="3"/>
        <w:spacing w:before="320" w:after="160"/>
      </w:pPr>
      <w:r>
        <w:rPr>
          <w:rFonts w:ascii="Times New Roman" w:hAnsi="Times New Roman" w:eastAsia="Times New Roman" w:cs="Times New Roman"/>
          <w:b/>
          <w:bCs/>
          <w:sz w:val="26"/>
          <w:szCs w:val="26"/>
        </w:rPr>
        <w:t>4.5 Financial Journalism: The Wall Street Journal and the Production of Market Reality</w:t>
      </w:r>
    </w:p>
    <w:p w14:paraId="54646034">
      <w:pPr>
        <w:spacing w:after="200" w:line="480" w:lineRule="auto"/>
        <w:ind w:firstLine="720"/>
        <w:jc w:val="both"/>
      </w:pPr>
      <w:r>
        <w:rPr>
          <w:rFonts w:ascii="Times New Roman" w:hAnsi="Times New Roman" w:eastAsia="Times New Roman" w:cs="Times New Roman"/>
          <w:sz w:val="24"/>
          <w:szCs w:val="24"/>
        </w:rPr>
        <w:t>Financial journalism occupies a distinctive position in the ecology of financial discourse: it is the genre that mediates between specialist financial texts and broader publics, translating the language of markets, regulators, and corporations into forms accessible to general readers, and in doing so, constructing the public understanding of economic reality on which democratic deliberation about economic policy depends. The Wall Street Journal, the Financial Times, Bloomberg News, and their counterparts are not merely reporters of financial events; they are participants in financial markets, shaping the sentiment, expectations, and behaviours of the actors whose actions they describe.</w:t>
      </w:r>
    </w:p>
    <w:p w14:paraId="520C0FB2">
      <w:pPr>
        <w:spacing w:after="200" w:line="480" w:lineRule="auto"/>
        <w:ind w:firstLine="720"/>
        <w:jc w:val="both"/>
      </w:pPr>
      <w:r>
        <w:rPr>
          <w:rFonts w:ascii="Times New Roman" w:hAnsi="Times New Roman" w:eastAsia="Times New Roman" w:cs="Times New Roman"/>
          <w:sz w:val="24"/>
          <w:szCs w:val="24"/>
        </w:rPr>
        <w:t>Financial journalism's most distinctive rhetorical contribution is what might be called the narrative market — the construction of markets as characters with intents, moods, and responses. 'Markets rallied on hopes of...,' 'Investors fled to safety as...,' 'Wall Street worried that...' — these formulations personify aggregates, attributing to the market a unified psychological state that no actual market possesses. The market does not worry; millions of individual actors make billions of individual decisions. But the personification of the market is not merely a stylistic convenience; it performs markets into existence as coherent agents with interpretable behaviour and legible intentions, and in doing so it provides the narrative frame within which individual investment decisions are made.</w:t>
      </w:r>
    </w:p>
    <w:p w14:paraId="6C5E41EB">
      <w:pPr>
        <w:spacing w:after="200" w:line="480" w:lineRule="auto"/>
        <w:ind w:firstLine="720"/>
        <w:jc w:val="both"/>
      </w:pPr>
      <w:r>
        <w:rPr>
          <w:rFonts w:ascii="Times New Roman" w:hAnsi="Times New Roman" w:eastAsia="Times New Roman" w:cs="Times New Roman"/>
          <w:sz w:val="24"/>
          <w:szCs w:val="24"/>
        </w:rPr>
        <w:t>Temporalisation in financial journalism operates at the level of daily narrative: the 'market story' that journalists construct to explain each day's price movements retrospectively attributes causes to movements that are in fact the outcome of complex, non-linear processes that resist clean causal explanation. 'Stocks fell today as investors worried about...,' written after the fact, imposes a retrospective causality that is more narrative convenience than empirical claim. But this narrative causality has real effects: it provides the shared interpretive frame within which market participants understand their own behaviour, and it shapes the sentiment that influences the following day's trading. Financial journalism is, in this sense, a continuously self-fulfilling genre.</w:t>
      </w:r>
    </w:p>
    <w:p w14:paraId="55B05FC6">
      <w:r>
        <w:br w:type="page"/>
      </w:r>
    </w:p>
    <w:p w14:paraId="53589897">
      <w:pPr>
        <w:pStyle w:val="2"/>
        <w:spacing w:before="320" w:after="160"/>
      </w:pPr>
      <w:r>
        <w:rPr>
          <w:rFonts w:ascii="Times New Roman" w:hAnsi="Times New Roman" w:eastAsia="Times New Roman" w:cs="Times New Roman"/>
          <w:b/>
          <w:bCs/>
          <w:sz w:val="28"/>
          <w:szCs w:val="28"/>
        </w:rPr>
        <w:t>V. THEORETICAL AND PRACTICAL IMPLICATIONS</w:t>
      </w:r>
    </w:p>
    <w:p w14:paraId="61B61F85">
      <w:pPr>
        <w:pStyle w:val="3"/>
        <w:spacing w:before="320" w:after="160"/>
      </w:pPr>
      <w:r>
        <w:rPr>
          <w:rFonts w:ascii="Times New Roman" w:hAnsi="Times New Roman" w:eastAsia="Times New Roman" w:cs="Times New Roman"/>
          <w:b/>
          <w:bCs/>
          <w:sz w:val="26"/>
          <w:szCs w:val="26"/>
        </w:rPr>
        <w:t>5.1 For Literary and Rhetorical Scholarship</w:t>
      </w:r>
    </w:p>
    <w:p w14:paraId="2374E91B">
      <w:pPr>
        <w:spacing w:after="200" w:line="480" w:lineRule="auto"/>
        <w:ind w:firstLine="720"/>
        <w:jc w:val="both"/>
      </w:pPr>
      <w:r>
        <w:rPr>
          <w:rFonts w:ascii="Times New Roman" w:hAnsi="Times New Roman" w:eastAsia="Times New Roman" w:cs="Times New Roman"/>
          <w:sz w:val="24"/>
          <w:szCs w:val="24"/>
        </w:rPr>
        <w:t>The most immediate implication of this analysis for literary and rhetorical scholarship is a disciplinary one: financial texts constitute a major site of contemporary meaning-making, and the humanistic disciplines have an obligation to engage with them seriously. The habits of reading developed over centuries of literary criticism — attention to form, figurative language, narrative structure, generic convention, and the politics of representation — are precisely the habits most needed for critical engagement with financial discourse. The failure to apply these habits to financial texts is not intellectual modesty but intellectual abdication.</w:t>
      </w:r>
    </w:p>
    <w:p w14:paraId="41C419CC">
      <w:pPr>
        <w:spacing w:after="200" w:line="480" w:lineRule="auto"/>
        <w:ind w:firstLine="720"/>
        <w:jc w:val="both"/>
      </w:pPr>
      <w:r>
        <w:rPr>
          <w:rFonts w:ascii="Times New Roman" w:hAnsi="Times New Roman" w:eastAsia="Times New Roman" w:cs="Times New Roman"/>
          <w:sz w:val="24"/>
          <w:szCs w:val="24"/>
        </w:rPr>
        <w:t>More specifically, this paper argues for the extension of rhetorical criticism into the domain of financial genres. The four strategies identified in the RFI model — naturalisation, temporalisation, agentive displacement, and moral encoding — provide a vocabulary and a framework for rhetorical analysis that can be applied systematically across financial genres and across historical periods. Financial discourse analysis, understood as a branch of rhetorical criticism grounded in the critical discourse analytic tradition and informed by the sociology of finance, represents a coherent and consequential subdiscipline that the field of rhetoric and composition could productively develop.</w:t>
      </w:r>
    </w:p>
    <w:p w14:paraId="29407965">
      <w:pPr>
        <w:pStyle w:val="3"/>
        <w:spacing w:before="320" w:after="160"/>
      </w:pPr>
      <w:r>
        <w:rPr>
          <w:rFonts w:ascii="Times New Roman" w:hAnsi="Times New Roman" w:eastAsia="Times New Roman" w:cs="Times New Roman"/>
          <w:b/>
          <w:bCs/>
          <w:sz w:val="26"/>
          <w:szCs w:val="26"/>
        </w:rPr>
        <w:t>5.2 For Financial Economics and Practice</w:t>
      </w:r>
    </w:p>
    <w:p w14:paraId="617669DD">
      <w:pPr>
        <w:spacing w:after="200" w:line="480" w:lineRule="auto"/>
        <w:ind w:firstLine="720"/>
        <w:jc w:val="both"/>
      </w:pPr>
      <w:r>
        <w:rPr>
          <w:rFonts w:ascii="Times New Roman" w:hAnsi="Times New Roman" w:eastAsia="Times New Roman" w:cs="Times New Roman"/>
          <w:sz w:val="24"/>
          <w:szCs w:val="24"/>
        </w:rPr>
        <w:t>For financial economists, the principal implication of this analysis is a methodological one: the existing programme of textual analysis in finance — the word-counting, sentiment-scoring, readability-measuring approach associated with Tetlock, Loughran and McDonald, and others — captures something real and important about financial language, but it is radically incomplete. It treats language as a transparent signal whose properties can be indexed by its surface features, missing the deeper rhetorical structures through which financial texts construct authority, naturalise ideological positions, and perform markets into existence. A fuller account of how financial language works requires the integration of qualitative, interpretive methods alongside the quantitative approaches that currently dominate the field.</w:t>
      </w:r>
    </w:p>
    <w:p w14:paraId="2668D855">
      <w:pPr>
        <w:spacing w:after="200" w:line="480" w:lineRule="auto"/>
        <w:ind w:firstLine="720"/>
        <w:jc w:val="both"/>
      </w:pPr>
      <w:r>
        <w:rPr>
          <w:rFonts w:ascii="Times New Roman" w:hAnsi="Times New Roman" w:eastAsia="Times New Roman" w:cs="Times New Roman"/>
          <w:sz w:val="24"/>
          <w:szCs w:val="24"/>
        </w:rPr>
        <w:t>The practical implications are significant for financial regulation. If financial texts are not transparent conduits of information but rhetorically constructed documents that can naturalise ideological positions, displace agency, and morally encode particular visions of economic order, then the regulation of financial disclosure — currently focused almost entirely on the accuracy and completeness of quantitative information — is inadequate. Regulators should attend to the rhetorical properties of financial documents: the way that mandatory disclosures are framed, the metaphors through which risk is represented, the temporal architectures within which future performance is projected. Disclosure regulation that attends only to what is said, and not to how it is said, is blind to some of the most consequential features of financial communication.</w:t>
      </w:r>
    </w:p>
    <w:p w14:paraId="32021829">
      <w:pPr>
        <w:pStyle w:val="3"/>
        <w:spacing w:before="320" w:after="160"/>
      </w:pPr>
      <w:r>
        <w:rPr>
          <w:rFonts w:ascii="Times New Roman" w:hAnsi="Times New Roman" w:eastAsia="Times New Roman" w:cs="Times New Roman"/>
          <w:b/>
          <w:bCs/>
          <w:sz w:val="26"/>
          <w:szCs w:val="26"/>
        </w:rPr>
        <w:t>5.3 For Democratic Deliberation</w:t>
      </w:r>
    </w:p>
    <w:p w14:paraId="38F11016">
      <w:pPr>
        <w:spacing w:after="200" w:line="480" w:lineRule="auto"/>
        <w:ind w:firstLine="720"/>
        <w:jc w:val="both"/>
      </w:pPr>
      <w:r>
        <w:rPr>
          <w:rFonts w:ascii="Times New Roman" w:hAnsi="Times New Roman" w:eastAsia="Times New Roman" w:cs="Times New Roman"/>
          <w:sz w:val="24"/>
          <w:szCs w:val="24"/>
        </w:rPr>
        <w:t>The broadest implication of this analysis is for democratic politics. Economic policy is among the most consequential domains of political decision-making, but it is also among the most insulated from genuine democratic deliberation. The rhetorical strategies identified in this paper — naturalisation, agentive displacement, moral encoding in particular — function systematically to insulate economic policy from political contestation by presenting human choices as natural necessities, political decisions as technical requirements, and ideological positions as neutral assessments. Citizens who lack the critical tools to read financial discourse against the grain are poorly equipped to participate in democratic deliberation about economic policy.</w:t>
      </w:r>
    </w:p>
    <w:p w14:paraId="07C8AE51">
      <w:pPr>
        <w:spacing w:after="200" w:line="480" w:lineRule="auto"/>
        <w:ind w:firstLine="720"/>
        <w:jc w:val="both"/>
      </w:pPr>
      <w:r>
        <w:rPr>
          <w:rFonts w:ascii="Times New Roman" w:hAnsi="Times New Roman" w:eastAsia="Times New Roman" w:cs="Times New Roman"/>
          <w:sz w:val="24"/>
          <w:szCs w:val="24"/>
        </w:rPr>
        <w:t>A critical literacy of financial discourse is therefore not merely an intellectual accomplishment but a democratic requirement. The contribution that English, rhetoric, and literary studies can make — teaching the skills of close reading, rhetorical analysis, and ideological critique — is not peripheral to practical economic and political life but central to it. The case for humanistic education, in an era when that case is increasingly pressed, includes this argument: that the ability to read powerful texts critically, to see through the naturalisations and displacements of official discourse, to identify the moral encodings embedded in apparently technical language, is a condition of democratic citizenship.</w:t>
      </w:r>
    </w:p>
    <w:p w14:paraId="6F3570EE">
      <w:r>
        <w:br w:type="page"/>
      </w:r>
    </w:p>
    <w:p w14:paraId="372322CB">
      <w:pPr>
        <w:pStyle w:val="2"/>
        <w:spacing w:before="320" w:after="160"/>
      </w:pPr>
      <w:r>
        <w:rPr>
          <w:rFonts w:ascii="Times New Roman" w:hAnsi="Times New Roman" w:eastAsia="Times New Roman" w:cs="Times New Roman"/>
          <w:b/>
          <w:bCs/>
          <w:sz w:val="28"/>
          <w:szCs w:val="28"/>
        </w:rPr>
        <w:t>VI. CONCLUSION</w:t>
      </w:r>
    </w:p>
    <w:p w14:paraId="58E259DA">
      <w:pPr>
        <w:spacing w:after="200" w:line="480" w:lineRule="auto"/>
        <w:ind w:firstLine="720"/>
        <w:jc w:val="both"/>
      </w:pPr>
      <w:r>
        <w:rPr>
          <w:rFonts w:ascii="Times New Roman" w:hAnsi="Times New Roman" w:eastAsia="Times New Roman" w:cs="Times New Roman"/>
          <w:sz w:val="24"/>
          <w:szCs w:val="24"/>
        </w:rPr>
        <w:t>This paper has argued for a systematic engagement between the humanistic disciplines and financial discourse, grounded in a theoretical synthesis — the Rhetoric-Finance Interface model — that integrates classical rhetoric, critical discourse analysis, and the performativity thesis from the sociology of finance. Through close readings of central bank communications, corporate annual reports, IMF programme documents, and financial journalism, it has demonstrated the operation of four dominant rhetorical strategies — naturalisation, temporalisation, agentive displacement, and moral encoding — across financial genres. These strategies do not merely package pre-existing economic content in persuasive form; they actively construct the economic reality they appear to describe, positioning particular arrangements as natural and inevitable while marginalising alternatives.</w:t>
      </w:r>
    </w:p>
    <w:p w14:paraId="4F0F10CA">
      <w:pPr>
        <w:spacing w:after="200" w:line="480" w:lineRule="auto"/>
        <w:ind w:firstLine="720"/>
        <w:jc w:val="both"/>
      </w:pPr>
      <w:r>
        <w:rPr>
          <w:rFonts w:ascii="Times New Roman" w:hAnsi="Times New Roman" w:eastAsia="Times New Roman" w:cs="Times New Roman"/>
          <w:sz w:val="24"/>
          <w:szCs w:val="24"/>
        </w:rPr>
        <w:t>The contributions of this paper are threefold. Theoretically, the RFI model provides a unified framework for interdisciplinary engagement with financial discourse that draws on and integrates previously disparate traditions. Methodologically, it demonstrates the application of close reading and rhetorical analysis to financial texts, showing that these methods reveal features of financial language that quantitative approaches cannot capture. Practically, it argues that financial discourse analysis has implications for regulatory design, financial education, and democratic deliberation about economic policy.</w:t>
      </w:r>
    </w:p>
    <w:p w14:paraId="64228F6E">
      <w:pPr>
        <w:spacing w:after="200" w:line="480" w:lineRule="auto"/>
        <w:ind w:firstLine="720"/>
        <w:jc w:val="both"/>
      </w:pPr>
      <w:r>
        <w:rPr>
          <w:rFonts w:ascii="Times New Roman" w:hAnsi="Times New Roman" w:eastAsia="Times New Roman" w:cs="Times New Roman"/>
          <w:sz w:val="24"/>
          <w:szCs w:val="24"/>
        </w:rPr>
        <w:t>The limitations of this study should be acknowledged with the same seriousness as its contributions. The texts selected for analysis are representative but not exhaustive; a different selection might reveal different patterns. The close reading methodology, for all its analytical depth, cannot substitute for the breadth that quantitative approaches provide; future work should seek to integrate both. The four rhetorical strategies identified are proposed as dominant and pervasive, but they are not claimed to be the only strategies operating in financial discourse, nor to operate in all financial texts in the same configuration.</w:t>
      </w:r>
    </w:p>
    <w:p w14:paraId="6C196C9B">
      <w:pPr>
        <w:spacing w:after="200" w:line="480" w:lineRule="auto"/>
        <w:ind w:firstLine="720"/>
        <w:jc w:val="both"/>
      </w:pPr>
      <w:r>
        <w:rPr>
          <w:rFonts w:ascii="Times New Roman" w:hAnsi="Times New Roman" w:eastAsia="Times New Roman" w:cs="Times New Roman"/>
          <w:sz w:val="24"/>
          <w:szCs w:val="24"/>
        </w:rPr>
        <w:t>Future research might extend this framework in several directions. Comparative work across national and linguistic contexts would test whether the rhetorical strategies identified here are features of anglophone financial discourse specifically or of financial discourse more generally. Historical analysis would examine how these strategies have evolved — how the rhetoric of central banking has changed from the gold standard era to the era of inflation targeting; how corporate reporting has transformed in the age of ESG. Applied work might engage directly with regulatory bodies, proposing specific changes to disclosure requirements in light of the rhetorical analysis. And pedagogical work might develop curricula that equip students — in both English and Finance programmes — with the critical tools needed to read financial texts with the rigour and scepticism they deserve.</w:t>
      </w:r>
    </w:p>
    <w:p w14:paraId="11127039">
      <w:pPr>
        <w:spacing w:after="200" w:line="480" w:lineRule="auto"/>
        <w:ind w:firstLine="720"/>
        <w:jc w:val="both"/>
      </w:pPr>
      <w:r>
        <w:rPr>
          <w:rFonts w:ascii="Times New Roman" w:hAnsi="Times New Roman" w:eastAsia="Times New Roman" w:cs="Times New Roman"/>
          <w:sz w:val="24"/>
          <w:szCs w:val="24"/>
        </w:rPr>
        <w:t>The language of money is not a transparent medium through which economic truth passes. It is a rhetorically constructed discourse through which particular visions of economic reality are made to appear natural, inevitable, and authoritative. Reading it critically is not an optional intellectual exercise. It is a political and civic necessity.</w:t>
      </w:r>
    </w:p>
    <w:p w14:paraId="31BB3EC5">
      <w:r>
        <w:br w:type="page"/>
      </w:r>
    </w:p>
    <w:p w14:paraId="049D8C97">
      <w:pPr>
        <w:pStyle w:val="2"/>
        <w:spacing w:before="320" w:after="160"/>
      </w:pPr>
      <w:r>
        <w:rPr>
          <w:rFonts w:ascii="Times New Roman" w:hAnsi="Times New Roman" w:eastAsia="Times New Roman" w:cs="Times New Roman"/>
          <w:b/>
          <w:bCs/>
          <w:sz w:val="28"/>
          <w:szCs w:val="28"/>
        </w:rPr>
        <w:t>REFERENCES</w:t>
      </w:r>
    </w:p>
    <w:p w14:paraId="092667E0">
      <w:pPr>
        <w:spacing w:after="200" w:line="480" w:lineRule="auto"/>
        <w:ind w:firstLine="720"/>
        <w:jc w:val="both"/>
      </w:pPr>
      <w:r>
        <w:rPr>
          <w:rFonts w:ascii="Times New Roman" w:hAnsi="Times New Roman" w:eastAsia="Times New Roman" w:cs="Times New Roman"/>
          <w:sz w:val="24"/>
          <w:szCs w:val="24"/>
        </w:rPr>
        <w:t>Austin, J.L. (1962). How to Do Things with Words. Oxford University Press.</w:t>
      </w:r>
    </w:p>
    <w:p w14:paraId="68A977CE">
      <w:pPr>
        <w:spacing w:after="200" w:line="480" w:lineRule="auto"/>
        <w:ind w:firstLine="720"/>
        <w:jc w:val="both"/>
      </w:pPr>
      <w:r>
        <w:rPr>
          <w:rFonts w:ascii="Times New Roman" w:hAnsi="Times New Roman" w:eastAsia="Times New Roman" w:cs="Times New Roman"/>
          <w:sz w:val="24"/>
          <w:szCs w:val="24"/>
        </w:rPr>
        <w:t>Bakhtin, M.M. (1986). Speech Genres and Other Late Essays. Trans. V.W. McGee. University of Texas Press.</w:t>
      </w:r>
    </w:p>
    <w:p w14:paraId="7446BFC2">
      <w:pPr>
        <w:spacing w:after="200" w:line="480" w:lineRule="auto"/>
        <w:ind w:firstLine="720"/>
        <w:jc w:val="both"/>
      </w:pPr>
      <w:r>
        <w:rPr>
          <w:rFonts w:ascii="Times New Roman" w:hAnsi="Times New Roman" w:eastAsia="Times New Roman" w:cs="Times New Roman"/>
          <w:sz w:val="24"/>
          <w:szCs w:val="24"/>
        </w:rPr>
        <w:t>Bazerman, C. (1988). Shaping Written Knowledge: The Genre and Activity of the Experimental Article in Science. University of Wisconsin Press.</w:t>
      </w:r>
    </w:p>
    <w:p w14:paraId="71825E25">
      <w:pPr>
        <w:spacing w:after="200" w:line="480" w:lineRule="auto"/>
        <w:ind w:firstLine="720"/>
        <w:jc w:val="both"/>
      </w:pPr>
      <w:r>
        <w:rPr>
          <w:rFonts w:ascii="Times New Roman" w:hAnsi="Times New Roman" w:eastAsia="Times New Roman" w:cs="Times New Roman"/>
          <w:sz w:val="24"/>
          <w:szCs w:val="24"/>
        </w:rPr>
        <w:t>Butler, J. (1990). Gender Trouble: Feminism and the Subversion of Identity. Routledge.</w:t>
      </w:r>
    </w:p>
    <w:p w14:paraId="79A1698E">
      <w:pPr>
        <w:spacing w:after="200" w:line="480" w:lineRule="auto"/>
        <w:ind w:firstLine="720"/>
        <w:jc w:val="both"/>
      </w:pPr>
      <w:r>
        <w:rPr>
          <w:rFonts w:ascii="Times New Roman" w:hAnsi="Times New Roman" w:eastAsia="Times New Roman" w:cs="Times New Roman"/>
          <w:sz w:val="24"/>
          <w:szCs w:val="24"/>
        </w:rPr>
        <w:t>Callon, M. (Ed.) (1998). The Laws of the Markets. Blackwell. [CITE VERIFY]</w:t>
      </w:r>
    </w:p>
    <w:p w14:paraId="4DB0CDBA">
      <w:pPr>
        <w:spacing w:after="200" w:line="480" w:lineRule="auto"/>
        <w:ind w:firstLine="720"/>
        <w:jc w:val="both"/>
      </w:pPr>
      <w:r>
        <w:rPr>
          <w:rFonts w:ascii="Times New Roman" w:hAnsi="Times New Roman" w:eastAsia="Times New Roman" w:cs="Times New Roman"/>
          <w:sz w:val="24"/>
          <w:szCs w:val="24"/>
        </w:rPr>
        <w:t>Fairclough, N. (1989). Language and Power. Longman. [CITE VERIFY — confirm edition]</w:t>
      </w:r>
    </w:p>
    <w:p w14:paraId="132C6C98">
      <w:pPr>
        <w:spacing w:after="200" w:line="480" w:lineRule="auto"/>
        <w:ind w:firstLine="720"/>
        <w:jc w:val="both"/>
      </w:pPr>
      <w:r>
        <w:rPr>
          <w:rFonts w:ascii="Times New Roman" w:hAnsi="Times New Roman" w:eastAsia="Times New Roman" w:cs="Times New Roman"/>
          <w:sz w:val="24"/>
          <w:szCs w:val="24"/>
        </w:rPr>
        <w:t>Fairclough, N. (1992). Discourse and Social Change. Polity Press. [CITE VERIFY]</w:t>
      </w:r>
    </w:p>
    <w:p w14:paraId="13841A9F">
      <w:pPr>
        <w:spacing w:after="200" w:line="480" w:lineRule="auto"/>
        <w:ind w:firstLine="720"/>
        <w:jc w:val="both"/>
      </w:pPr>
      <w:r>
        <w:rPr>
          <w:rFonts w:ascii="Times New Roman" w:hAnsi="Times New Roman" w:eastAsia="Times New Roman" w:cs="Times New Roman"/>
          <w:sz w:val="24"/>
          <w:szCs w:val="24"/>
        </w:rPr>
        <w:t>Fairclough, N. (1995). Critical Discourse Analysis: The Critical Study of Language. Longman.</w:t>
      </w:r>
    </w:p>
    <w:p w14:paraId="431ADA93">
      <w:pPr>
        <w:spacing w:after="200" w:line="480" w:lineRule="auto"/>
        <w:ind w:firstLine="720"/>
        <w:jc w:val="both"/>
      </w:pPr>
      <w:r>
        <w:rPr>
          <w:rFonts w:ascii="Times New Roman" w:hAnsi="Times New Roman" w:eastAsia="Times New Roman" w:cs="Times New Roman"/>
          <w:sz w:val="24"/>
          <w:szCs w:val="24"/>
        </w:rPr>
        <w:t>La Berge, L.C. [CITE NEEDED: Full citation on financialisation and literary form, circa 2014-2018]</w:t>
      </w:r>
    </w:p>
    <w:p w14:paraId="09ED3888">
      <w:pPr>
        <w:spacing w:after="200" w:line="480" w:lineRule="auto"/>
        <w:ind w:firstLine="720"/>
        <w:jc w:val="both"/>
      </w:pPr>
      <w:r>
        <w:rPr>
          <w:rFonts w:ascii="Times New Roman" w:hAnsi="Times New Roman" w:eastAsia="Times New Roman" w:cs="Times New Roman"/>
          <w:sz w:val="24"/>
          <w:szCs w:val="24"/>
        </w:rPr>
        <w:t>Langley, P. (2008). The Everyday Life of Global Finance: Saving and Borrowing in Anglo-America. Oxford University Press. [CITE VERIFY]</w:t>
      </w:r>
    </w:p>
    <w:p w14:paraId="1E73C91F">
      <w:pPr>
        <w:spacing w:after="200" w:line="480" w:lineRule="auto"/>
        <w:ind w:firstLine="720"/>
        <w:jc w:val="both"/>
      </w:pPr>
      <w:r>
        <w:rPr>
          <w:rFonts w:ascii="Times New Roman" w:hAnsi="Times New Roman" w:eastAsia="Times New Roman" w:cs="Times New Roman"/>
          <w:sz w:val="24"/>
          <w:szCs w:val="24"/>
        </w:rPr>
        <w:t>Li, F. (2008). Annual Report Readability, Current Earnings, and Earnings Persistence. Journal of Accounting and Economics, 45(2-3), 221-247. [CITE VERIFY]</w:t>
      </w:r>
    </w:p>
    <w:p w14:paraId="4D657563">
      <w:pPr>
        <w:spacing w:after="200" w:line="480" w:lineRule="auto"/>
        <w:ind w:firstLine="720"/>
        <w:jc w:val="both"/>
      </w:pPr>
      <w:r>
        <w:rPr>
          <w:rFonts w:ascii="Times New Roman" w:hAnsi="Times New Roman" w:eastAsia="Times New Roman" w:cs="Times New Roman"/>
          <w:sz w:val="24"/>
          <w:szCs w:val="24"/>
        </w:rPr>
        <w:t>Loughran, T. &amp; McDonald, B. (2011). When Is a Liability Not a Liability? Textual Analysis, Dictionaries, and 10-Ks. Journal of Finance, 66(1), 35-65. [CITE VERIFY]</w:t>
      </w:r>
    </w:p>
    <w:p w14:paraId="531676E7">
      <w:pPr>
        <w:spacing w:after="200" w:line="480" w:lineRule="auto"/>
        <w:ind w:firstLine="720"/>
        <w:jc w:val="both"/>
      </w:pPr>
      <w:r>
        <w:rPr>
          <w:rFonts w:ascii="Times New Roman" w:hAnsi="Times New Roman" w:eastAsia="Times New Roman" w:cs="Times New Roman"/>
          <w:sz w:val="24"/>
          <w:szCs w:val="24"/>
        </w:rPr>
        <w:t>MacKenzie, D. (2006). An Engine, Not a Camera: How Financial Models Shape Markets. MIT Press. [CITE VERIFY]</w:t>
      </w:r>
    </w:p>
    <w:p w14:paraId="5465D08C">
      <w:pPr>
        <w:spacing w:after="200" w:line="480" w:lineRule="auto"/>
        <w:ind w:firstLine="720"/>
        <w:jc w:val="both"/>
      </w:pPr>
      <w:r>
        <w:rPr>
          <w:rFonts w:ascii="Times New Roman" w:hAnsi="Times New Roman" w:eastAsia="Times New Roman" w:cs="Times New Roman"/>
          <w:sz w:val="24"/>
          <w:szCs w:val="24"/>
        </w:rPr>
        <w:t>Martin, R. (2002). Financialization of Daily Life. Temple University Press.</w:t>
      </w:r>
    </w:p>
    <w:p w14:paraId="7642A30C">
      <w:pPr>
        <w:spacing w:after="200" w:line="480" w:lineRule="auto"/>
        <w:ind w:firstLine="720"/>
        <w:jc w:val="both"/>
      </w:pPr>
      <w:r>
        <w:rPr>
          <w:rFonts w:ascii="Times New Roman" w:hAnsi="Times New Roman" w:eastAsia="Times New Roman" w:cs="Times New Roman"/>
          <w:sz w:val="24"/>
          <w:szCs w:val="24"/>
        </w:rPr>
        <w:t>McCloskey, D.N. (1985). The Rhetoric of Economics. University of Wisconsin Press.</w:t>
      </w:r>
    </w:p>
    <w:p w14:paraId="4EF895DE">
      <w:pPr>
        <w:spacing w:after="200" w:line="480" w:lineRule="auto"/>
        <w:ind w:firstLine="720"/>
        <w:jc w:val="both"/>
      </w:pPr>
      <w:r>
        <w:rPr>
          <w:rFonts w:ascii="Times New Roman" w:hAnsi="Times New Roman" w:eastAsia="Times New Roman" w:cs="Times New Roman"/>
          <w:sz w:val="24"/>
          <w:szCs w:val="24"/>
        </w:rPr>
        <w:t>Michaels, W.B. (1987). The Gold Standard and the Logic of Naturalism: American Literature at the Turn of the Century. University of California Press.</w:t>
      </w:r>
    </w:p>
    <w:p w14:paraId="3561F2EA">
      <w:pPr>
        <w:spacing w:after="200" w:line="480" w:lineRule="auto"/>
        <w:ind w:firstLine="720"/>
        <w:jc w:val="both"/>
      </w:pPr>
      <w:r>
        <w:rPr>
          <w:rFonts w:ascii="Times New Roman" w:hAnsi="Times New Roman" w:eastAsia="Times New Roman" w:cs="Times New Roman"/>
          <w:sz w:val="24"/>
          <w:szCs w:val="24"/>
        </w:rPr>
        <w:t>Rodrik, D. (2011). The Globalization Paradox: Democracy and the Future of the World Economy. W.W. Norton.</w:t>
      </w:r>
    </w:p>
    <w:p w14:paraId="47DE0C36">
      <w:pPr>
        <w:spacing w:after="200" w:line="480" w:lineRule="auto"/>
        <w:ind w:firstLine="720"/>
        <w:jc w:val="both"/>
      </w:pPr>
      <w:r>
        <w:rPr>
          <w:rFonts w:ascii="Times New Roman" w:hAnsi="Times New Roman" w:eastAsia="Times New Roman" w:cs="Times New Roman"/>
          <w:sz w:val="24"/>
          <w:szCs w:val="24"/>
        </w:rPr>
        <w:t>Shell, M. (1982). Money, Language, and Thought: Literary and Philosophic Economies from the Medieval to the Modern Era. University of California Press.</w:t>
      </w:r>
    </w:p>
    <w:p w14:paraId="10A5FDAD">
      <w:pPr>
        <w:spacing w:after="200" w:line="480" w:lineRule="auto"/>
        <w:ind w:firstLine="720"/>
        <w:jc w:val="both"/>
      </w:pPr>
      <w:r>
        <w:rPr>
          <w:rFonts w:ascii="Times New Roman" w:hAnsi="Times New Roman" w:eastAsia="Times New Roman" w:cs="Times New Roman"/>
          <w:sz w:val="24"/>
          <w:szCs w:val="24"/>
        </w:rPr>
        <w:t>Shiller, R.J. (2019). Narrative Economics: How Stories Go Viral and Drive Major Economic Events. Princeton University Press. [CITE VERIFY]</w:t>
      </w:r>
    </w:p>
    <w:p w14:paraId="46C41160">
      <w:pPr>
        <w:spacing w:after="200" w:line="480" w:lineRule="auto"/>
        <w:ind w:firstLine="720"/>
        <w:jc w:val="both"/>
      </w:pPr>
      <w:r>
        <w:rPr>
          <w:rFonts w:ascii="Times New Roman" w:hAnsi="Times New Roman" w:eastAsia="Times New Roman" w:cs="Times New Roman"/>
          <w:sz w:val="24"/>
          <w:szCs w:val="24"/>
        </w:rPr>
        <w:t>Stiglitz, J. (2002). Globalization and Its Discontents. W.W. Norton. [CITE VERIFY]</w:t>
      </w:r>
    </w:p>
    <w:p w14:paraId="5BFA7E2B">
      <w:pPr>
        <w:spacing w:after="200" w:line="480" w:lineRule="auto"/>
        <w:ind w:firstLine="720"/>
        <w:jc w:val="both"/>
      </w:pPr>
      <w:r>
        <w:rPr>
          <w:rFonts w:ascii="Times New Roman" w:hAnsi="Times New Roman" w:eastAsia="Times New Roman" w:cs="Times New Roman"/>
          <w:sz w:val="24"/>
          <w:szCs w:val="24"/>
        </w:rPr>
        <w:t>Swales, J.M. (1990). Genre Analysis: English in Academic and Research Settings. Cambridge University Press. [CITE VERIFY]</w:t>
      </w:r>
    </w:p>
    <w:p w14:paraId="5F51908F">
      <w:pPr>
        <w:spacing w:after="200" w:line="480" w:lineRule="auto"/>
        <w:ind w:firstLine="720"/>
        <w:jc w:val="both"/>
      </w:pPr>
      <w:r>
        <w:rPr>
          <w:rFonts w:ascii="Times New Roman" w:hAnsi="Times New Roman" w:eastAsia="Times New Roman" w:cs="Times New Roman"/>
          <w:sz w:val="24"/>
          <w:szCs w:val="24"/>
        </w:rPr>
        <w:t>Tetlock, P.C. (2007). Giving Content to Investor Sentiment: The Role of Media in the Stock Market. Journal of Finance, 62(3), 1139-1168. [CITE VERIFY]</w:t>
      </w:r>
    </w:p>
    <w:p w14:paraId="6DAD7D5A">
      <w:pPr>
        <w:spacing w:after="200" w:line="480" w:lineRule="auto"/>
        <w:ind w:firstLine="720"/>
        <w:jc w:val="both"/>
      </w:pPr>
      <w:r>
        <w:rPr>
          <w:rFonts w:ascii="Times New Roman" w:hAnsi="Times New Roman" w:eastAsia="Times New Roman" w:cs="Times New Roman"/>
          <w:sz w:val="24"/>
          <w:szCs w:val="24"/>
        </w:rPr>
        <w:t>van Dijk, T.A. (1998). Ideology: A Multidisciplinary Approach. Sage.</w:t>
      </w:r>
    </w:p>
    <w:p w14:paraId="06C1EAC9">
      <w:pPr>
        <w:spacing w:after="200" w:line="480" w:lineRule="auto"/>
        <w:ind w:firstLine="720"/>
        <w:jc w:val="both"/>
      </w:pPr>
      <w:r>
        <w:rPr>
          <w:rFonts w:ascii="Times New Roman" w:hAnsi="Times New Roman" w:eastAsia="Times New Roman" w:cs="Times New Roman"/>
          <w:sz w:val="24"/>
          <w:szCs w:val="24"/>
        </w:rPr>
        <w:t>Wodak, R. &amp; Meyer, M. (Eds.) (2009). Methods of Critical Discourse Analysis (2nd ed.). Sage.</w:t>
      </w:r>
    </w:p>
    <w:p w14:paraId="7E7EA50A">
      <w:r>
        <w:br w:type="page"/>
      </w:r>
    </w:p>
    <w:p w14:paraId="0E4F34FE">
      <w:pPr>
        <w:pStyle w:val="2"/>
        <w:spacing w:before="320" w:after="160"/>
      </w:pPr>
      <w:r>
        <w:rPr>
          <w:rFonts w:ascii="Times New Roman" w:hAnsi="Times New Roman" w:eastAsia="Times New Roman" w:cs="Times New Roman"/>
          <w:b/>
          <w:bCs/>
          <w:sz w:val="28"/>
          <w:szCs w:val="28"/>
        </w:rPr>
        <w:t>APPENDIX: REFEREE REPORT SIMULATION</w:t>
      </w:r>
    </w:p>
    <w:p w14:paraId="491AC6E9">
      <w:pPr>
        <w:spacing w:after="200" w:line="480" w:lineRule="auto"/>
        <w:ind w:firstLine="720"/>
        <w:jc w:val="both"/>
      </w:pPr>
      <w:r>
        <w:rPr>
          <w:rFonts w:ascii="Times New Roman" w:hAnsi="Times New Roman" w:eastAsia="Times New Roman" w:cs="Times New Roman"/>
          <w:b/>
          <w:bCs/>
          <w:sz w:val="24"/>
          <w:szCs w:val="24"/>
        </w:rPr>
        <w:t xml:space="preserve">Paper Title: </w:t>
      </w:r>
      <w:r>
        <w:rPr>
          <w:rFonts w:ascii="Times New Roman" w:hAnsi="Times New Roman" w:eastAsia="Times New Roman" w:cs="Times New Roman"/>
          <w:sz w:val="24"/>
          <w:szCs w:val="24"/>
        </w:rPr>
        <w:t>The Language of Money: Rhetoric, Narrative, and Power in Financial Discourse</w:t>
      </w:r>
    </w:p>
    <w:p w14:paraId="587C8948">
      <w:pPr>
        <w:spacing w:after="200" w:line="480" w:lineRule="auto"/>
        <w:ind w:firstLine="720"/>
        <w:jc w:val="both"/>
      </w:pPr>
      <w:r>
        <w:rPr>
          <w:rFonts w:ascii="Times New Roman" w:hAnsi="Times New Roman" w:eastAsia="Times New Roman" w:cs="Times New Roman"/>
          <w:b/>
          <w:bCs/>
          <w:sz w:val="24"/>
          <w:szCs w:val="24"/>
        </w:rPr>
        <w:t xml:space="preserve">Recommendation: </w:t>
      </w:r>
      <w:r>
        <w:rPr>
          <w:rFonts w:ascii="Times New Roman" w:hAnsi="Times New Roman" w:eastAsia="Times New Roman" w:cs="Times New Roman"/>
          <w:sz w:val="24"/>
          <w:szCs w:val="24"/>
        </w:rPr>
        <w:t>Major Revision — The paper makes a significant and original interdisciplinary contribution but requires deepening of the textual analysis sections and greater engagement with objections from financial economists.</w:t>
      </w:r>
    </w:p>
    <w:p w14:paraId="2F56A720">
      <w:pPr>
        <w:spacing w:after="160"/>
      </w:pPr>
    </w:p>
    <w:p w14:paraId="0FECA6D1">
      <w:pPr>
        <w:spacing w:after="200" w:line="480" w:lineRule="auto"/>
        <w:ind w:firstLine="720"/>
        <w:jc w:val="both"/>
      </w:pPr>
      <w:r>
        <w:rPr>
          <w:rFonts w:ascii="Times New Roman" w:hAnsi="Times New Roman" w:eastAsia="Times New Roman" w:cs="Times New Roman"/>
          <w:b/>
          <w:bCs/>
          <w:sz w:val="24"/>
          <w:szCs w:val="24"/>
        </w:rPr>
        <w:t>SUMMARY OF CONTRIBUTION</w:t>
      </w:r>
    </w:p>
    <w:p w14:paraId="79264012">
      <w:pPr>
        <w:spacing w:after="200" w:line="480" w:lineRule="auto"/>
        <w:ind w:firstLine="720"/>
        <w:jc w:val="both"/>
      </w:pPr>
      <w:r>
        <w:rPr>
          <w:rFonts w:ascii="Times New Roman" w:hAnsi="Times New Roman" w:eastAsia="Times New Roman" w:cs="Times New Roman"/>
          <w:sz w:val="24"/>
          <w:szCs w:val="24"/>
        </w:rPr>
        <w:t>This paper proposes a theoretically ambitious and practically consequential framework — the Rhetoric-Finance Interface model — for the interdisciplinary study of financial discourse. Its strongest points are the coherence of its theoretical synthesis and the quality of its introductory argument for the political necessity of financial discourse analysis. The identification of four rhetorical strategies (naturalisation, temporalisation, agentive displacement, moral encoding) is analytically productive and could anchor a research programme extending well beyond this single paper.</w:t>
      </w:r>
    </w:p>
    <w:p w14:paraId="7B2779CC">
      <w:pPr>
        <w:spacing w:after="160"/>
      </w:pPr>
    </w:p>
    <w:p w14:paraId="660E1C9E">
      <w:pPr>
        <w:spacing w:after="200" w:line="480" w:lineRule="auto"/>
        <w:ind w:firstLine="720"/>
        <w:jc w:val="both"/>
      </w:pPr>
      <w:r>
        <w:rPr>
          <w:rFonts w:ascii="Times New Roman" w:hAnsi="Times New Roman" w:eastAsia="Times New Roman" w:cs="Times New Roman"/>
          <w:b/>
          <w:bCs/>
          <w:sz w:val="24"/>
          <w:szCs w:val="24"/>
        </w:rPr>
        <w:t>MAJOR CONCERNS</w:t>
      </w:r>
    </w:p>
    <w:p w14:paraId="6B47F68E">
      <w:pPr>
        <w:spacing w:after="200" w:line="480" w:lineRule="auto"/>
        <w:ind w:firstLine="720"/>
        <w:jc w:val="both"/>
      </w:pPr>
      <w:r>
        <w:rPr>
          <w:rFonts w:ascii="Times New Roman" w:hAnsi="Times New Roman" w:eastAsia="Times New Roman" w:cs="Times New Roman"/>
          <w:sz w:val="24"/>
          <w:szCs w:val="24"/>
        </w:rPr>
        <w:t>1. The textual analyses, while competent as demonstrations, do not achieve the depth of close reading that the paper's methodological commitments require. The RFI model is theoretically rich, but the readings of FOMC statements, annual reports, and IMF documents rely largely on generic observations rather than sustained analysis of specific passages. Revised versions should select shorter passages for more intensive analysis — paragraph-level close reading rather than genre-level characterisation. The reader should be able to see the model at work on specific sentences.</w:t>
      </w:r>
    </w:p>
    <w:p w14:paraId="40D233A0">
      <w:pPr>
        <w:spacing w:after="200" w:line="480" w:lineRule="auto"/>
        <w:ind w:firstLine="720"/>
        <w:jc w:val="both"/>
      </w:pPr>
      <w:r>
        <w:rPr>
          <w:rFonts w:ascii="Times New Roman" w:hAnsi="Times New Roman" w:eastAsia="Times New Roman" w:cs="Times New Roman"/>
          <w:sz w:val="24"/>
          <w:szCs w:val="24"/>
        </w:rPr>
        <w:t xml:space="preserve">   Suggested fix: Select three to five specific passages (no longer than a paragraph each) from the nominated genres and conduct line-by-line close reading demonstrating each of the four rhetorical strategies in action.</w:t>
      </w:r>
    </w:p>
    <w:p w14:paraId="407BABC1">
      <w:pPr>
        <w:spacing w:after="160"/>
      </w:pPr>
    </w:p>
    <w:p w14:paraId="480371EB">
      <w:pPr>
        <w:spacing w:after="200" w:line="480" w:lineRule="auto"/>
        <w:ind w:firstLine="720"/>
        <w:jc w:val="both"/>
      </w:pPr>
      <w:r>
        <w:rPr>
          <w:rFonts w:ascii="Times New Roman" w:hAnsi="Times New Roman" w:eastAsia="Times New Roman" w:cs="Times New Roman"/>
          <w:sz w:val="24"/>
          <w:szCs w:val="24"/>
        </w:rPr>
        <w:t>2. The paper does not adequately engage with the strongest objection to its theoretical framework: that financial language is simply doing its job (efficient communication of information to expert audiences) rather than performing ideology. A financial economist reading this paper would note that FOMC passive constructions may reflect genuine epistemic humility about causation rather than ideological naturalisation. The paper needs a more robust account of how to distinguish ideological naturalisation from legitimate technical description.</w:t>
      </w:r>
    </w:p>
    <w:p w14:paraId="6B6A68BB">
      <w:pPr>
        <w:spacing w:after="200" w:line="480" w:lineRule="auto"/>
        <w:ind w:firstLine="720"/>
        <w:jc w:val="both"/>
      </w:pPr>
      <w:r>
        <w:rPr>
          <w:rFonts w:ascii="Times New Roman" w:hAnsi="Times New Roman" w:eastAsia="Times New Roman" w:cs="Times New Roman"/>
          <w:sz w:val="24"/>
          <w:szCs w:val="24"/>
        </w:rPr>
        <w:t xml:space="preserve">   Suggested fix: Add a subsection in the theoretical framework (Section III) addressing the distinction between technical and ideological language in financial discourse, and acknowledge the cases where apparently naturalising language reflects genuine uncertainty about causal mechanisms.</w:t>
      </w:r>
    </w:p>
    <w:p w14:paraId="10A34A65">
      <w:pPr>
        <w:spacing w:after="160"/>
      </w:pPr>
    </w:p>
    <w:p w14:paraId="04FA2586">
      <w:pPr>
        <w:spacing w:after="200" w:line="480" w:lineRule="auto"/>
        <w:ind w:firstLine="720"/>
        <w:jc w:val="both"/>
      </w:pPr>
      <w:r>
        <w:rPr>
          <w:rFonts w:ascii="Times New Roman" w:hAnsi="Times New Roman" w:eastAsia="Times New Roman" w:cs="Times New Roman"/>
          <w:sz w:val="24"/>
          <w:szCs w:val="24"/>
        </w:rPr>
        <w:t>3. The claim that financial texts 'construct economic reality' rather than describe it requires more precise formulation. The performativity thesis is a strong and contested claim; different theorists (Callon, MacKenzie, Butler) mean quite different things by 'performativity,' and their differences matter for this paper's argument. The paper tends to cite the performativity thesis as settled doctrine when it remains theoretically contested.</w:t>
      </w:r>
    </w:p>
    <w:p w14:paraId="6551177C">
      <w:pPr>
        <w:spacing w:after="200" w:line="480" w:lineRule="auto"/>
        <w:ind w:firstLine="720"/>
        <w:jc w:val="both"/>
      </w:pPr>
      <w:r>
        <w:rPr>
          <w:rFonts w:ascii="Times New Roman" w:hAnsi="Times New Roman" w:eastAsia="Times New Roman" w:cs="Times New Roman"/>
          <w:sz w:val="24"/>
          <w:szCs w:val="24"/>
        </w:rPr>
        <w:t xml:space="preserve">   Suggested fix: Engage more carefully with the internal debates within the performativity literature, and specify more precisely what kind of performativity is claimed for financial language (Austin's illocutionary vs. perlocutionary distinction would be productive here).</w:t>
      </w:r>
    </w:p>
    <w:p w14:paraId="089DEBC6">
      <w:pPr>
        <w:spacing w:after="160"/>
      </w:pPr>
    </w:p>
    <w:p w14:paraId="02C6BA4D">
      <w:pPr>
        <w:spacing w:after="200" w:line="480" w:lineRule="auto"/>
        <w:ind w:firstLine="720"/>
        <w:jc w:val="both"/>
      </w:pPr>
      <w:r>
        <w:rPr>
          <w:rFonts w:ascii="Times New Roman" w:hAnsi="Times New Roman" w:eastAsia="Times New Roman" w:cs="Times New Roman"/>
          <w:b/>
          <w:bCs/>
          <w:sz w:val="24"/>
          <w:szCs w:val="24"/>
        </w:rPr>
        <w:t>MINOR CONCERNS</w:t>
      </w:r>
    </w:p>
    <w:p w14:paraId="49B9BD8B">
      <w:pPr>
        <w:spacing w:after="200" w:line="480" w:lineRule="auto"/>
        <w:ind w:firstLine="720"/>
        <w:jc w:val="both"/>
      </w:pPr>
      <w:r>
        <w:rPr>
          <w:rFonts w:ascii="Times New Roman" w:hAnsi="Times New Roman" w:eastAsia="Times New Roman" w:cs="Times New Roman"/>
          <w:sz w:val="24"/>
          <w:szCs w:val="24"/>
        </w:rPr>
        <w:t>1. The paper's claims about financial journalism rely on stylised examples rather than specific attributed texts. As a matter of scholarly practice, all textual examples should be attributed to specific documents, with dates and accessible sources.</w:t>
      </w:r>
    </w:p>
    <w:p w14:paraId="36A738A8">
      <w:pPr>
        <w:spacing w:after="200" w:line="480" w:lineRule="auto"/>
        <w:ind w:firstLine="720"/>
        <w:jc w:val="both"/>
      </w:pPr>
      <w:r>
        <w:rPr>
          <w:rFonts w:ascii="Times New Roman" w:hAnsi="Times New Roman" w:eastAsia="Times New Roman" w:cs="Times New Roman"/>
          <w:sz w:val="24"/>
          <w:szCs w:val="24"/>
        </w:rPr>
        <w:t>2. The References section contains numerous [CITE VERIFY] and [CITE NEEDED] flags that must be resolved before submission. La Berge's work in particular is central to the literature review and must be accurately cited.</w:t>
      </w:r>
    </w:p>
    <w:p w14:paraId="4B8964D1">
      <w:pPr>
        <w:spacing w:after="200" w:line="480" w:lineRule="auto"/>
        <w:ind w:firstLine="720"/>
        <w:jc w:val="both"/>
      </w:pPr>
      <w:r>
        <w:rPr>
          <w:rFonts w:ascii="Times New Roman" w:hAnsi="Times New Roman" w:eastAsia="Times New Roman" w:cs="Times New Roman"/>
          <w:sz w:val="24"/>
          <w:szCs w:val="24"/>
        </w:rPr>
        <w:t>3. The paper would benefit from a brief discussion of what it does not claim — specifically, that not all financial texts deploy all four strategies, and that the model is a heuristic framework rather than a predictive theory.</w:t>
      </w:r>
    </w:p>
    <w:p w14:paraId="60A9D2F5">
      <w:pPr>
        <w:spacing w:after="160"/>
      </w:pPr>
    </w:p>
    <w:p w14:paraId="4C2CEA3C">
      <w:pPr>
        <w:spacing w:after="200" w:line="480" w:lineRule="auto"/>
        <w:ind w:firstLine="720"/>
        <w:jc w:val="both"/>
      </w:pPr>
      <w:r>
        <w:rPr>
          <w:rFonts w:ascii="Times New Roman" w:hAnsi="Times New Roman" w:eastAsia="Times New Roman" w:cs="Times New Roman"/>
          <w:b/>
          <w:bCs/>
          <w:sz w:val="24"/>
          <w:szCs w:val="24"/>
        </w:rPr>
        <w:t>QUESTIONS FOR AUTHORS</w:t>
      </w:r>
    </w:p>
    <w:p w14:paraId="17981D72">
      <w:pPr>
        <w:spacing w:after="200" w:line="480" w:lineRule="auto"/>
        <w:ind w:firstLine="720"/>
        <w:jc w:val="both"/>
      </w:pPr>
      <w:r>
        <w:rPr>
          <w:rFonts w:ascii="Times New Roman" w:hAnsi="Times New Roman" w:eastAsia="Times New Roman" w:cs="Times New Roman"/>
          <w:sz w:val="24"/>
          <w:szCs w:val="24"/>
        </w:rPr>
        <w:t>1. How do you propose to handle financial texts that resist your four-strategy framework? Are there genres (derivatives documentation, stress-testing reports) where different rhetorical strategies dominate?</w:t>
      </w:r>
    </w:p>
    <w:p w14:paraId="7CBD6723">
      <w:pPr>
        <w:spacing w:after="200" w:line="480" w:lineRule="auto"/>
        <w:ind w:firstLine="720"/>
        <w:jc w:val="both"/>
      </w:pPr>
      <w:r>
        <w:rPr>
          <w:rFonts w:ascii="Times New Roman" w:hAnsi="Times New Roman" w:eastAsia="Times New Roman" w:cs="Times New Roman"/>
          <w:sz w:val="24"/>
          <w:szCs w:val="24"/>
        </w:rPr>
        <w:t>2. The paper argues that close reading reveals what quantitative textual analysis cannot. Can you be more specific about the complementary relationship? Could the four strategies be operationalised quantitatively, and if so, what would be lost in the translation?</w:t>
      </w:r>
    </w:p>
    <w:p w14:paraId="3BC06792">
      <w:pPr>
        <w:spacing w:after="200" w:line="480" w:lineRule="auto"/>
        <w:ind w:firstLine="720"/>
        <w:jc w:val="both"/>
      </w:pPr>
      <w:r>
        <w:rPr>
          <w:rFonts w:ascii="Times New Roman" w:hAnsi="Times New Roman" w:eastAsia="Times New Roman" w:cs="Times New Roman"/>
          <w:sz w:val="24"/>
          <w:szCs w:val="24"/>
        </w:rPr>
        <w:t>3. The paper's practical implications for regulation are suggestive but underdeveloped. What specific regulatory changes would the analysis support? What would 'rhetorical disclosure regulation' look like in practice?</w:t>
      </w:r>
    </w:p>
    <w:p w14:paraId="2E36CD44">
      <w:pPr>
        <w:spacing w:after="160"/>
      </w:pPr>
    </w:p>
    <w:p w14:paraId="6A8433E3">
      <w:pPr>
        <w:spacing w:after="200" w:line="480" w:lineRule="auto"/>
        <w:ind w:firstLine="720"/>
        <w:jc w:val="both"/>
      </w:pPr>
      <w:r>
        <w:rPr>
          <w:rFonts w:ascii="Times New Roman" w:hAnsi="Times New Roman" w:eastAsia="Times New Roman" w:cs="Times New Roman"/>
          <w:b/>
          <w:bCs/>
          <w:sz w:val="24"/>
          <w:szCs w:val="24"/>
        </w:rPr>
        <w:t>OVERALL ASSESSMENT</w:t>
      </w:r>
    </w:p>
    <w:p w14:paraId="6F36DA40">
      <w:pPr>
        <w:spacing w:after="200" w:line="480" w:lineRule="auto"/>
        <w:ind w:firstLine="720"/>
        <w:jc w:val="both"/>
      </w:pPr>
      <w:r>
        <w:rPr>
          <w:rFonts w:ascii="Times New Roman" w:hAnsi="Times New Roman" w:eastAsia="Times New Roman" w:cs="Times New Roman"/>
          <w:sz w:val="24"/>
          <w:szCs w:val="24"/>
        </w:rPr>
        <w:t>This paper makes a genuine and timely contribution to an emerging interdisciplinary field. The core argument — that financial texts are not transparent conduits of information but rhetorically constructed artefacts that actively produce the economic reality they appear to describe — is important and insufficiently acknowledged in either literary studies or financial economics. With substantial revision to deepen the textual analyses and engage more rigorously with objections, this paper could be a significant statement that opens space for a productive research programme at the intersection of rhetoric, literary studies, and financial economics. It is currently at a stage suitable for a well-regarded speciality journal (Economy and Society, Journal of Cultural Economy) but would require further development for the leading journals in either English or Finance.</w:t>
      </w:r>
    </w:p>
    <w:sectPr>
      <w:headerReference r:id="rId4" w:type="default"/>
      <w:footerReference r:id="rId5"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7E006">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31DC97ED">
      <w:pPr>
        <w:pStyle w:val="13"/>
        <w:snapToGrid w:val="0"/>
        <w:rPr>
          <w:rFonts w:hint="default"/>
          <w:lang w:val="en-IN"/>
        </w:rPr>
      </w:pPr>
      <w:r>
        <w:rPr>
          <w:rStyle w:val="12"/>
        </w:rPr>
        <w:footnoteRef/>
      </w:r>
      <w:r>
        <w:t xml:space="preserve"> </w:t>
      </w:r>
      <w:r>
        <w:rPr>
          <w:rFonts w:hint="default"/>
          <w:lang w:val="en-IN"/>
        </w:rPr>
        <w:t xml:space="preserve">Dr.Nigel Peter O’Brien, Assistant Professor-I, Department of English, Model Degree College,Malkangiri,VD University , Jeypore, Odisha,India Email: </w:t>
      </w:r>
    </w:p>
  </w:footnote>
  <w:footnote w:id="1">
    <w:p w14:paraId="70E9AC9A">
      <w:pPr>
        <w:pStyle w:val="13"/>
        <w:snapToGrid w:val="0"/>
        <w:rPr>
          <w:rFonts w:hint="default"/>
          <w:lang w:val="en-IN"/>
        </w:rPr>
      </w:pPr>
      <w:r>
        <w:rPr>
          <w:rStyle w:val="12"/>
        </w:rPr>
        <w:footnoteRef/>
      </w:r>
      <w:r>
        <w:t xml:space="preserve"> </w:t>
      </w:r>
      <w:r>
        <w:rPr>
          <w:rFonts w:hint="default"/>
          <w:lang w:val="en-IN"/>
        </w:rPr>
        <w:t xml:space="preserve">Dr.Debasis Pahi, Assistant Professor-I, Department of Commerce, Model Degree College,Malkangiri,VD University , Jeypore, Odisha,India Email: </w:t>
      </w:r>
      <w:r>
        <w:rPr>
          <w:rFonts w:hint="default"/>
          <w:lang w:val="en-IN"/>
        </w:rPr>
        <w:fldChar w:fldCharType="begin"/>
      </w:r>
      <w:r>
        <w:rPr>
          <w:rFonts w:hint="default"/>
          <w:lang w:val="en-IN"/>
        </w:rPr>
        <w:instrText xml:space="preserve"> HYPERLINK "mailto:drdebasis.research@gmail.com" </w:instrText>
      </w:r>
      <w:r>
        <w:rPr>
          <w:rFonts w:hint="default"/>
          <w:lang w:val="en-IN"/>
        </w:rPr>
        <w:fldChar w:fldCharType="separate"/>
      </w:r>
      <w:r>
        <w:rPr>
          <w:rStyle w:val="15"/>
          <w:rFonts w:hint="default"/>
          <w:lang w:val="en-IN"/>
        </w:rPr>
        <w:t>drdebasis.research@gmail.com</w:t>
      </w:r>
      <w:r>
        <w:rPr>
          <w:rFonts w:hint="default"/>
          <w:lang w:val="en-IN"/>
        </w:rPr>
        <w:fldChar w:fldCharType="end"/>
      </w:r>
      <w:r>
        <w:rPr>
          <w:rFonts w:hint="default"/>
          <w:lang w:val="en-IN"/>
        </w:rPr>
        <w:t xml:space="preserve">(Corresponding Author)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999D3">
    <w:pPr>
      <w:pStyle w:val="14"/>
    </w:pPr>
    <w:r>
      <w:rPr>
        <w:sz w:val="18"/>
      </w:rPr>
      <w:pict>
        <v:shape id="PowerPlusWaterMarkObject29732" o:spid="_x0000_s2051" o:spt="136" type="#_x0000_t136" style="position:absolute;left:0pt;height:103pt;width:558.75pt;mso-position-horizontal:center;mso-position-horizontal-relative:margin;mso-position-vertical:center;mso-position-vertical-relative:margin;rotation:-2949120f;z-index:-251657216;mso-width-relative:page;mso-height-relative:page;" fillcolor="#FF0000" filled="t" stroked="f" coordsize="21600,21600" adj="10800">
          <v:path/>
          <v:fill on="t" opacity="5242f" focussize="0,0"/>
          <v:stroke on="f"/>
          <v:imagedata o:title=""/>
          <o:lock v:ext="edit" aspectratio="t"/>
          <v:textpath on="t" fitpath="t" trim="t" xscale="f" string="@drdebasispahi" style="font-family:Segoe UI;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hdrShapeDefaults>
    <o:shapelayout v:ext="edit">
      <o:idmap v:ext="edit" data="2"/>
    </o:shapelayout>
  </w:hdrShapeDefaults>
  <w:footnotePr>
    <w:footnote w:id="4"/>
    <w:footnote w:id="5"/>
  </w:footnotePr>
  <w:compat>
    <w:compatSetting w:name="compatibilityMode" w:uri="http://schemas.microsoft.com/office/word" w:val="15"/>
  </w:compat>
  <w:rsids>
    <w:rsidRoot w:val="00000000"/>
    <w:rsid w:val="14213E6D"/>
    <w:rsid w:val="198B3E95"/>
    <w:rsid w:val="27F967E2"/>
    <w:rsid w:val="3DF31B27"/>
    <w:rsid w:val="48194880"/>
    <w:rsid w:val="5E4E4E2C"/>
    <w:rsid w:val="7C7C5E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00" w:after="20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300" w:after="160"/>
      <w:outlineLvl w:val="1"/>
    </w:pPr>
    <w:rPr>
      <w:rFonts w:ascii="Times New Roman" w:hAnsi="Times New Roman" w:eastAsia="Times New Roman" w:cs="Times New Roman"/>
      <w:b/>
      <w:bCs/>
      <w:sz w:val="26"/>
      <w:szCs w:val="26"/>
    </w:rPr>
  </w:style>
  <w:style w:type="paragraph" w:styleId="4">
    <w:name w:val="heading 3"/>
    <w:next w:val="1"/>
    <w:qFormat/>
    <w:uiPriority w:val="0"/>
    <w:pPr>
      <w:spacing w:before="240" w:after="120"/>
      <w:outlineLvl w:val="2"/>
    </w:pPr>
    <w:rPr>
      <w:rFonts w:ascii="Times New Roman" w:hAnsi="Times New Roman" w:eastAsia="Times New Roman" w:cs="Times New Roman"/>
      <w:b/>
      <w:bCs/>
      <w:i/>
      <w:i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Pages>
  <Words>2470</Words>
  <Characters>15294</Characters>
  <TotalTime>1</TotalTime>
  <ScaleCrop>false</ScaleCrop>
  <LinksUpToDate>false</LinksUpToDate>
  <CharactersWithSpaces>17718</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2026-05-05T03:40:00Z</dcterms:created>
  <dc:creator>Un-named</dc:creator>
  <cp:lastModifiedBy>Dr. Debasis Pahi</cp:lastModifiedBy>
  <dcterms:modified xsi:type="dcterms:W3CDTF">2026-05-05T09:45:54Z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eyJoZGlkIjoiYjc1MDJlYWZjMjUwMmY5Y2FkZGM3MGYyNjc5NTc4ZGYiLCJ1c2VySWQiOiI1Njc1NjUxNDc0MDQifQ==</vt:lpwstr>
  </property>
  <property fmtid="{D5CDD505-2E9C-101B-9397-08002B2CF9AE}" pid="3" name="KSOProductBuildVer">
    <vt:lpwstr>1033-12.1.0.25862</vt:lpwstr>
  </property>
  <property fmtid="{D5CDD505-2E9C-101B-9397-08002B2CF9AE}" pid="4" name="ICV">
    <vt:lpwstr>3F7DDAECD18748F68B15E48FC2B80255_12</vt:lpwstr>
  </property>
</Properties>
</file>