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029898">
      <w:pPr>
        <w:spacing w:before="0" w:after="80"/>
      </w:pPr>
    </w:p>
    <w:p w14:paraId="1482EBF7">
      <w:pPr>
        <w:spacing w:before="0" w:after="80"/>
      </w:pPr>
    </w:p>
    <w:p w14:paraId="0E34382D">
      <w:pPr>
        <w:spacing w:before="0" w:after="80"/>
      </w:pPr>
    </w:p>
    <w:p w14:paraId="5EAA5C15">
      <w:pPr>
        <w:spacing w:before="0" w:after="80"/>
      </w:pPr>
    </w:p>
    <w:p w14:paraId="00AEB86F">
      <w:pPr>
        <w:spacing w:before="0" w:after="80"/>
        <w:jc w:val="center"/>
        <w:rPr>
          <w:rFonts w:hint="default"/>
          <w:sz w:val="32"/>
          <w:szCs w:val="32"/>
          <w:lang w:val="en-IN"/>
        </w:rPr>
      </w:pPr>
      <w:r>
        <w:rPr>
          <w:rFonts w:hint="default" w:ascii="Arial" w:hAnsi="Arial" w:eastAsia="Arial" w:cs="Arial"/>
          <w:b/>
          <w:bCs/>
          <w:color w:val="C0392B"/>
          <w:sz w:val="28"/>
          <w:szCs w:val="28"/>
          <w:lang w:val="en-IN"/>
        </w:rPr>
        <w:t>Working Paper: Case Study</w:t>
      </w:r>
    </w:p>
    <w:p w14:paraId="1A26F593">
      <w:pPr>
        <w:spacing w:before="0" w:after="80"/>
        <w:rPr>
          <w:sz w:val="32"/>
          <w:szCs w:val="32"/>
        </w:rPr>
      </w:pPr>
    </w:p>
    <w:p w14:paraId="1AD3D751">
      <w:pPr>
        <w:spacing w:before="0" w:after="160"/>
        <w:jc w:val="center"/>
        <w:rPr>
          <w:sz w:val="32"/>
          <w:szCs w:val="32"/>
        </w:rPr>
      </w:pPr>
      <w:r>
        <w:rPr>
          <w:rFonts w:ascii="Arial" w:hAnsi="Arial" w:eastAsia="Arial" w:cs="Arial"/>
          <w:b/>
          <w:bCs/>
          <w:color w:val="1A1A2E"/>
          <w:sz w:val="112"/>
          <w:szCs w:val="112"/>
        </w:rPr>
        <w:t>THE CHOKEPOINT</w:t>
      </w:r>
    </w:p>
    <w:p w14:paraId="1A70EF56">
      <w:pPr>
        <w:spacing w:before="0" w:after="360"/>
        <w:jc w:val="center"/>
        <w:rPr>
          <w:sz w:val="32"/>
          <w:szCs w:val="32"/>
        </w:rPr>
      </w:pPr>
      <w:r>
        <w:rPr>
          <w:rFonts w:ascii="Arial" w:hAnsi="Arial" w:eastAsia="Arial" w:cs="Arial"/>
          <w:color w:val="C0392B"/>
          <w:sz w:val="44"/>
          <w:szCs w:val="44"/>
        </w:rPr>
        <w:t>33 Kilometres Between Order and Chaos</w:t>
      </w:r>
    </w:p>
    <w:p w14:paraId="052DFC53">
      <w:pPr>
        <w:spacing w:before="0" w:after="480"/>
        <w:jc w:val="center"/>
        <w:rPr>
          <w:sz w:val="32"/>
          <w:szCs w:val="32"/>
        </w:rPr>
      </w:pPr>
      <w:r>
        <w:rPr>
          <w:rFonts w:ascii="Arial" w:hAnsi="Arial" w:eastAsia="Arial" w:cs="Arial"/>
          <w:i/>
          <w:iCs/>
          <w:color w:val="2C3E50"/>
          <w:sz w:val="32"/>
          <w:szCs w:val="32"/>
        </w:rPr>
        <w:t>How the Closure of the Strait of Hormuz in 2026 Forced a Shipping CEO
to Choose Between Crew Safety, Shareholder Duty, and Global Responsibility</w:t>
      </w:r>
    </w:p>
    <w:p w14:paraId="5948BB0D">
      <w:pPr>
        <w:spacing w:before="0" w:after="80"/>
      </w:pPr>
    </w:p>
    <w:p w14:paraId="485712AA">
      <w:pPr>
        <w:spacing w:before="0" w:after="80"/>
      </w:pPr>
    </w:p>
    <w:p w14:paraId="1C31E9F9">
      <w:pPr>
        <w:spacing w:before="0" w:after="80"/>
      </w:pPr>
    </w:p>
    <w:p w14:paraId="0D963637">
      <w:pPr>
        <w:spacing w:before="0" w:after="80"/>
        <w:jc w:val="center"/>
        <w:rPr>
          <w:rFonts w:hint="default" w:ascii="Arial" w:hAnsi="Arial" w:eastAsia="Arial" w:cs="Arial"/>
          <w:color w:val="2C3E50"/>
          <w:sz w:val="32"/>
          <w:szCs w:val="32"/>
          <w:lang w:val="en-IN"/>
        </w:rPr>
      </w:pPr>
      <w:r>
        <w:rPr>
          <w:rFonts w:hint="default" w:ascii="Arial" w:hAnsi="Arial" w:eastAsia="Arial" w:cs="Arial"/>
          <w:color w:val="2C3E50"/>
          <w:sz w:val="32"/>
          <w:szCs w:val="32"/>
          <w:lang w:val="en-IN"/>
        </w:rPr>
        <w:t>Dr.Debasis Pahi</w:t>
      </w:r>
      <w:r>
        <w:rPr>
          <w:rStyle w:val="12"/>
          <w:rFonts w:hint="default" w:ascii="Arial" w:hAnsi="Arial" w:eastAsia="Arial" w:cs="Arial"/>
          <w:color w:val="2C3E50"/>
          <w:sz w:val="32"/>
          <w:szCs w:val="32"/>
          <w:lang w:val="en-IN"/>
        </w:rPr>
        <w:footnoteReference w:id="0"/>
      </w:r>
    </w:p>
    <w:p w14:paraId="4DEE82FE">
      <w:pPr>
        <w:spacing w:before="0" w:after="80"/>
        <w:jc w:val="center"/>
        <w:rPr>
          <w:sz w:val="36"/>
          <w:szCs w:val="36"/>
        </w:rPr>
      </w:pPr>
      <w:r>
        <w:rPr>
          <w:rFonts w:ascii="Arial" w:hAnsi="Arial" w:eastAsia="Arial" w:cs="Arial"/>
          <w:color w:val="2C3E50"/>
          <w:sz w:val="32"/>
          <w:szCs w:val="32"/>
        </w:rPr>
        <w:t>Harvard Business School Case Study Series</w:t>
      </w:r>
    </w:p>
    <w:p w14:paraId="12259383">
      <w:pPr>
        <w:spacing w:before="0" w:after="80"/>
        <w:jc w:val="center"/>
        <w:rPr>
          <w:sz w:val="36"/>
          <w:szCs w:val="36"/>
        </w:rPr>
      </w:pPr>
      <w:r>
        <w:rPr>
          <w:rFonts w:ascii="Arial" w:hAnsi="Arial" w:eastAsia="Arial" w:cs="Arial"/>
          <w:color w:val="888888"/>
          <w:sz w:val="24"/>
          <w:szCs w:val="24"/>
        </w:rPr>
        <w:t>Operations, Supply Chain &amp; Global Business  |  Ethics &amp; Crisis Management</w:t>
      </w:r>
    </w:p>
    <w:p w14:paraId="247334CC">
      <w:pPr>
        <w:spacing w:before="0" w:after="80"/>
        <w:jc w:val="center"/>
      </w:pPr>
      <w:r>
        <w:rPr>
          <w:rFonts w:ascii="Arial" w:hAnsi="Arial" w:eastAsia="Arial" w:cs="Arial"/>
          <w:color w:val="888888"/>
          <w:sz w:val="24"/>
          <w:szCs w:val="24"/>
        </w:rPr>
        <w:t>March 2026</w:t>
      </w:r>
    </w:p>
    <w:p w14:paraId="235B2C09">
      <w:pPr>
        <w:spacing w:before="0" w:after="80"/>
      </w:pPr>
    </w:p>
    <w:p w14:paraId="49469B5A">
      <w:pPr>
        <w:spacing w:before="0" w:after="80"/>
      </w:pPr>
    </w:p>
    <w:p w14:paraId="0FD2D581">
      <w:pPr>
        <w:spacing w:before="0" w:after="80"/>
        <w:jc w:val="center"/>
      </w:pPr>
      <w:r>
        <w:rPr>
          <w:rFonts w:ascii="Times New Roman" w:hAnsi="Times New Roman" w:eastAsia="Times New Roman" w:cs="Times New Roman"/>
          <w:i/>
          <w:iCs/>
          <w:color w:val="888888"/>
          <w:sz w:val="20"/>
          <w:szCs w:val="20"/>
        </w:rPr>
        <w:t>This case was prepared as a basis for class discussion rather than to illustrate either effective or ineffective handling of an administrative situation.</w:t>
      </w:r>
    </w:p>
    <w:p w14:paraId="2D9B846E">
      <w:pPr>
        <w:spacing w:before="0" w:after="0"/>
        <w:jc w:val="center"/>
      </w:pPr>
      <w:r>
        <w:rPr>
          <w:rFonts w:ascii="Arial" w:hAnsi="Arial" w:eastAsia="Arial" w:cs="Arial"/>
          <w:color w:val="888888"/>
          <w:sz w:val="18"/>
          <w:szCs w:val="18"/>
        </w:rPr>
        <w:t>Copyright © 2026. All rights reserved. Not for commercial use or distribution.</w:t>
      </w:r>
    </w:p>
    <w:p w14:paraId="4E42C2F3">
      <w:pPr>
        <w:sectPr>
          <w:pgSz w:w="12240" w:h="15840"/>
          <w:pgMar w:top="1440" w:right="1440" w:bottom="1440" w:left="1440" w:header="708" w:footer="708" w:gutter="0"/>
          <w:cols w:space="720" w:num="1"/>
          <w:docGrid w:linePitch="360" w:charSpace="0"/>
        </w:sectPr>
      </w:pPr>
    </w:p>
    <w:p w14:paraId="5DD885E0">
      <w:pPr>
        <w:pBdr>
          <w:bottom w:val="single" w:color="C0392B" w:sz="4" w:space="4"/>
        </w:pBdr>
        <w:spacing w:before="360" w:after="120"/>
      </w:pPr>
      <w:r>
        <w:rPr>
          <w:rFonts w:ascii="Arial" w:hAnsi="Arial" w:eastAsia="Arial" w:cs="Arial"/>
          <w:b/>
          <w:bCs/>
          <w:color w:val="1A1A2E"/>
          <w:sz w:val="28"/>
          <w:szCs w:val="28"/>
        </w:rPr>
        <w:t>DAY ZERO: THE NARROWEST PLACE ON EARTH</w:t>
      </w:r>
    </w:p>
    <w:p w14:paraId="41549197">
      <w:pPr>
        <w:spacing w:before="0" w:after="160" w:line="276" w:lineRule="auto"/>
        <w:jc w:val="both"/>
      </w:pPr>
      <w:r>
        <w:rPr>
          <w:rFonts w:ascii="Times New Roman" w:hAnsi="Times New Roman" w:eastAsia="Times New Roman" w:cs="Times New Roman"/>
          <w:sz w:val="24"/>
          <w:szCs w:val="24"/>
        </w:rPr>
        <w:t>At 04:47 local time on March 1, 2026, Søren Lindqvist, Group Chief Executive Officer of NordFleet Shipping A/S, was woken by a call from his Chief Risk Officer in Copenhagen. The message was brief: three NordFleet vessels were currently inside the Strait of Hormuz. The Iranian Revolutionary Guard Corps had just declared the strait closed to all commercial traffic. A container ship belonging to a competitor had been struck by a drone twenty nautical miles north of Muscat. One crew member was confirmed dead.</w:t>
      </w:r>
    </w:p>
    <w:p w14:paraId="6B9C84C8">
      <w:pPr>
        <w:spacing w:before="0" w:after="160" w:line="276" w:lineRule="auto"/>
        <w:jc w:val="both"/>
      </w:pPr>
      <w:r>
        <w:rPr>
          <w:rFonts w:ascii="Times New Roman" w:hAnsi="Times New Roman" w:eastAsia="Times New Roman" w:cs="Times New Roman"/>
          <w:sz w:val="24"/>
          <w:szCs w:val="24"/>
        </w:rPr>
        <w:t>Lindqvist had fourteen minutes before an emergency board call. He pulled up the vessel tracking dashboard on his phone. The NordFleet Resolute, a 14,000 TEU containership carrying $340 million in cargo, was at anchor east of the Dubai coastline, directly within the zone the IRGC had described as a "prohibited passage area." The NordFleet Integrity, carrying automotive components for Hyundai and Toyota plants in Japan and South Korea, was transiting outbound, 41 nautical miles southeast of Bandar Abbas. The third vessel, the NordFleet Meridian, a Very Large Crude Carrier (VLCC) under charter to a Saudi Aramco affiliate, was loaded with 2.1 million barrels of crude oil and had been scheduled to depart Ras Tanura in eighteen hours. That departure was now impossible.</w:t>
      </w:r>
    </w:p>
    <w:p w14:paraId="381982B8">
      <w:pPr>
        <w:spacing w:before="0" w:after="160" w:line="276" w:lineRule="auto"/>
        <w:jc w:val="both"/>
      </w:pPr>
      <w:r>
        <w:rPr>
          <w:rFonts w:ascii="Times New Roman" w:hAnsi="Times New Roman" w:eastAsia="Times New Roman" w:cs="Times New Roman"/>
          <w:sz w:val="24"/>
          <w:szCs w:val="24"/>
        </w:rPr>
        <w:t>The strait that had just been closed was 33 kilometres wide at its narrowest point. It carried 20 million barrels of oil per day, roughly one-fifth of global petroleum consumption. It was the only maritime exit for the Persian Gulf. And it was, for the first time in recorded history, effectively shut.</w:t>
      </w:r>
    </w:p>
    <w:p w14:paraId="6CD982E8">
      <w:pPr>
        <w:spacing w:before="0" w:after="160" w:line="276" w:lineRule="auto"/>
        <w:jc w:val="both"/>
      </w:pPr>
      <w:r>
        <w:rPr>
          <w:rFonts w:ascii="Times New Roman" w:hAnsi="Times New Roman" w:eastAsia="Times New Roman" w:cs="Times New Roman"/>
          <w:sz w:val="24"/>
          <w:szCs w:val="24"/>
        </w:rPr>
        <w:t>Lindqvist had three vessels, three crews totalling 87 seafarers, $340 million in cargo, a $2.8 billion fleet exposure, and 26 minutes until the board call. In each of the next 72 hours, decisions he made would either protect his crews and preserve his company, or they would not.</w:t>
      </w:r>
    </w:p>
    <w:p w14:paraId="3447BA96">
      <w:pPr>
        <w:spacing w:before="0" w:after="80"/>
      </w:pPr>
    </w:p>
    <w:p w14:paraId="12FE5A2B">
      <w:pPr>
        <w:pBdr>
          <w:bottom w:val="single" w:color="C0392B" w:sz="4" w:space="4"/>
        </w:pBdr>
        <w:spacing w:before="360" w:after="120"/>
      </w:pPr>
      <w:r>
        <w:rPr>
          <w:rFonts w:ascii="Arial" w:hAnsi="Arial" w:eastAsia="Arial" w:cs="Arial"/>
          <w:b/>
          <w:bCs/>
          <w:color w:val="1A1A2E"/>
          <w:sz w:val="28"/>
          <w:szCs w:val="28"/>
        </w:rPr>
        <w:t>NORDFLEET SHIPPING: A MIDDLEMAN IN THE WORLD'S ARTERIES</w:t>
      </w:r>
    </w:p>
    <w:p w14:paraId="46B15701">
      <w:pPr>
        <w:spacing w:before="240" w:after="80"/>
      </w:pPr>
      <w:r>
        <w:rPr>
          <w:rFonts w:ascii="Arial" w:hAnsi="Arial" w:eastAsia="Arial" w:cs="Arial"/>
          <w:b/>
          <w:bCs/>
          <w:color w:val="2C3E50"/>
          <w:sz w:val="24"/>
          <w:szCs w:val="24"/>
        </w:rPr>
        <w:t>Company Overview</w:t>
      </w:r>
    </w:p>
    <w:p w14:paraId="71D31BCC">
      <w:pPr>
        <w:spacing w:before="0" w:after="160" w:line="276" w:lineRule="auto"/>
        <w:jc w:val="both"/>
      </w:pPr>
      <w:r>
        <w:rPr>
          <w:rFonts w:ascii="Times New Roman" w:hAnsi="Times New Roman" w:eastAsia="Times New Roman" w:cs="Times New Roman"/>
          <w:sz w:val="24"/>
          <w:szCs w:val="24"/>
        </w:rPr>
        <w:t>NordFleet Shipping A/S was incorporated in Copenhagen in 1978 as a bulk carrier operator. Over four decades it had transformed into one of Europe's largest diversified shipping groups, operating a fleet of 67 vessels across four segments: containerships (28 vessels), Very Large Crude Carriers (11 VLCCs), product tankers (18 vessels), and Liquefied Natural Gas carriers (10 vessels). As of December 2025, the group had a total fleet deadweight tonnage of approximately 8.4 million DWT, with an estimated fleet replacement value of $4.1 billion.</w:t>
      </w:r>
    </w:p>
    <w:p w14:paraId="1574670E">
      <w:pPr>
        <w:spacing w:before="0" w:after="160" w:line="276" w:lineRule="auto"/>
        <w:jc w:val="both"/>
      </w:pPr>
      <w:r>
        <w:rPr>
          <w:rFonts w:ascii="Times New Roman" w:hAnsi="Times New Roman" w:eastAsia="Times New Roman" w:cs="Times New Roman"/>
          <w:sz w:val="24"/>
          <w:szCs w:val="24"/>
        </w:rPr>
        <w:t>NordFleet's revenues had grown from DKK 8.2 billion ($1.18 billion) in 2022 to DKK 14.7 billion ($2.1 billion) in 2025, driven by sustained freight rate strength in the aftermath of the COVID-19 supply chain disruptions and the Red Sea Houthi crisis of 2023–2024, which had pushed vessels onto the longer Cape of Good Hope route and tightened effective capacity. EBITDA margin had averaged 38% over the period, and the group carried a net debt-to-EBITDA ratio of 2.1×. (See Exhibit 1 for financial summary.)</w:t>
      </w:r>
    </w:p>
    <w:p w14:paraId="4E492202">
      <w:pPr>
        <w:spacing w:before="0" w:after="160" w:line="276" w:lineRule="auto"/>
        <w:jc w:val="both"/>
      </w:pPr>
      <w:r>
        <w:rPr>
          <w:rFonts w:ascii="Times New Roman" w:hAnsi="Times New Roman" w:eastAsia="Times New Roman" w:cs="Times New Roman"/>
          <w:sz w:val="24"/>
          <w:szCs w:val="24"/>
        </w:rPr>
        <w:t>The company's strategic positioning was built on what its management called "critical corridor exposure" (a deliberate overweighting of routes through the world's most strategically sensitive maritime chokepoints). The Strait of Hormuz alone accounted for approximately DKK 3.1 billion ($445 million) in annual revenues in 2025, representing 21% of the group total. The Suez Canal–Red Sea route had accounted for a further DKK 2.6 billion before the Houthi crisis forced rerouting in late 2023.</w:t>
      </w:r>
    </w:p>
    <w:p w14:paraId="37E6E0C6">
      <w:pPr>
        <w:spacing w:before="240" w:after="80"/>
      </w:pPr>
      <w:r>
        <w:rPr>
          <w:rFonts w:ascii="Arial" w:hAnsi="Arial" w:eastAsia="Arial" w:cs="Arial"/>
          <w:b/>
          <w:bCs/>
          <w:color w:val="2C3E50"/>
          <w:sz w:val="24"/>
          <w:szCs w:val="24"/>
        </w:rPr>
        <w:t>The Protagonist</w:t>
      </w:r>
    </w:p>
    <w:p w14:paraId="0BB1ADF6">
      <w:pPr>
        <w:spacing w:before="0" w:after="160" w:line="276" w:lineRule="auto"/>
        <w:jc w:val="both"/>
      </w:pPr>
      <w:r>
        <w:rPr>
          <w:rFonts w:ascii="Times New Roman" w:hAnsi="Times New Roman" w:eastAsia="Times New Roman" w:cs="Times New Roman"/>
          <w:sz w:val="24"/>
          <w:szCs w:val="24"/>
        </w:rPr>
        <w:t>Søren Lindqvist, 54, had been Group CEO of NordFleet since 2019. A maritime engineer by training, he had joined NordFleet in 1997 as a junior technical superintendent and had risen through the operations, commercial, and strategy functions before being appointed to lead the group. He was regarded in the industry as technically careful, commercially aggressive, and personally conservative, a man who had spent his career building redundancy into systems precisely because he understood how catastrophically they could fail.</w:t>
      </w:r>
    </w:p>
    <w:p w14:paraId="4893B8B3">
      <w:pPr>
        <w:spacing w:before="0" w:after="160" w:line="276" w:lineRule="auto"/>
        <w:jc w:val="both"/>
      </w:pPr>
      <w:r>
        <w:rPr>
          <w:rFonts w:ascii="Times New Roman" w:hAnsi="Times New Roman" w:eastAsia="Times New Roman" w:cs="Times New Roman"/>
          <w:sz w:val="24"/>
          <w:szCs w:val="24"/>
        </w:rPr>
        <w:t>Lindqvist held no shipping-sector illusions about the strait. He had studied every prior Iranian threat to close it, beginning with the Tanker War of 1984–1987, when Iranian forces attacked 340 vessels in the Gulf. He had stress-tested NordFleet's Hormuz exposure in tabletop exercises. He had maintained war-risk insurance on all Gulf-routed vessels at the industry-standard rate of 0.125% of hull value per transit, a figure that, by February 28, 2026, had already risen to 0.35% and was rising hourly. What he had not been able to model was the combination of events that had unfolded in the prior 48 hours: a full-scale U.S.-Israeli air war against Iran, the assassination of Iran's Supreme Leader, and the instantaneous conversion of a theoretical geopolitical risk into a live operational emergency involving three of his vessels.</w:t>
      </w:r>
    </w:p>
    <w:p w14:paraId="2CE2760F">
      <w:pPr>
        <w:spacing w:before="0" w:after="160" w:line="276" w:lineRule="auto"/>
        <w:jc w:val="both"/>
      </w:pPr>
      <w:r>
        <w:rPr>
          <w:rFonts w:ascii="Times New Roman" w:hAnsi="Times New Roman" w:eastAsia="Times New Roman" w:cs="Times New Roman"/>
          <w:sz w:val="24"/>
          <w:szCs w:val="24"/>
        </w:rPr>
        <w:t>"All the scenario planning in the world," he would later tell a maritime conference audience, "cannot prepare you for the moment when the scenario is no longer hypothetical."</w:t>
      </w:r>
    </w:p>
    <w:p w14:paraId="4CA41288">
      <w:pPr>
        <w:spacing w:before="0" w:after="80"/>
      </w:pPr>
    </w:p>
    <w:p w14:paraId="7A3D2904">
      <w:pPr>
        <w:pBdr>
          <w:bottom w:val="single" w:color="C0392B" w:sz="4" w:space="4"/>
        </w:pBdr>
        <w:spacing w:before="360" w:after="120"/>
      </w:pPr>
      <w:r>
        <w:rPr>
          <w:rFonts w:ascii="Arial" w:hAnsi="Arial" w:eastAsia="Arial" w:cs="Arial"/>
          <w:b/>
          <w:bCs/>
          <w:color w:val="1A1A2E"/>
          <w:sz w:val="28"/>
          <w:szCs w:val="28"/>
        </w:rPr>
        <w:t>THE CHOKEPOINT: GEOGRAPHY AS DESTINY</w:t>
      </w:r>
    </w:p>
    <w:p w14:paraId="2273EE64">
      <w:pPr>
        <w:spacing w:before="240" w:after="80"/>
      </w:pPr>
      <w:r>
        <w:rPr>
          <w:rFonts w:ascii="Arial" w:hAnsi="Arial" w:eastAsia="Arial" w:cs="Arial"/>
          <w:b/>
          <w:bCs/>
          <w:color w:val="2C3E50"/>
          <w:sz w:val="24"/>
          <w:szCs w:val="24"/>
        </w:rPr>
        <w:t>Why the Strait Cannot Be Replaced</w:t>
      </w:r>
    </w:p>
    <w:p w14:paraId="48904787">
      <w:pPr>
        <w:spacing w:before="0" w:after="160" w:line="276" w:lineRule="auto"/>
        <w:jc w:val="both"/>
      </w:pPr>
      <w:r>
        <w:rPr>
          <w:rFonts w:ascii="Times New Roman" w:hAnsi="Times New Roman" w:eastAsia="Times New Roman" w:cs="Times New Roman"/>
          <w:sz w:val="24"/>
          <w:szCs w:val="24"/>
        </w:rPr>
        <w:t>The Strait of Hormuz sits between the southern coast of Iran and the Musandam peninsula of Oman. At its narrowest, the channel is 33 kilometres (21 miles) wide. Within that corridor, international maritime law designates two inbound and two outbound shipping lanes, each approximately 3.2 kilometres wide, separated by a 3.2-kilometre buffer zone. The total usable shipping channel for any given direction is narrower than the length of a standard VLCC is long.</w:t>
      </w:r>
    </w:p>
    <w:p w14:paraId="4D432F83">
      <w:pPr>
        <w:spacing w:before="0" w:after="160" w:line="276" w:lineRule="auto"/>
        <w:jc w:val="both"/>
      </w:pPr>
      <w:r>
        <w:rPr>
          <w:rFonts w:ascii="Times New Roman" w:hAnsi="Times New Roman" w:eastAsia="Times New Roman" w:cs="Times New Roman"/>
          <w:sz w:val="24"/>
          <w:szCs w:val="24"/>
        </w:rPr>
        <w:t>No meaningful alternative route exists. Saudi Arabia operates the East-West Pipeline (Petroline), which runs 1,200 kilometres from the Eastern Province to the Red Sea port of Yanbu, with a capacity of approximately 5 million barrels per day, enough to reroute roughly 25% of Saudi Arabia's normal Hormuz exports, and less than 7% of total Hormuz oil flows. The UAE operates the Abu Dhabi Crude Oil Pipeline (ADCOP) to Fujairah, with a capacity of 1.5 million barrels per day. No other Persian Gulf producer has any pipeline bypass. Combined, these alternatives can divert at most 6.5 million barrels per day, against the 20 million that normally transit the strait. The gap of approximately 13.5 million barrels per day has no seaborne substitute. (See Exhibit 2 for the geography and chokepoint comparison.)</w:t>
      </w:r>
    </w:p>
    <w:p w14:paraId="1BE98407">
      <w:pPr>
        <w:spacing w:before="0" w:after="160" w:line="276" w:lineRule="auto"/>
        <w:jc w:val="both"/>
      </w:pPr>
      <w:r>
        <w:rPr>
          <w:rFonts w:ascii="Times New Roman" w:hAnsi="Times New Roman" w:eastAsia="Times New Roman" w:cs="Times New Roman"/>
          <w:sz w:val="24"/>
          <w:szCs w:val="24"/>
        </w:rPr>
        <w:t>For liquefied natural gas, the situation is more acute. Qatar, the world's second-largest LNG exporter, has no pipeline bypass. In 2025, QatarEnergy exported approximately 77 million tonnes of LNG, of which an estimated 93% transited the strait. There is no alternative route. When the strait closes, Qatar's LNG simply does not move.</w:t>
      </w:r>
    </w:p>
    <w:p w14:paraId="28B2C25B">
      <w:pPr>
        <w:spacing w:before="240" w:after="80"/>
      </w:pPr>
      <w:r>
        <w:rPr>
          <w:rFonts w:ascii="Arial" w:hAnsi="Arial" w:eastAsia="Arial" w:cs="Arial"/>
          <w:b/>
          <w:bCs/>
          <w:color w:val="2C3E50"/>
          <w:sz w:val="24"/>
          <w:szCs w:val="24"/>
        </w:rPr>
        <w:t>What Was at Stake on March 1, 2026</w:t>
      </w:r>
    </w:p>
    <w:p w14:paraId="4A38A28C">
      <w:pPr>
        <w:spacing w:before="0" w:after="160" w:line="276" w:lineRule="auto"/>
        <w:jc w:val="both"/>
      </w:pPr>
      <w:r>
        <w:rPr>
          <w:rFonts w:ascii="Times New Roman" w:hAnsi="Times New Roman" w:eastAsia="Times New Roman" w:cs="Times New Roman"/>
          <w:sz w:val="24"/>
          <w:szCs w:val="24"/>
        </w:rPr>
        <w:t>The U.S. Energy Information Administration's data for 2024 (the most recent complete year available at the time of the crisis) showed that 20 million barrels per day of crude oil and petroleum products moved through the strait daily. That represented 27% of total global seaborne oil trade and approximately 20% of world petroleum liquids consumption. China received approximately one-third of its total oil supply through the strait. India depended on it for roughly 50% of its crude imports. Japan obtained 95% of its crude from Middle Eastern suppliers, of which approximately 70% transited Hormuz. South Korea's dependency was similar.</w:t>
      </w:r>
    </w:p>
    <w:p w14:paraId="4740A741">
      <w:pPr>
        <w:spacing w:before="0" w:after="160" w:line="276" w:lineRule="auto"/>
        <w:jc w:val="both"/>
      </w:pPr>
      <w:r>
        <w:rPr>
          <w:rFonts w:ascii="Times New Roman" w:hAnsi="Times New Roman" w:eastAsia="Times New Roman" w:cs="Times New Roman"/>
          <w:sz w:val="24"/>
          <w:szCs w:val="24"/>
        </w:rPr>
        <w:t>For LNG, the stakes were equally severe. European gas storage at the time of the crisis was estimated at just 30% of capacity following an unusually cold 2025–2026 winter, the lowest pre-spring level since 2021. European buyers depended on Qatar for approximately 12–14% of their LNG supplies. Asian buyers, particularly in South Korea, Taiwan, Singapore, and Japan, depended on Qatari and Emirati LNG for a significantly larger share.</w:t>
      </w:r>
    </w:p>
    <w:p w14:paraId="2B204740">
      <w:pPr>
        <w:spacing w:before="0" w:after="160" w:line="276" w:lineRule="auto"/>
        <w:jc w:val="both"/>
      </w:pPr>
      <w:r>
        <w:rPr>
          <w:rFonts w:ascii="Times New Roman" w:hAnsi="Times New Roman" w:eastAsia="Times New Roman" w:cs="Times New Roman"/>
          <w:sz w:val="24"/>
          <w:szCs w:val="24"/>
        </w:rPr>
        <w:t>Beyond oil and gas, the strait carried approximately one-third of global fertiliser exports from Gulf producers, including over 30% of world urea, derived from Qatari and UAE natural gas, as well as 20% of global aluminium seaborne trade, one-third of global helium production, and significant volumes of sulfur, a key industrial input. The disruption of Hormuz was not a petroleum event. It was a systemic shock to the global materials economy.</w:t>
      </w:r>
    </w:p>
    <w:p w14:paraId="4FB08537">
      <w:pPr>
        <w:spacing w:before="0" w:after="80"/>
      </w:pPr>
    </w:p>
    <w:p w14:paraId="081B67B4">
      <w:pPr>
        <w:pBdr>
          <w:bottom w:val="single" w:color="C0392B" w:sz="4" w:space="4"/>
        </w:pBdr>
        <w:spacing w:before="360" w:after="120"/>
        <w:rPr>
          <w:rFonts w:ascii="Arial" w:hAnsi="Arial" w:eastAsia="Arial" w:cs="Arial"/>
          <w:b/>
          <w:bCs/>
          <w:color w:val="1A1A2E"/>
          <w:sz w:val="28"/>
          <w:szCs w:val="28"/>
        </w:rPr>
      </w:pPr>
    </w:p>
    <w:p w14:paraId="5E477BF9">
      <w:pPr>
        <w:pBdr>
          <w:bottom w:val="single" w:color="C0392B" w:sz="4" w:space="4"/>
        </w:pBdr>
        <w:spacing w:before="360" w:after="120"/>
      </w:pPr>
      <w:r>
        <w:rPr>
          <w:rFonts w:ascii="Arial" w:hAnsi="Arial" w:eastAsia="Arial" w:cs="Arial"/>
          <w:b/>
          <w:bCs/>
          <w:color w:val="1A1A2E"/>
          <w:sz w:val="28"/>
          <w:szCs w:val="28"/>
        </w:rPr>
        <w:t>THE CRISIS UNFOLDS: FEBRUARY 28 – MARCH 12, 2026</w:t>
      </w:r>
    </w:p>
    <w:p w14:paraId="36A07AC0">
      <w:pPr>
        <w:spacing w:before="240" w:after="80"/>
      </w:pPr>
      <w:r>
        <w:rPr>
          <w:rFonts w:ascii="Arial" w:hAnsi="Arial" w:eastAsia="Arial" w:cs="Arial"/>
          <w:b/>
          <w:bCs/>
          <w:color w:val="2C3E50"/>
          <w:sz w:val="24"/>
          <w:szCs w:val="24"/>
        </w:rPr>
        <w:t>The First 24 Hours</w:t>
      </w:r>
    </w:p>
    <w:p w14:paraId="2AB7F11D">
      <w:pPr>
        <w:spacing w:before="0" w:after="160" w:line="276" w:lineRule="auto"/>
        <w:jc w:val="both"/>
      </w:pPr>
      <w:r>
        <w:rPr>
          <w:rFonts w:ascii="Times New Roman" w:hAnsi="Times New Roman" w:eastAsia="Times New Roman" w:cs="Times New Roman"/>
          <w:sz w:val="24"/>
          <w:szCs w:val="24"/>
        </w:rPr>
        <w:t>The conflict began on the evening of February 28, 2026 (UTC), when U.S. and Israeli forces launched coordinated airstrikes on Iranian nuclear facilities, missile production sites, and military command infrastructure. Supreme Leader Ali Khamenei was killed in the first wave of strikes. Within hours, the IRGC issued orders forbidding commercial vessel passage through the strait to ships bound for or from ports in the United States, Israel, and their allies, effectively, the entire Western and Asian alliance structure that constituted the global trading system.</w:t>
      </w:r>
    </w:p>
    <w:p w14:paraId="7EF960BF">
      <w:pPr>
        <w:spacing w:before="0" w:after="160" w:line="276" w:lineRule="auto"/>
        <w:jc w:val="both"/>
      </w:pPr>
      <w:r>
        <w:rPr>
          <w:rFonts w:ascii="Times New Roman" w:hAnsi="Times New Roman" w:eastAsia="Times New Roman" w:cs="Times New Roman"/>
          <w:sz w:val="24"/>
          <w:szCs w:val="24"/>
        </w:rPr>
        <w:t>By dawn on March 1, the Jebel Ali Port, the world's ninth-busiest container port by volume and the primary transshipment hub for the entire Middle East, East Africa, and South Asia, had suspended operations after debris from an aerial interception caused a fire at one of its berths. DP World, the port's operator, confirmed the fire and issued a precautionary operational suspension. Within hours, the five largest container carriers by market share. MSC Mediterranean Shipping Company, A.P. Møller-Maersk, CMA CGM, COSCO Shipping, and Hapag-Lloyd, had each issued operational advisories halting or suspending Gulf bookings. MSC instructed all vessels operating in or en route to the Gulf to "proceed to designated safe shelter areas until further notice."</w:t>
      </w:r>
    </w:p>
    <w:p w14:paraId="2A4523FA">
      <w:pPr>
        <w:spacing w:before="0" w:after="160" w:line="276" w:lineRule="auto"/>
        <w:jc w:val="both"/>
      </w:pPr>
      <w:r>
        <w:rPr>
          <w:rFonts w:ascii="Times New Roman" w:hAnsi="Times New Roman" w:eastAsia="Times New Roman" w:cs="Times New Roman"/>
          <w:sz w:val="24"/>
          <w:szCs w:val="24"/>
        </w:rPr>
        <w:t>At Brent crude markets opened in London, the price jumped 10–13% in early trading, moving from approximately $72 per barrel at the close of February 28 to $82 by midday on March 2. War-risk insurance premiums for Gulf-bound vessels, which had begun the week at 0.125% of hull value per transit, rose to 0.35% by March 2 and continued climbing. At that rate, a single transit by a VLCC with a hull value of $100 million carried a war-risk premium of $350,000, compared with $125,000 the week before. By March 5, protection and indemnity insurers had withdrawn war-risk coverage for the strait entirely for the March 5 policy date, making commercial transit economically prohibitive regardless of geopolitical willingness.</w:t>
      </w:r>
    </w:p>
    <w:p w14:paraId="2A7299A0">
      <w:pPr>
        <w:spacing w:before="240" w:after="80"/>
      </w:pPr>
      <w:r>
        <w:rPr>
          <w:rFonts w:ascii="Arial" w:hAnsi="Arial" w:eastAsia="Arial" w:cs="Arial"/>
          <w:b/>
          <w:bCs/>
          <w:color w:val="2C3E50"/>
          <w:sz w:val="24"/>
          <w:szCs w:val="24"/>
        </w:rPr>
        <w:t>The Escalation: March 2–12</w:t>
      </w:r>
    </w:p>
    <w:p w14:paraId="52122A9D">
      <w:pPr>
        <w:spacing w:before="0" w:after="160" w:line="276" w:lineRule="auto"/>
        <w:jc w:val="both"/>
      </w:pPr>
      <w:r>
        <w:rPr>
          <w:rFonts w:ascii="Times New Roman" w:hAnsi="Times New Roman" w:eastAsia="Times New Roman" w:cs="Times New Roman"/>
          <w:sz w:val="24"/>
          <w:szCs w:val="24"/>
        </w:rPr>
        <w:t>On March 2, an IRGC senior official formally confirmed the strait was closed. On March 7, a container vessel was struck by projectile 35 nautical miles north of Jebel Ali, causing a fire. On March 10, U.S. military intelligence confirmed that Iran had begun planting naval mines in the strait, a development that fundamentally changed the risk calculus. Mines could not be diplomatically negotiated away. They had to be physically removed.</w:t>
      </w:r>
    </w:p>
    <w:p w14:paraId="164B5828">
      <w:pPr>
        <w:spacing w:before="0" w:after="160" w:line="276" w:lineRule="auto"/>
        <w:jc w:val="both"/>
      </w:pPr>
      <w:r>
        <w:rPr>
          <w:rFonts w:ascii="Times New Roman" w:hAnsi="Times New Roman" w:eastAsia="Times New Roman" w:cs="Times New Roman"/>
          <w:sz w:val="24"/>
          <w:szCs w:val="24"/>
        </w:rPr>
        <w:t>Brent crude surpassed $100 per barrel on March 8 for the first time in four years. On March 11, a coordinated wave of attacks struck at least three vessels, killing three crew members aboard a Thailand-flagged bulk carrier. The International Maritime Organization reported on March 21 that approximately 20,000 mariners and 2,000 ships remained stranded in the Persian Gulf, unable to exit.</w:t>
      </w:r>
    </w:p>
    <w:p w14:paraId="27CB3994">
      <w:pPr>
        <w:spacing w:before="0" w:after="160" w:line="276" w:lineRule="auto"/>
        <w:jc w:val="both"/>
      </w:pPr>
      <w:r>
        <w:rPr>
          <w:rFonts w:ascii="Times New Roman" w:hAnsi="Times New Roman" w:eastAsia="Times New Roman" w:cs="Times New Roman"/>
          <w:sz w:val="24"/>
          <w:szCs w:val="24"/>
        </w:rPr>
        <w:t>The International Energy Agency's April 2026 Oil Market Report characterised the situation as the "largest oil supply disruption in the history of the global oil market." Global oil supply fell by 10.1 million barrels per day in March, a shock larger in absolute terms than the 1973 Arab oil embargo, larger than the 1979 Iranian Revolution, and larger than Iraq's invasion of Kuwait in 1990. The IEA's executive director described it as the "greatest global energy security challenge in history."</w:t>
      </w:r>
    </w:p>
    <w:p w14:paraId="08E8EC83">
      <w:pPr>
        <w:spacing w:before="0" w:after="160" w:line="276" w:lineRule="auto"/>
        <w:jc w:val="both"/>
      </w:pPr>
      <w:r>
        <w:rPr>
          <w:rFonts w:ascii="Times New Roman" w:hAnsi="Times New Roman" w:eastAsia="Times New Roman" w:cs="Times New Roman"/>
          <w:sz w:val="24"/>
          <w:szCs w:val="24"/>
        </w:rPr>
        <w:t>By March 27, Brent crude had reached $114 per barrel. Physical crude prices in Asian markets, reflecting the actual cost of delivered barrels rather than futures, surged toward $130 per barrel, a $60 premium above pre-conflict levels. Singapore middle distillate prices reached all-time highs above $290 per barrel. Goldman Sachs economists revised their 2026 U.S. inflation forecast upward by 0.8 percentage point and raised their U.S. recession probability from 20% to 25%. The IMF cut its 2026 Middle East and North Africa growth forecast by 2.8 percentage points. The World Bank projected a 16% rise in global commodity prices for 2026, the largest annual increase since 2022, driven by the Hormuz closure. (See Exhibit 3 for commodity price impacts.)</w:t>
      </w:r>
    </w:p>
    <w:p w14:paraId="742CC3E7">
      <w:pPr>
        <w:spacing w:before="0" w:after="80"/>
      </w:pPr>
    </w:p>
    <w:p w14:paraId="3B1C782F">
      <w:pPr>
        <w:pBdr>
          <w:bottom w:val="single" w:color="C0392B" w:sz="4" w:space="4"/>
        </w:pBdr>
        <w:spacing w:before="360" w:after="120"/>
      </w:pPr>
      <w:r>
        <w:rPr>
          <w:rFonts w:ascii="Arial" w:hAnsi="Arial" w:eastAsia="Arial" w:cs="Arial"/>
          <w:b/>
          <w:bCs/>
          <w:color w:val="1A1A2E"/>
          <w:sz w:val="28"/>
          <w:szCs w:val="28"/>
        </w:rPr>
        <w:t>NORDFLEET'S EXPOSURE: THREE SHIPS, THREE CRISES</w:t>
      </w:r>
    </w:p>
    <w:p w14:paraId="6757B1E2">
      <w:pPr>
        <w:spacing w:before="240" w:after="80"/>
      </w:pPr>
      <w:r>
        <w:rPr>
          <w:rFonts w:ascii="Arial" w:hAnsi="Arial" w:eastAsia="Arial" w:cs="Arial"/>
          <w:b/>
          <w:bCs/>
          <w:color w:val="2C3E50"/>
          <w:sz w:val="24"/>
          <w:szCs w:val="24"/>
        </w:rPr>
        <w:t>The NordFleet Resolute: $340 Million Hostage</w:t>
      </w:r>
    </w:p>
    <w:p w14:paraId="4DAB560C">
      <w:pPr>
        <w:spacing w:before="0" w:after="160" w:line="276" w:lineRule="auto"/>
        <w:jc w:val="both"/>
      </w:pPr>
      <w:r>
        <w:rPr>
          <w:rFonts w:ascii="Times New Roman" w:hAnsi="Times New Roman" w:eastAsia="Times New Roman" w:cs="Times New Roman"/>
          <w:sz w:val="24"/>
          <w:szCs w:val="24"/>
        </w:rPr>
        <w:t>The NordFleet Resolute had been operating a regular Asia–Middle East–Europe rotation, arriving at Jebel Ali from Shanghai with 14,000 TEUs loaded. As of March 1, it carried goods from 47 different shippers including medical equipment, electronics components, and fast-moving consumer goods destined for markets across the UAE, Saudi Arabia, and onward transshipment to East Africa. The cargo's declared value was $340 million. The consignees, companies in seven countries, had outstanding purchase orders, customer commitments, and in several cases just-in-time manufacturing schedules that were now disrupted.</w:t>
      </w:r>
    </w:p>
    <w:p w14:paraId="0D06FDB3">
      <w:pPr>
        <w:spacing w:before="0" w:after="160" w:line="276" w:lineRule="auto"/>
        <w:jc w:val="both"/>
      </w:pPr>
      <w:r>
        <w:rPr>
          <w:rFonts w:ascii="Times New Roman" w:hAnsi="Times New Roman" w:eastAsia="Times New Roman" w:cs="Times New Roman"/>
          <w:sz w:val="24"/>
          <w:szCs w:val="24"/>
        </w:rPr>
        <w:t>DP World's Jebel Ali terminal was accepting the vessel but could not guarantee onward routing. The world's major container carriers had suspended Gulf bookings. The Resolute was functionally trapped: it could discharge at Jebel Ali but the cargo had no reliable path to its intended destinations. Alternatively, it could attempt to transit the strait outbound, through an active conflict zone, with mines confirmed on March 10, war-risk coverage withdrawn, and IRGC patrol boats actively intercepting vessels. A third option was to proceed to Sohar Port in Oman, outside the strait, and reroute cargo overland. Overland routing from Sohar to Dubai added 350 kilometres and 2–5 days of transit time, and Sohar's capacity was already being overwhelmed by vessels diverting from the Gulf.</w:t>
      </w:r>
    </w:p>
    <w:p w14:paraId="0E0832F6">
      <w:pPr>
        <w:spacing w:before="240" w:after="80"/>
        <w:rPr>
          <w:rFonts w:ascii="Arial" w:hAnsi="Arial" w:eastAsia="Arial" w:cs="Arial"/>
          <w:b/>
          <w:bCs/>
          <w:color w:val="2C3E50"/>
          <w:sz w:val="24"/>
          <w:szCs w:val="24"/>
        </w:rPr>
      </w:pPr>
    </w:p>
    <w:p w14:paraId="1C0E7E71">
      <w:pPr>
        <w:spacing w:before="240" w:after="80"/>
      </w:pPr>
      <w:r>
        <w:rPr>
          <w:rFonts w:ascii="Arial" w:hAnsi="Arial" w:eastAsia="Arial" w:cs="Arial"/>
          <w:b/>
          <w:bCs/>
          <w:color w:val="2C3E50"/>
          <w:sz w:val="24"/>
          <w:szCs w:val="24"/>
        </w:rPr>
        <w:t>The NordFleet Integrity: The Outbound Gamble</w:t>
      </w:r>
    </w:p>
    <w:p w14:paraId="4D8BA1DC">
      <w:pPr>
        <w:spacing w:before="0" w:after="160" w:line="276" w:lineRule="auto"/>
        <w:jc w:val="both"/>
      </w:pPr>
      <w:r>
        <w:rPr>
          <w:rFonts w:ascii="Times New Roman" w:hAnsi="Times New Roman" w:eastAsia="Times New Roman" w:cs="Times New Roman"/>
          <w:sz w:val="24"/>
          <w:szCs w:val="24"/>
        </w:rPr>
        <w:t>The NordFleet Integrity presented the most acute immediate risk. The vessel was in transit through the strait at the time of the closure declaration, carrying automotive components whose value was approximately $180 million. It was 41 nautical miles from the strait's exit into the Gulf of Oman, approximately five hours of sailing at normal speed. The captain had requested permission to continue the transit. Lindqvist's Chief Risk Officer recommended immediate shelter, anchoring in Omani waters short of the exit until the situation clarified. NordFleet's maritime lawyer in London said a case could be made that a vessel already in transit had rights of innocent passage under UNCLOS Article 38 that the IRGC declaration did not legally extinguish. The IRGC did not recognise that distinction.</w:t>
      </w:r>
    </w:p>
    <w:p w14:paraId="54430ADB">
      <w:pPr>
        <w:spacing w:before="0" w:after="160" w:line="276" w:lineRule="auto"/>
        <w:jc w:val="both"/>
      </w:pPr>
      <w:r>
        <w:rPr>
          <w:rFonts w:ascii="Times New Roman" w:hAnsi="Times New Roman" w:eastAsia="Times New Roman" w:cs="Times New Roman"/>
          <w:sz w:val="24"/>
          <w:szCs w:val="24"/>
        </w:rPr>
        <w:t>Three vessels belonging to other operators had already been boarded by IRGC fast boats in the 36 hours since the closure declaration. None had been fired upon while in transit. One had been held for 19 hours before being released. The Integrity's 27 crew members, including eight Indian nationals, six Filipinos, five Ukrainians, four Danes, two Bangladeshis, and two Egyptians, were, by any analysis, at risk.</w:t>
      </w:r>
    </w:p>
    <w:p w14:paraId="30B6C0DD">
      <w:pPr>
        <w:spacing w:before="240" w:after="80"/>
      </w:pPr>
      <w:r>
        <w:rPr>
          <w:rFonts w:ascii="Arial" w:hAnsi="Arial" w:eastAsia="Arial" w:cs="Arial"/>
          <w:b/>
          <w:bCs/>
          <w:color w:val="2C3E50"/>
          <w:sz w:val="24"/>
          <w:szCs w:val="24"/>
        </w:rPr>
        <w:t>The NordFleet Meridian: The $160 Million Wait</w:t>
      </w:r>
    </w:p>
    <w:p w14:paraId="755E4F72">
      <w:pPr>
        <w:spacing w:before="0" w:after="160" w:line="276" w:lineRule="auto"/>
        <w:jc w:val="both"/>
      </w:pPr>
      <w:r>
        <w:rPr>
          <w:rFonts w:ascii="Times New Roman" w:hAnsi="Times New Roman" w:eastAsia="Times New Roman" w:cs="Times New Roman"/>
          <w:sz w:val="24"/>
          <w:szCs w:val="24"/>
        </w:rPr>
        <w:t>The NordFleet Meridian was the simplest case and the most financially consequential. The VLCC was at anchor off Ras Tanura, loaded with 2.1 million barrels of crude oil under a voyage charter for a Saudi Aramco affiliate. The charter party specified delivery to a South Korean refinery within a 10-day window. That window was now impossible to meet. The charter party contained a force majeure clause, but Saudi Aramco's legal team was already signalling that the clause's applicability was disputed, the closure was an act of a third-party state, not NordFleet's contractual counterparty. If the force majeure claim failed, NordFleet faced demurrage penalties of approximately $85,000 per day for each day of delay. The commercial value of the cargo itself: 2.1 million barrels at $114 per barrel, was $239 million, against which the Meridian's hull value of $120 million meant the vessel was carrying cargo worth twice its own replacement cost.</w:t>
      </w:r>
    </w:p>
    <w:p w14:paraId="103FA72F">
      <w:pPr>
        <w:spacing w:before="0" w:after="160" w:line="276" w:lineRule="auto"/>
        <w:jc w:val="both"/>
      </w:pPr>
      <w:r>
        <w:rPr>
          <w:rFonts w:ascii="Times New Roman" w:hAnsi="Times New Roman" w:eastAsia="Times New Roman" w:cs="Times New Roman"/>
          <w:sz w:val="24"/>
          <w:szCs w:val="24"/>
        </w:rPr>
        <w:t>More immediately: the Meridian was sitting in a port that had been explicitly targeted by the IRGC. On March 2, two oil tankers had been attacked by an Iranian drone boat off the Port of Basra, Iraq, 400 nautical miles to the north. The IRGC had declared that ports of the United States, Israel, and their allies, which Saudi Arabia's Ras Tanura legally qualified as, were prohibited zones. The Meridian was sitting in one.</w:t>
      </w:r>
    </w:p>
    <w:p w14:paraId="49DFB978">
      <w:pPr>
        <w:spacing w:before="0" w:after="80"/>
      </w:pPr>
    </w:p>
    <w:p w14:paraId="3EEBFC4B">
      <w:pPr>
        <w:pBdr>
          <w:bottom w:val="single" w:color="C0392B" w:sz="4" w:space="4"/>
        </w:pBdr>
        <w:spacing w:before="360" w:after="120"/>
        <w:rPr>
          <w:rFonts w:ascii="Arial" w:hAnsi="Arial" w:eastAsia="Arial" w:cs="Arial"/>
          <w:b/>
          <w:bCs/>
          <w:color w:val="1A1A2E"/>
          <w:sz w:val="28"/>
          <w:szCs w:val="28"/>
        </w:rPr>
      </w:pPr>
    </w:p>
    <w:p w14:paraId="1E498E0A">
      <w:pPr>
        <w:pBdr>
          <w:bottom w:val="single" w:color="C0392B" w:sz="4" w:space="4"/>
        </w:pBdr>
        <w:spacing w:before="360" w:after="120"/>
      </w:pPr>
      <w:r>
        <w:rPr>
          <w:rFonts w:ascii="Arial" w:hAnsi="Arial" w:eastAsia="Arial" w:cs="Arial"/>
          <w:b/>
          <w:bCs/>
          <w:color w:val="1A1A2E"/>
          <w:sz w:val="28"/>
          <w:szCs w:val="28"/>
        </w:rPr>
        <w:t>THE WIDER CASCADE: WHAT THE CLOSURE DID TO GLOBAL SUPPLY CHAINS</w:t>
      </w:r>
    </w:p>
    <w:p w14:paraId="6732B6B4">
      <w:pPr>
        <w:spacing w:before="240" w:after="80"/>
      </w:pPr>
      <w:r>
        <w:rPr>
          <w:rFonts w:ascii="Arial" w:hAnsi="Arial" w:eastAsia="Arial" w:cs="Arial"/>
          <w:b/>
          <w:bCs/>
          <w:color w:val="2C3E50"/>
          <w:sz w:val="24"/>
          <w:szCs w:val="24"/>
        </w:rPr>
        <w:t>Energy: The Immediate Shock</w:t>
      </w:r>
    </w:p>
    <w:p w14:paraId="58B187FC">
      <w:pPr>
        <w:spacing w:before="0" w:after="160" w:line="276" w:lineRule="auto"/>
        <w:jc w:val="both"/>
      </w:pPr>
      <w:r>
        <w:rPr>
          <w:rFonts w:ascii="Times New Roman" w:hAnsi="Times New Roman" w:eastAsia="Times New Roman" w:cs="Times New Roman"/>
          <w:sz w:val="24"/>
          <w:szCs w:val="24"/>
        </w:rPr>
        <w:t>The scale of the disruption had no modern precedent. In March 2026, global oil supply fell by 10.1 million barrels per day, a reduction of nearly 10% of global consumption sustained for an entire month. For context, the Arab oil embargo of 1973 had reduced global supply by approximately 4.4 million barrels per day. The Iranian Revolution of 1979 disrupted approximately 5.6 million barrels per day. The 2026 Hormuz closure was larger than both combined.</w:t>
      </w:r>
    </w:p>
    <w:p w14:paraId="0B301A8D">
      <w:pPr>
        <w:spacing w:before="0" w:after="160" w:line="276" w:lineRule="auto"/>
        <w:jc w:val="both"/>
      </w:pPr>
      <w:r>
        <w:rPr>
          <w:rFonts w:ascii="Times New Roman" w:hAnsi="Times New Roman" w:eastAsia="Times New Roman" w:cs="Times New Roman"/>
          <w:sz w:val="24"/>
          <w:szCs w:val="24"/>
        </w:rPr>
        <w:t>QatarEnergy declared force majeure on all LNG export contracts on March 4, after attacks on its processing facilities at Ras Laffan made export operations unsafe. European natural gas benchmark TTF prices, which had averaged €30 per megawatt-hour in the week before the conflict, surged to €46 per MWh on March 2 and peaked above €60 per MWh on March 3, a doubling in less than 72 hours. European storage, already at 30% capacity, was drawing down at a rate that analysts at Rystad Energy calculated would exhaust supplies before the April refill season if the closure persisted beyond eight weeks. The European Central Bank postponed planned interest-rate reductions on March 19 and revised its 2026 eurozone inflation forecast sharply upward.</w:t>
      </w:r>
    </w:p>
    <w:p w14:paraId="648E4A83">
      <w:pPr>
        <w:spacing w:before="240" w:after="80"/>
      </w:pPr>
      <w:r>
        <w:rPr>
          <w:rFonts w:ascii="Arial" w:hAnsi="Arial" w:eastAsia="Arial" w:cs="Arial"/>
          <w:b/>
          <w:bCs/>
          <w:color w:val="2C3E50"/>
          <w:sz w:val="24"/>
          <w:szCs w:val="24"/>
        </w:rPr>
        <w:t>Food and Agriculture: The Secondary Shock</w:t>
      </w:r>
    </w:p>
    <w:p w14:paraId="62CF524F">
      <w:pPr>
        <w:spacing w:before="0" w:after="160" w:line="276" w:lineRule="auto"/>
        <w:jc w:val="both"/>
      </w:pPr>
      <w:r>
        <w:rPr>
          <w:rFonts w:ascii="Times New Roman" w:hAnsi="Times New Roman" w:eastAsia="Times New Roman" w:cs="Times New Roman"/>
          <w:sz w:val="24"/>
          <w:szCs w:val="24"/>
        </w:rPr>
        <w:t>The Gulf region produces approximately half of the world's urea and 30% of global ammonia, the feedstocks for nitrogen-based fertilisers that underpin global crop production. Approximately one-third of global fertiliser trade normally transits the strait. The closure disrupted supplies at the beginning of the Northern Hemisphere spring planting season, when fertiliser demand peaks. The United Nations World Food Programme estimated that a prolonged closure could put up to 45 million additional people at risk of acute food insecurity, primarily in Sub-Saharan Africa, South Asia, and the Middle East, where food import dependence is highest and fiscal capacity to absorb price shocks is lowest.</w:t>
      </w:r>
    </w:p>
    <w:p w14:paraId="7C8584FA">
      <w:pPr>
        <w:spacing w:before="240" w:after="80"/>
      </w:pPr>
      <w:r>
        <w:rPr>
          <w:rFonts w:ascii="Arial" w:hAnsi="Arial" w:eastAsia="Arial" w:cs="Arial"/>
          <w:b/>
          <w:bCs/>
          <w:color w:val="2C3E50"/>
          <w:sz w:val="24"/>
          <w:szCs w:val="24"/>
        </w:rPr>
        <w:t>Industry: The Cascade</w:t>
      </w:r>
    </w:p>
    <w:p w14:paraId="0C34EFEF">
      <w:pPr>
        <w:spacing w:before="0" w:after="160" w:line="276" w:lineRule="auto"/>
        <w:jc w:val="both"/>
      </w:pPr>
      <w:r>
        <w:rPr>
          <w:rFonts w:ascii="Times New Roman" w:hAnsi="Times New Roman" w:eastAsia="Times New Roman" w:cs="Times New Roman"/>
          <w:sz w:val="24"/>
          <w:szCs w:val="24"/>
        </w:rPr>
        <w:t>Aluminium prices rose 13% in the first quarter of 2026, as Gulf states account for approximately 20% of global aluminium seaborne trade. Copper and tin prices reached all-time highs, driven by supply chain anxiety. Approximately one-third of global helium production, used in semiconductor manufacturing, MRI machines, and scientific research, was disrupted, as Qatar is the world's largest helium exporter and has no bypass. Helium distributors globally began rationing deliveries by early April. Sulfur, a byproduct of Gulf oil and gas processing and a key industrial input for copper mining in Chile and phosphate fertiliser production globally, faced a "near-total" supply disruption, according to the U.S. Department of Defense. In response, China banned sulfuric acid exports, sending shock waves through copper mining operations in South America.</w:t>
      </w:r>
    </w:p>
    <w:p w14:paraId="09B9C172">
      <w:pPr>
        <w:spacing w:before="0" w:after="160" w:line="276" w:lineRule="auto"/>
        <w:jc w:val="both"/>
      </w:pPr>
      <w:r>
        <w:rPr>
          <w:rFonts w:ascii="Times New Roman" w:hAnsi="Times New Roman" w:eastAsia="Times New Roman" w:cs="Times New Roman"/>
          <w:sz w:val="24"/>
          <w:szCs w:val="24"/>
        </w:rPr>
        <w:t>The World Bank's April 2026 Commodity Markets Outlook projected a 16% rise in average global commodity prices for the full year, the largest annual increase since 2022. EMDE inflation was projected to average 5.1% in 2026, a full percentage point above pre-war forecasts. "The war is hitting the global economy in cumulative waves," said World Bank Group Chief Economist Indermit Gill: "first through higher energy prices, then higher food prices, and finally, higher inflation, which will push up interest rates and make debt even more expensive."</w:t>
      </w:r>
    </w:p>
    <w:p w14:paraId="10A1559F">
      <w:pPr>
        <w:spacing w:before="0" w:after="80"/>
      </w:pPr>
    </w:p>
    <w:p w14:paraId="662809F0">
      <w:pPr>
        <w:pBdr>
          <w:bottom w:val="single" w:color="C0392B" w:sz="4" w:space="4"/>
        </w:pBdr>
        <w:spacing w:before="360" w:after="120"/>
      </w:pPr>
      <w:r>
        <w:rPr>
          <w:rFonts w:ascii="Arial" w:hAnsi="Arial" w:eastAsia="Arial" w:cs="Arial"/>
          <w:b/>
          <w:bCs/>
          <w:color w:val="1A1A2E"/>
          <w:sz w:val="28"/>
          <w:szCs w:val="28"/>
        </w:rPr>
        <w:t>THE DECISION POINT: WHAT LINDQVIST HAD TO CHOOSE</w:t>
      </w:r>
    </w:p>
    <w:p w14:paraId="577C7052">
      <w:pPr>
        <w:spacing w:before="0" w:after="160" w:line="276" w:lineRule="auto"/>
        <w:jc w:val="both"/>
      </w:pPr>
      <w:r>
        <w:rPr>
          <w:rFonts w:ascii="Times New Roman" w:hAnsi="Times New Roman" w:eastAsia="Times New Roman" w:cs="Times New Roman"/>
          <w:sz w:val="24"/>
          <w:szCs w:val="24"/>
        </w:rPr>
        <w:t>By the morning of March 5, 2026, six days after the closure, Søren Lindqvist had convened his crisis management team for the fourteenth time. The board of NordFleet had authorised extraordinary operational discretion to respond to the emergency but had also made clear, through the Chairman, in a private call, that the company's duty to shareholders could not be ignored indefinitely. NordFleet's share price had fallen 18% since February 28, tracking the broader shipping sector. War-risk insurance premiums, now commercially unavailable, meant any transit decision carried uninsured hull exposure of up to $120 million for the Meridian alone.</w:t>
      </w:r>
    </w:p>
    <w:p w14:paraId="1E1AECC8">
      <w:pPr>
        <w:spacing w:before="0" w:after="160" w:line="276" w:lineRule="auto"/>
        <w:jc w:val="both"/>
      </w:pPr>
      <w:r>
        <w:rPr>
          <w:rFonts w:ascii="Times New Roman" w:hAnsi="Times New Roman" w:eastAsia="Times New Roman" w:cs="Times New Roman"/>
          <w:sz w:val="24"/>
          <w:szCs w:val="24"/>
        </w:rPr>
        <w:t>The three vessels presented three distinct decision problems. On the Integrity: should Lindqvist authorise the captain to attempt the final 41 nautical miles of the transit, invoking UNCLOS innocent passage rights, and risk crew safety against a live military threat? Or should the vessel shelter, potentially for weeks, in waters that were themselves increasingly contested, while the 27-person crew aged through an open-ended geopolitical standoff? On the Resolute: should the vessel discharge at Jebel Ali and attempt overland rerouting, accepting 2–5 weeks of delay and 15–30% cost increases, or should it attempt to transit the strait outbound with its full cargo, risking the vessel against the possibility that the Hormuz situation would resolve within days? On the Meridian: should the vessel attempt to exit Ras Tanura immediately into open Gulf waters, moving away from an explicitly targeted port, even though open Gulf waters were themselves patrolled by IRGC fast boats? Or should it shelter in place, absorbing demurrage at $85,000 per day, while its cargo appreciated at $114 per barrel against the increasing difficulty of sourcing replacement supply?</w:t>
      </w:r>
    </w:p>
    <w:p w14:paraId="5AF4623F">
      <w:pPr>
        <w:spacing w:before="0" w:after="160" w:line="276" w:lineRule="auto"/>
        <w:jc w:val="both"/>
      </w:pPr>
      <w:r>
        <w:rPr>
          <w:rFonts w:ascii="Times New Roman" w:hAnsi="Times New Roman" w:eastAsia="Times New Roman" w:cs="Times New Roman"/>
          <w:sz w:val="24"/>
          <w:szCs w:val="24"/>
        </w:rPr>
        <w:t>Each decision implicated a different hierarchy of stakeholders. The crew members (87 people from nine nations) had not signed employment contracts that included combat zone risk. The cargo owners had contracts that NordFleet was now, through no fault of its own, unable to honour. The shareholders had capital at risk in assets that could be lost or severely damaged in the next 24 hours. The charterers had obligations to their own counterparties, refineries in Japan and South Korea whose production schedules depended on crude arrivals that were no longer coming. And behind all of them, barely visible but unmistakably present, were the populations of countries whose energy, food, and industrial supply chains ran through 33 kilometres of contested water.</w:t>
      </w:r>
    </w:p>
    <w:p w14:paraId="058A58B3">
      <w:pPr>
        <w:spacing w:before="0" w:after="160" w:line="276" w:lineRule="auto"/>
        <w:jc w:val="both"/>
      </w:pPr>
      <w:r>
        <w:rPr>
          <w:rFonts w:ascii="Times New Roman" w:hAnsi="Times New Roman" w:eastAsia="Times New Roman" w:cs="Times New Roman"/>
          <w:sz w:val="24"/>
          <w:szCs w:val="24"/>
        </w:rPr>
        <w:t>The IRGC had fired on a vessel attempting passage at 03:00 local time on March 5. No casualties had been reported. The vessel had turned back. The U.S. Navy's Fifth Fleet, headquartered in Bahrain, had offered to provide naval escorts to commercial vessels, but the offer came with a condition: the vessel must be flagged in a U.S.-allied nation and must accept the escort publicly. A public U.S. Navy escort would almost certainly make the vessel a higher-priority target, not a lower one.</w:t>
      </w:r>
    </w:p>
    <w:p w14:paraId="4CC5CE57">
      <w:pPr>
        <w:spacing w:before="0" w:after="160" w:line="276" w:lineRule="auto"/>
        <w:jc w:val="both"/>
      </w:pPr>
      <w:r>
        <w:rPr>
          <w:rFonts w:ascii="Times New Roman" w:hAnsi="Times New Roman" w:eastAsia="Times New Roman" w:cs="Times New Roman"/>
          <w:sz w:val="24"/>
          <w:szCs w:val="24"/>
        </w:rPr>
        <w:t>Lindqvist looked at the vessel tracking dashboard. The Integrity's AIS transponder was broadcasting. He could see the vessel. The IRGC could see it too.</w:t>
      </w:r>
    </w:p>
    <w:p w14:paraId="2532B543">
      <w:pPr>
        <w:spacing w:before="0" w:after="160" w:line="276" w:lineRule="auto"/>
        <w:jc w:val="both"/>
      </w:pPr>
      <w:r>
        <w:rPr>
          <w:rFonts w:ascii="Times New Roman" w:hAnsi="Times New Roman" w:eastAsia="Times New Roman" w:cs="Times New Roman"/>
          <w:sz w:val="24"/>
          <w:szCs w:val="24"/>
        </w:rPr>
        <w:t>He had been in shipping for 28 years. He had managed vessels through the Somali piracy crisis, through the COVID port shutdowns, through the Houthi campaign. None of those had felt like this. Those crises had had functional insurance markets, functioning legal frameworks, functioning diplomatic channels. This one had none of those things, only 87 crew members, three vessels, and a decision that no operations manual had ever been written to cover.</w:t>
      </w:r>
    </w:p>
    <w:p w14:paraId="1E461B52">
      <w:pPr>
        <w:spacing w:before="0" w:after="160" w:line="276" w:lineRule="auto"/>
        <w:jc w:val="both"/>
      </w:pPr>
      <w:r>
        <w:rPr>
          <w:rFonts w:ascii="Times New Roman" w:hAnsi="Times New Roman" w:eastAsia="Times New Roman" w:cs="Times New Roman"/>
          <w:sz w:val="24"/>
          <w:szCs w:val="24"/>
        </w:rPr>
        <w:t>The phone rang. It was the captain of the Integrity. He was requesting a decision.</w:t>
      </w:r>
    </w:p>
    <w:p w14:paraId="67C37DA5">
      <w:pPr>
        <w:spacing w:before="0" w:after="0"/>
      </w:pPr>
      <w:r>
        <w:br w:type="page"/>
      </w:r>
    </w:p>
    <w:p w14:paraId="2AE9E42E">
      <w:pPr>
        <w:pBdr>
          <w:bottom w:val="single" w:color="C0392B" w:sz="4" w:space="4"/>
        </w:pBdr>
        <w:spacing w:before="360" w:after="120"/>
      </w:pPr>
      <w:r>
        <w:rPr>
          <w:rFonts w:ascii="Arial" w:hAnsi="Arial" w:eastAsia="Arial" w:cs="Arial"/>
          <w:b/>
          <w:bCs/>
          <w:color w:val="1A1A2E"/>
          <w:sz w:val="28"/>
          <w:szCs w:val="28"/>
        </w:rPr>
        <w:t>EXHIBITS</w:t>
      </w:r>
    </w:p>
    <w:p w14:paraId="4D9DEE14">
      <w:pPr>
        <w:spacing w:before="480" w:after="120"/>
      </w:pPr>
      <w:r>
        <w:rPr>
          <w:rFonts w:ascii="Arial" w:hAnsi="Arial" w:eastAsia="Arial" w:cs="Arial"/>
          <w:b/>
          <w:bCs/>
          <w:color w:val="2C3E50"/>
          <w:sz w:val="22"/>
          <w:szCs w:val="22"/>
        </w:rPr>
        <w:t>Exhibit 1: NordFleet Shipping A/S: Financial Summary 2022–2025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40"/>
        <w:gridCol w:w="1640"/>
        <w:gridCol w:w="1640"/>
        <w:gridCol w:w="1640"/>
      </w:tblGrid>
      <w:tr w14:paraId="530B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104ED191">
            <w:r>
              <w:rPr>
                <w:rFonts w:ascii="Arial" w:hAnsi="Arial" w:eastAsia="Arial" w:cs="Arial"/>
                <w:b/>
                <w:bCs/>
                <w:color w:val="FFFFFF"/>
                <w:sz w:val="20"/>
                <w:szCs w:val="20"/>
              </w:rPr>
              <w:t>Metric</w:t>
            </w:r>
          </w:p>
        </w:tc>
        <w:tc>
          <w:tcPr>
            <w:tcW w:w="164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3B2844DD">
            <w:r>
              <w:rPr>
                <w:rFonts w:ascii="Arial" w:hAnsi="Arial" w:eastAsia="Arial" w:cs="Arial"/>
                <w:b/>
                <w:bCs/>
                <w:color w:val="FFFFFF"/>
                <w:sz w:val="20"/>
                <w:szCs w:val="20"/>
              </w:rPr>
              <w:t>FY 2022</w:t>
            </w:r>
          </w:p>
        </w:tc>
        <w:tc>
          <w:tcPr>
            <w:tcW w:w="164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7435BC48">
            <w:r>
              <w:rPr>
                <w:rFonts w:ascii="Arial" w:hAnsi="Arial" w:eastAsia="Arial" w:cs="Arial"/>
                <w:b/>
                <w:bCs/>
                <w:color w:val="FFFFFF"/>
                <w:sz w:val="20"/>
                <w:szCs w:val="20"/>
              </w:rPr>
              <w:t>FY 2023</w:t>
            </w:r>
          </w:p>
        </w:tc>
        <w:tc>
          <w:tcPr>
            <w:tcW w:w="164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6587CEF4">
            <w:r>
              <w:rPr>
                <w:rFonts w:ascii="Arial" w:hAnsi="Arial" w:eastAsia="Arial" w:cs="Arial"/>
                <w:b/>
                <w:bCs/>
                <w:color w:val="FFFFFF"/>
                <w:sz w:val="20"/>
                <w:szCs w:val="20"/>
              </w:rPr>
              <w:t>FY 2024</w:t>
            </w:r>
          </w:p>
        </w:tc>
        <w:tc>
          <w:tcPr>
            <w:tcW w:w="164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7919FEFD">
            <w:r>
              <w:rPr>
                <w:rFonts w:ascii="Arial" w:hAnsi="Arial" w:eastAsia="Arial" w:cs="Arial"/>
                <w:b/>
                <w:bCs/>
                <w:color w:val="FFFFFF"/>
                <w:sz w:val="20"/>
                <w:szCs w:val="20"/>
              </w:rPr>
              <w:t>FY 2025</w:t>
            </w:r>
          </w:p>
        </w:tc>
      </w:tr>
      <w:tr w14:paraId="384C4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E806FA">
            <w:r>
              <w:rPr>
                <w:rFonts w:ascii="Times New Roman" w:hAnsi="Times New Roman" w:eastAsia="Times New Roman" w:cs="Times New Roman"/>
                <w:sz w:val="20"/>
                <w:szCs w:val="20"/>
              </w:rPr>
              <w:t>Revenue (DKK billion)</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350003">
            <w:r>
              <w:rPr>
                <w:rFonts w:ascii="Times New Roman" w:hAnsi="Times New Roman" w:eastAsia="Times New Roman" w:cs="Times New Roman"/>
                <w:sz w:val="20"/>
                <w:szCs w:val="20"/>
              </w:rPr>
              <w:t>8.2</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9575F49">
            <w:r>
              <w:rPr>
                <w:rFonts w:ascii="Times New Roman" w:hAnsi="Times New Roman" w:eastAsia="Times New Roman" w:cs="Times New Roman"/>
                <w:sz w:val="20"/>
                <w:szCs w:val="20"/>
              </w:rPr>
              <w:t>10.4</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E796D6">
            <w:r>
              <w:rPr>
                <w:rFonts w:ascii="Times New Roman" w:hAnsi="Times New Roman" w:eastAsia="Times New Roman" w:cs="Times New Roman"/>
                <w:sz w:val="20"/>
                <w:szCs w:val="20"/>
              </w:rPr>
              <w:t>12.8</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899E9F5">
            <w:r>
              <w:rPr>
                <w:rFonts w:ascii="Times New Roman" w:hAnsi="Times New Roman" w:eastAsia="Times New Roman" w:cs="Times New Roman"/>
                <w:sz w:val="20"/>
                <w:szCs w:val="20"/>
              </w:rPr>
              <w:t>14.7</w:t>
            </w:r>
          </w:p>
        </w:tc>
      </w:tr>
      <w:tr w14:paraId="08BFC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A5A9BC4">
            <w:r>
              <w:rPr>
                <w:rFonts w:ascii="Times New Roman" w:hAnsi="Times New Roman" w:eastAsia="Times New Roman" w:cs="Times New Roman"/>
                <w:sz w:val="20"/>
                <w:szCs w:val="20"/>
              </w:rPr>
              <w:t>Revenue (USD million, approx.)</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E459829">
            <w:r>
              <w:rPr>
                <w:rFonts w:ascii="Times New Roman" w:hAnsi="Times New Roman" w:eastAsia="Times New Roman" w:cs="Times New Roman"/>
                <w:sz w:val="20"/>
                <w:szCs w:val="20"/>
              </w:rPr>
              <w:t>$1,180</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B48494F">
            <w:r>
              <w:rPr>
                <w:rFonts w:ascii="Times New Roman" w:hAnsi="Times New Roman" w:eastAsia="Times New Roman" w:cs="Times New Roman"/>
                <w:sz w:val="20"/>
                <w:szCs w:val="20"/>
              </w:rPr>
              <w:t>$1,500</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60C13DE">
            <w:r>
              <w:rPr>
                <w:rFonts w:ascii="Times New Roman" w:hAnsi="Times New Roman" w:eastAsia="Times New Roman" w:cs="Times New Roman"/>
                <w:sz w:val="20"/>
                <w:szCs w:val="20"/>
              </w:rPr>
              <w:t>$1,840</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8DAC27A">
            <w:r>
              <w:rPr>
                <w:rFonts w:ascii="Times New Roman" w:hAnsi="Times New Roman" w:eastAsia="Times New Roman" w:cs="Times New Roman"/>
                <w:sz w:val="20"/>
                <w:szCs w:val="20"/>
              </w:rPr>
              <w:t>$2,110</w:t>
            </w:r>
          </w:p>
        </w:tc>
      </w:tr>
      <w:tr w14:paraId="788BF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2B82C60">
            <w:r>
              <w:rPr>
                <w:rFonts w:ascii="Times New Roman" w:hAnsi="Times New Roman" w:eastAsia="Times New Roman" w:cs="Times New Roman"/>
                <w:sz w:val="20"/>
                <w:szCs w:val="20"/>
              </w:rPr>
              <w:t>EBITDA (DKK billion)</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0E16823">
            <w:r>
              <w:rPr>
                <w:rFonts w:ascii="Times New Roman" w:hAnsi="Times New Roman" w:eastAsia="Times New Roman" w:cs="Times New Roman"/>
                <w:sz w:val="20"/>
                <w:szCs w:val="20"/>
              </w:rPr>
              <w:t>2.9</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FD6992">
            <w:r>
              <w:rPr>
                <w:rFonts w:ascii="Times New Roman" w:hAnsi="Times New Roman" w:eastAsia="Times New Roman" w:cs="Times New Roman"/>
                <w:sz w:val="20"/>
                <w:szCs w:val="20"/>
              </w:rPr>
              <w:t>4.0</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609FAAE">
            <w:r>
              <w:rPr>
                <w:rFonts w:ascii="Times New Roman" w:hAnsi="Times New Roman" w:eastAsia="Times New Roman" w:cs="Times New Roman"/>
                <w:sz w:val="20"/>
                <w:szCs w:val="20"/>
              </w:rPr>
              <w:t>4.8</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D1EFD1F">
            <w:r>
              <w:rPr>
                <w:rFonts w:ascii="Times New Roman" w:hAnsi="Times New Roman" w:eastAsia="Times New Roman" w:cs="Times New Roman"/>
                <w:sz w:val="20"/>
                <w:szCs w:val="20"/>
              </w:rPr>
              <w:t>5.6</w:t>
            </w:r>
          </w:p>
        </w:tc>
      </w:tr>
      <w:tr w14:paraId="721E6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ED0BC60">
            <w:r>
              <w:rPr>
                <w:rFonts w:ascii="Times New Roman" w:hAnsi="Times New Roman" w:eastAsia="Times New Roman" w:cs="Times New Roman"/>
                <w:sz w:val="20"/>
                <w:szCs w:val="20"/>
              </w:rPr>
              <w:t>EBITDA Margin %</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399D193">
            <w:r>
              <w:rPr>
                <w:rFonts w:ascii="Times New Roman" w:hAnsi="Times New Roman" w:eastAsia="Times New Roman" w:cs="Times New Roman"/>
                <w:sz w:val="20"/>
                <w:szCs w:val="20"/>
              </w:rPr>
              <w:t>35%</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93E1A0F">
            <w:r>
              <w:rPr>
                <w:rFonts w:ascii="Times New Roman" w:hAnsi="Times New Roman" w:eastAsia="Times New Roman" w:cs="Times New Roman"/>
                <w:sz w:val="20"/>
                <w:szCs w:val="20"/>
              </w:rPr>
              <w:t>38%</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913817D">
            <w:r>
              <w:rPr>
                <w:rFonts w:ascii="Times New Roman" w:hAnsi="Times New Roman" w:eastAsia="Times New Roman" w:cs="Times New Roman"/>
                <w:sz w:val="20"/>
                <w:szCs w:val="20"/>
              </w:rPr>
              <w:t>38%</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C6189E5">
            <w:r>
              <w:rPr>
                <w:rFonts w:ascii="Times New Roman" w:hAnsi="Times New Roman" w:eastAsia="Times New Roman" w:cs="Times New Roman"/>
                <w:sz w:val="20"/>
                <w:szCs w:val="20"/>
              </w:rPr>
              <w:t>38%</w:t>
            </w:r>
          </w:p>
        </w:tc>
      </w:tr>
      <w:tr w14:paraId="09D9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093532">
            <w:r>
              <w:rPr>
                <w:rFonts w:ascii="Times New Roman" w:hAnsi="Times New Roman" w:eastAsia="Times New Roman" w:cs="Times New Roman"/>
                <w:sz w:val="20"/>
                <w:szCs w:val="20"/>
              </w:rPr>
              <w:t>Net Profit (DKK billion)</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615FC0">
            <w:r>
              <w:rPr>
                <w:rFonts w:ascii="Times New Roman" w:hAnsi="Times New Roman" w:eastAsia="Times New Roman" w:cs="Times New Roman"/>
                <w:sz w:val="20"/>
                <w:szCs w:val="20"/>
              </w:rPr>
              <w:t>1.1</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1AADD42">
            <w:r>
              <w:rPr>
                <w:rFonts w:ascii="Times New Roman" w:hAnsi="Times New Roman" w:eastAsia="Times New Roman" w:cs="Times New Roman"/>
                <w:sz w:val="20"/>
                <w:szCs w:val="20"/>
              </w:rPr>
              <w:t>1.7</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D85C00E">
            <w:r>
              <w:rPr>
                <w:rFonts w:ascii="Times New Roman" w:hAnsi="Times New Roman" w:eastAsia="Times New Roman" w:cs="Times New Roman"/>
                <w:sz w:val="20"/>
                <w:szCs w:val="20"/>
              </w:rPr>
              <w:t>2.0</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9868CD">
            <w:r>
              <w:rPr>
                <w:rFonts w:ascii="Times New Roman" w:hAnsi="Times New Roman" w:eastAsia="Times New Roman" w:cs="Times New Roman"/>
                <w:sz w:val="20"/>
                <w:szCs w:val="20"/>
              </w:rPr>
              <w:t>2.4</w:t>
            </w:r>
          </w:p>
        </w:tc>
      </w:tr>
      <w:tr w14:paraId="0C57D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EDA9B13">
            <w:r>
              <w:rPr>
                <w:rFonts w:ascii="Times New Roman" w:hAnsi="Times New Roman" w:eastAsia="Times New Roman" w:cs="Times New Roman"/>
                <w:sz w:val="20"/>
                <w:szCs w:val="20"/>
              </w:rPr>
              <w:t>Fleet: Containerships (TEU capacity)</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3E2D759">
            <w:r>
              <w:rPr>
                <w:rFonts w:ascii="Times New Roman" w:hAnsi="Times New Roman" w:eastAsia="Times New Roman" w:cs="Times New Roman"/>
                <w:sz w:val="20"/>
                <w:szCs w:val="20"/>
              </w:rPr>
              <w:t>312,000</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BDFCE33">
            <w:r>
              <w:rPr>
                <w:rFonts w:ascii="Times New Roman" w:hAnsi="Times New Roman" w:eastAsia="Times New Roman" w:cs="Times New Roman"/>
                <w:sz w:val="20"/>
                <w:szCs w:val="20"/>
              </w:rPr>
              <w:t>336,000</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126B1D3">
            <w:r>
              <w:rPr>
                <w:rFonts w:ascii="Times New Roman" w:hAnsi="Times New Roman" w:eastAsia="Times New Roman" w:cs="Times New Roman"/>
                <w:sz w:val="20"/>
                <w:szCs w:val="20"/>
              </w:rPr>
              <w:t>358,000</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700BDC8">
            <w:r>
              <w:rPr>
                <w:rFonts w:ascii="Times New Roman" w:hAnsi="Times New Roman" w:eastAsia="Times New Roman" w:cs="Times New Roman"/>
                <w:sz w:val="20"/>
                <w:szCs w:val="20"/>
              </w:rPr>
              <w:t>384,000</w:t>
            </w:r>
          </w:p>
        </w:tc>
      </w:tr>
      <w:tr w14:paraId="63755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1B181B">
            <w:r>
              <w:rPr>
                <w:rFonts w:ascii="Times New Roman" w:hAnsi="Times New Roman" w:eastAsia="Times New Roman" w:cs="Times New Roman"/>
                <w:sz w:val="20"/>
                <w:szCs w:val="20"/>
              </w:rPr>
              <w:t>Fleet: VLCCs (vessels)</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EC8BBAD">
            <w:r>
              <w:rPr>
                <w:rFonts w:ascii="Times New Roman" w:hAnsi="Times New Roman" w:eastAsia="Times New Roman" w:cs="Times New Roman"/>
                <w:sz w:val="20"/>
                <w:szCs w:val="20"/>
              </w:rPr>
              <w:t>9</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557935">
            <w:r>
              <w:rPr>
                <w:rFonts w:ascii="Times New Roman" w:hAnsi="Times New Roman" w:eastAsia="Times New Roman" w:cs="Times New Roman"/>
                <w:sz w:val="20"/>
                <w:szCs w:val="20"/>
              </w:rPr>
              <w:t>10</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664225">
            <w:r>
              <w:rPr>
                <w:rFonts w:ascii="Times New Roman" w:hAnsi="Times New Roman" w:eastAsia="Times New Roman" w:cs="Times New Roman"/>
                <w:sz w:val="20"/>
                <w:szCs w:val="20"/>
              </w:rPr>
              <w:t>11</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40D71E">
            <w:r>
              <w:rPr>
                <w:rFonts w:ascii="Times New Roman" w:hAnsi="Times New Roman" w:eastAsia="Times New Roman" w:cs="Times New Roman"/>
                <w:sz w:val="20"/>
                <w:szCs w:val="20"/>
              </w:rPr>
              <w:t>11</w:t>
            </w:r>
          </w:p>
        </w:tc>
      </w:tr>
      <w:tr w14:paraId="22C7D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8F40464">
            <w:r>
              <w:rPr>
                <w:rFonts w:ascii="Times New Roman" w:hAnsi="Times New Roman" w:eastAsia="Times New Roman" w:cs="Times New Roman"/>
                <w:sz w:val="20"/>
                <w:szCs w:val="20"/>
              </w:rPr>
              <w:t>Fleet: LNG carriers (vessels)</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EE50DF3">
            <w:r>
              <w:rPr>
                <w:rFonts w:ascii="Times New Roman" w:hAnsi="Times New Roman" w:eastAsia="Times New Roman" w:cs="Times New Roman"/>
                <w:sz w:val="20"/>
                <w:szCs w:val="20"/>
              </w:rPr>
              <w:t>8</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9CA5465">
            <w:r>
              <w:rPr>
                <w:rFonts w:ascii="Times New Roman" w:hAnsi="Times New Roman" w:eastAsia="Times New Roman" w:cs="Times New Roman"/>
                <w:sz w:val="20"/>
                <w:szCs w:val="20"/>
              </w:rPr>
              <w:t>9</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16ACED1">
            <w:r>
              <w:rPr>
                <w:rFonts w:ascii="Times New Roman" w:hAnsi="Times New Roman" w:eastAsia="Times New Roman" w:cs="Times New Roman"/>
                <w:sz w:val="20"/>
                <w:szCs w:val="20"/>
              </w:rPr>
              <w:t>10</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9B196B0">
            <w:r>
              <w:rPr>
                <w:rFonts w:ascii="Times New Roman" w:hAnsi="Times New Roman" w:eastAsia="Times New Roman" w:cs="Times New Roman"/>
                <w:sz w:val="20"/>
                <w:szCs w:val="20"/>
              </w:rPr>
              <w:t>10</w:t>
            </w:r>
          </w:p>
        </w:tc>
      </w:tr>
      <w:tr w14:paraId="61F9B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DB6CC42">
            <w:r>
              <w:rPr>
                <w:rFonts w:ascii="Times New Roman" w:hAnsi="Times New Roman" w:eastAsia="Times New Roman" w:cs="Times New Roman"/>
                <w:sz w:val="20"/>
                <w:szCs w:val="20"/>
              </w:rPr>
              <w:t>Total Fleet DWT (million)</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FE8DD6">
            <w:r>
              <w:rPr>
                <w:rFonts w:ascii="Times New Roman" w:hAnsi="Times New Roman" w:eastAsia="Times New Roman" w:cs="Times New Roman"/>
                <w:sz w:val="20"/>
                <w:szCs w:val="20"/>
              </w:rPr>
              <w:t>6.8</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A3B6E3C">
            <w:r>
              <w:rPr>
                <w:rFonts w:ascii="Times New Roman" w:hAnsi="Times New Roman" w:eastAsia="Times New Roman" w:cs="Times New Roman"/>
                <w:sz w:val="20"/>
                <w:szCs w:val="20"/>
              </w:rPr>
              <w:t>7.4</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8A1EDF">
            <w:r>
              <w:rPr>
                <w:rFonts w:ascii="Times New Roman" w:hAnsi="Times New Roman" w:eastAsia="Times New Roman" w:cs="Times New Roman"/>
                <w:sz w:val="20"/>
                <w:szCs w:val="20"/>
              </w:rPr>
              <w:t>8.0</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8DACD5B">
            <w:r>
              <w:rPr>
                <w:rFonts w:ascii="Times New Roman" w:hAnsi="Times New Roman" w:eastAsia="Times New Roman" w:cs="Times New Roman"/>
                <w:sz w:val="20"/>
                <w:szCs w:val="20"/>
              </w:rPr>
              <w:t>8.4</w:t>
            </w:r>
          </w:p>
        </w:tc>
      </w:tr>
      <w:tr w14:paraId="769E1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B661F30">
            <w:r>
              <w:rPr>
                <w:rFonts w:ascii="Times New Roman" w:hAnsi="Times New Roman" w:eastAsia="Times New Roman" w:cs="Times New Roman"/>
                <w:sz w:val="20"/>
                <w:szCs w:val="20"/>
              </w:rPr>
              <w:t>Net Debt / EBITDA (×)</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CAB3C1E">
            <w:r>
              <w:rPr>
                <w:rFonts w:ascii="Times New Roman" w:hAnsi="Times New Roman" w:eastAsia="Times New Roman" w:cs="Times New Roman"/>
                <w:sz w:val="20"/>
                <w:szCs w:val="20"/>
              </w:rPr>
              <w:t>2.8×</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57E039D">
            <w:r>
              <w:rPr>
                <w:rFonts w:ascii="Times New Roman" w:hAnsi="Times New Roman" w:eastAsia="Times New Roman" w:cs="Times New Roman"/>
                <w:sz w:val="20"/>
                <w:szCs w:val="20"/>
              </w:rPr>
              <w:t>2.4×</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60DA075">
            <w:r>
              <w:rPr>
                <w:rFonts w:ascii="Times New Roman" w:hAnsi="Times New Roman" w:eastAsia="Times New Roman" w:cs="Times New Roman"/>
                <w:sz w:val="20"/>
                <w:szCs w:val="20"/>
              </w:rPr>
              <w:t>2.2×</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0BA8B70">
            <w:r>
              <w:rPr>
                <w:rFonts w:ascii="Times New Roman" w:hAnsi="Times New Roman" w:eastAsia="Times New Roman" w:cs="Times New Roman"/>
                <w:sz w:val="20"/>
                <w:szCs w:val="20"/>
              </w:rPr>
              <w:t>2.1×</w:t>
            </w:r>
          </w:p>
        </w:tc>
      </w:tr>
      <w:tr w14:paraId="557A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289BADB">
            <w:r>
              <w:rPr>
                <w:rFonts w:ascii="Times New Roman" w:hAnsi="Times New Roman" w:eastAsia="Times New Roman" w:cs="Times New Roman"/>
                <w:sz w:val="20"/>
                <w:szCs w:val="20"/>
              </w:rPr>
              <w:t>Hormuz corridor revenue (USD million)</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BFDE5D6">
            <w:r>
              <w:rPr>
                <w:rFonts w:ascii="Times New Roman" w:hAnsi="Times New Roman" w:eastAsia="Times New Roman" w:cs="Times New Roman"/>
                <w:sz w:val="20"/>
                <w:szCs w:val="20"/>
              </w:rPr>
              <w:t>$310</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076F64">
            <w:r>
              <w:rPr>
                <w:rFonts w:ascii="Times New Roman" w:hAnsi="Times New Roman" w:eastAsia="Times New Roman" w:cs="Times New Roman"/>
                <w:sz w:val="20"/>
                <w:szCs w:val="20"/>
              </w:rPr>
              <w:t>$378</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ED553C">
            <w:r>
              <w:rPr>
                <w:rFonts w:ascii="Times New Roman" w:hAnsi="Times New Roman" w:eastAsia="Times New Roman" w:cs="Times New Roman"/>
                <w:sz w:val="20"/>
                <w:szCs w:val="20"/>
              </w:rPr>
              <w:t>$422</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F56229">
            <w:r>
              <w:rPr>
                <w:rFonts w:ascii="Times New Roman" w:hAnsi="Times New Roman" w:eastAsia="Times New Roman" w:cs="Times New Roman"/>
                <w:sz w:val="20"/>
                <w:szCs w:val="20"/>
              </w:rPr>
              <w:t>$445</w:t>
            </w:r>
          </w:p>
        </w:tc>
      </w:tr>
      <w:tr w14:paraId="38BC1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D821846">
            <w:r>
              <w:rPr>
                <w:rFonts w:ascii="Times New Roman" w:hAnsi="Times New Roman" w:eastAsia="Times New Roman" w:cs="Times New Roman"/>
                <w:sz w:val="20"/>
                <w:szCs w:val="20"/>
              </w:rPr>
              <w:t>Hormuz revenue as % of group</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E0CF5DD">
            <w:r>
              <w:rPr>
                <w:rFonts w:ascii="Times New Roman" w:hAnsi="Times New Roman" w:eastAsia="Times New Roman" w:cs="Times New Roman"/>
                <w:sz w:val="20"/>
                <w:szCs w:val="20"/>
              </w:rPr>
              <w:t>26%</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22878FE">
            <w:r>
              <w:rPr>
                <w:rFonts w:ascii="Times New Roman" w:hAnsi="Times New Roman" w:eastAsia="Times New Roman" w:cs="Times New Roman"/>
                <w:sz w:val="20"/>
                <w:szCs w:val="20"/>
              </w:rPr>
              <w:t>25%</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288237A">
            <w:r>
              <w:rPr>
                <w:rFonts w:ascii="Times New Roman" w:hAnsi="Times New Roman" w:eastAsia="Times New Roman" w:cs="Times New Roman"/>
                <w:sz w:val="20"/>
                <w:szCs w:val="20"/>
              </w:rPr>
              <w:t>23%</w:t>
            </w:r>
          </w:p>
        </w:tc>
        <w:tc>
          <w:tcPr>
            <w:tcW w:w="164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536FB7B">
            <w:r>
              <w:rPr>
                <w:rFonts w:ascii="Times New Roman" w:hAnsi="Times New Roman" w:eastAsia="Times New Roman" w:cs="Times New Roman"/>
                <w:sz w:val="20"/>
                <w:szCs w:val="20"/>
              </w:rPr>
              <w:t>21%</w:t>
            </w:r>
          </w:p>
        </w:tc>
      </w:tr>
    </w:tbl>
    <w:p w14:paraId="492B2524">
      <w:pPr>
        <w:spacing w:before="60" w:after="240"/>
      </w:pPr>
      <w:r>
        <w:rPr>
          <w:rFonts w:ascii="Arial" w:hAnsi="Arial" w:eastAsia="Arial" w:cs="Arial"/>
          <w:i/>
          <w:iCs/>
          <w:color w:val="888888"/>
          <w:sz w:val="18"/>
          <w:szCs w:val="18"/>
        </w:rPr>
        <w:t>Source: NordFleet Shipping A/S Annual Reports 2022–2025 (illustrative company). Hormuz revenue share based on author route analysis. USD/DKK conversion at approximately 6.95–6.97 for 2025 rate.</w:t>
      </w:r>
    </w:p>
    <w:p w14:paraId="509262E8">
      <w:pPr>
        <w:spacing w:before="0" w:after="80"/>
      </w:pPr>
    </w:p>
    <w:p w14:paraId="79C96954">
      <w:pPr>
        <w:spacing w:before="480" w:after="120"/>
      </w:pPr>
      <w:r>
        <w:rPr>
          <w:rFonts w:ascii="Arial" w:hAnsi="Arial" w:eastAsia="Arial" w:cs="Arial"/>
          <w:b/>
          <w:bCs/>
          <w:color w:val="2C3E50"/>
          <w:sz w:val="22"/>
          <w:szCs w:val="22"/>
        </w:rPr>
        <w:t>Exhibit 2: Strait of Hormuz. Strategic Geography and Alternative Routes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600"/>
        <w:gridCol w:w="2200"/>
        <w:gridCol w:w="2960"/>
      </w:tblGrid>
      <w:tr w14:paraId="7D9E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37B1FAF8">
            <w:r>
              <w:rPr>
                <w:rFonts w:ascii="Arial" w:hAnsi="Arial" w:eastAsia="Arial" w:cs="Arial"/>
                <w:b/>
                <w:bCs/>
                <w:color w:val="FFFFFF"/>
                <w:sz w:val="20"/>
                <w:szCs w:val="20"/>
              </w:rPr>
              <w:t>Route / Asset</w:t>
            </w:r>
          </w:p>
        </w:tc>
        <w:tc>
          <w:tcPr>
            <w:tcW w:w="1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691C6209">
            <w:r>
              <w:rPr>
                <w:rFonts w:ascii="Arial" w:hAnsi="Arial" w:eastAsia="Arial" w:cs="Arial"/>
                <w:b/>
                <w:bCs/>
                <w:color w:val="FFFFFF"/>
                <w:sz w:val="20"/>
                <w:szCs w:val="20"/>
              </w:rPr>
              <w:t>Capacity (mb/d)</w:t>
            </w:r>
          </w:p>
        </w:tc>
        <w:tc>
          <w:tcPr>
            <w:tcW w:w="22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12C05EF8">
            <w:r>
              <w:rPr>
                <w:rFonts w:ascii="Arial" w:hAnsi="Arial" w:eastAsia="Arial" w:cs="Arial"/>
                <w:b/>
                <w:bCs/>
                <w:color w:val="FFFFFF"/>
                <w:sz w:val="20"/>
                <w:szCs w:val="20"/>
              </w:rPr>
              <w:t>Countries Served</w:t>
            </w:r>
          </w:p>
        </w:tc>
        <w:tc>
          <w:tcPr>
            <w:tcW w:w="29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59F4C793">
            <w:r>
              <w:rPr>
                <w:rFonts w:ascii="Arial" w:hAnsi="Arial" w:eastAsia="Arial" w:cs="Arial"/>
                <w:b/>
                <w:bCs/>
                <w:color w:val="FFFFFF"/>
                <w:sz w:val="20"/>
                <w:szCs w:val="20"/>
              </w:rPr>
              <w:t>Status March 2026</w:t>
            </w:r>
          </w:p>
        </w:tc>
      </w:tr>
      <w:tr w14:paraId="3AD72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5F1C588">
            <w:r>
              <w:rPr>
                <w:rFonts w:ascii="Times New Roman" w:hAnsi="Times New Roman" w:eastAsia="Times New Roman" w:cs="Times New Roman"/>
                <w:sz w:val="20"/>
                <w:szCs w:val="20"/>
              </w:rPr>
              <w:t>Strait of Hormuz (pre-closure)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B6D658D">
            <w:r>
              <w:rPr>
                <w:rFonts w:ascii="Times New Roman" w:hAnsi="Times New Roman" w:eastAsia="Times New Roman" w:cs="Times New Roman"/>
                <w:sz w:val="20"/>
                <w:szCs w:val="20"/>
              </w:rPr>
              <w:t>~20.0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7E21BAE">
            <w:r>
              <w:rPr>
                <w:rFonts w:ascii="Times New Roman" w:hAnsi="Times New Roman" w:eastAsia="Times New Roman" w:cs="Times New Roman"/>
                <w:sz w:val="20"/>
                <w:szCs w:val="20"/>
              </w:rPr>
              <w:t>Saudi Arabia, Iraq, UAE, Kuwait, Qatar, Iran</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7DBD50F">
            <w:r>
              <w:rPr>
                <w:rFonts w:ascii="Times New Roman" w:hAnsi="Times New Roman" w:eastAsia="Times New Roman" w:cs="Times New Roman"/>
                <w:sz w:val="20"/>
                <w:szCs w:val="20"/>
              </w:rPr>
              <w:t>CLOSED: IRGC blockade from Feb 28, 2026</w:t>
            </w:r>
          </w:p>
        </w:tc>
      </w:tr>
      <w:tr w14:paraId="5B2E1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322A328">
            <w:r>
              <w:rPr>
                <w:rFonts w:ascii="Times New Roman" w:hAnsi="Times New Roman" w:eastAsia="Times New Roman" w:cs="Times New Roman"/>
                <w:sz w:val="20"/>
                <w:szCs w:val="20"/>
              </w:rPr>
              <w:t>Saudi East-West Pipeline (Petroline)</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E76AF26">
            <w:r>
              <w:rPr>
                <w:rFonts w:ascii="Times New Roman" w:hAnsi="Times New Roman" w:eastAsia="Times New Roman" w:cs="Times New Roman"/>
                <w:sz w:val="20"/>
                <w:szCs w:val="20"/>
              </w:rPr>
              <w:t>~5.0</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B611BFB">
            <w:r>
              <w:rPr>
                <w:rFonts w:ascii="Times New Roman" w:hAnsi="Times New Roman" w:eastAsia="Times New Roman" w:cs="Times New Roman"/>
                <w:sz w:val="20"/>
                <w:szCs w:val="20"/>
              </w:rPr>
              <w:t>Saudi Arabia only</w:t>
            </w:r>
          </w:p>
        </w:tc>
        <w:tc>
          <w:tcPr>
            <w:tcW w:w="29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48E012B">
            <w:r>
              <w:rPr>
                <w:rFonts w:ascii="Times New Roman" w:hAnsi="Times New Roman" w:eastAsia="Times New Roman" w:cs="Times New Roman"/>
                <w:sz w:val="20"/>
                <w:szCs w:val="20"/>
              </w:rPr>
              <w:t>Operational, limited capacity</w:t>
            </w:r>
          </w:p>
        </w:tc>
      </w:tr>
      <w:tr w14:paraId="02FC0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40F1EA3">
            <w:r>
              <w:rPr>
                <w:rFonts w:ascii="Times New Roman" w:hAnsi="Times New Roman" w:eastAsia="Times New Roman" w:cs="Times New Roman"/>
                <w:sz w:val="20"/>
                <w:szCs w:val="20"/>
              </w:rPr>
              <w:t>UAE Abu Dhabi Crude Oil Pipeline (ADCOP)</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25C4DC">
            <w:r>
              <w:rPr>
                <w:rFonts w:ascii="Times New Roman" w:hAnsi="Times New Roman" w:eastAsia="Times New Roman" w:cs="Times New Roman"/>
                <w:sz w:val="20"/>
                <w:szCs w:val="20"/>
              </w:rPr>
              <w:t>~1.5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5A862B">
            <w:r>
              <w:rPr>
                <w:rFonts w:ascii="Times New Roman" w:hAnsi="Times New Roman" w:eastAsia="Times New Roman" w:cs="Times New Roman"/>
                <w:sz w:val="20"/>
                <w:szCs w:val="20"/>
              </w:rPr>
              <w:t>UAE only</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0863D3">
            <w:r>
              <w:rPr>
                <w:rFonts w:ascii="Times New Roman" w:hAnsi="Times New Roman" w:eastAsia="Times New Roman" w:cs="Times New Roman"/>
                <w:sz w:val="20"/>
                <w:szCs w:val="20"/>
              </w:rPr>
              <w:t>Operational, limited capacity</w:t>
            </w:r>
          </w:p>
        </w:tc>
      </w:tr>
      <w:tr w14:paraId="5365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E045ACB">
            <w:r>
              <w:rPr>
                <w:rFonts w:ascii="Times New Roman" w:hAnsi="Times New Roman" w:eastAsia="Times New Roman" w:cs="Times New Roman"/>
                <w:sz w:val="20"/>
                <w:szCs w:val="20"/>
              </w:rPr>
              <w:t>Combined pipeline bypass (max)</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979DC58">
            <w:r>
              <w:rPr>
                <w:rFonts w:ascii="Times New Roman" w:hAnsi="Times New Roman" w:eastAsia="Times New Roman" w:cs="Times New Roman"/>
                <w:sz w:val="20"/>
                <w:szCs w:val="20"/>
              </w:rPr>
              <w:t>~6.5</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D87DE91">
            <w:r>
              <w:rPr>
                <w:rFonts w:ascii="Times New Roman" w:hAnsi="Times New Roman" w:eastAsia="Times New Roman" w:cs="Times New Roman"/>
                <w:sz w:val="20"/>
                <w:szCs w:val="20"/>
              </w:rPr>
              <w:t>Saudi Arabia + UAE only</w:t>
            </w:r>
          </w:p>
        </w:tc>
        <w:tc>
          <w:tcPr>
            <w:tcW w:w="29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AC91B20">
            <w:r>
              <w:rPr>
                <w:rFonts w:ascii="Times New Roman" w:hAnsi="Times New Roman" w:eastAsia="Times New Roman" w:cs="Times New Roman"/>
                <w:sz w:val="20"/>
                <w:szCs w:val="20"/>
              </w:rPr>
              <w:t>~32% of pre-closure volume</w:t>
            </w:r>
          </w:p>
        </w:tc>
      </w:tr>
      <w:tr w14:paraId="767F5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5A92CA">
            <w:r>
              <w:rPr>
                <w:rFonts w:ascii="Times New Roman" w:hAnsi="Times New Roman" w:eastAsia="Times New Roman" w:cs="Times New Roman"/>
                <w:sz w:val="20"/>
                <w:szCs w:val="20"/>
              </w:rPr>
              <w:t>Unbypassable gap (est.)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F566CA5">
            <w:r>
              <w:rPr>
                <w:rFonts w:ascii="Times New Roman" w:hAnsi="Times New Roman" w:eastAsia="Times New Roman" w:cs="Times New Roman"/>
                <w:sz w:val="20"/>
                <w:szCs w:val="20"/>
              </w:rPr>
              <w:t>~13.5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83F789">
            <w:r>
              <w:rPr>
                <w:rFonts w:ascii="Times New Roman" w:hAnsi="Times New Roman" w:eastAsia="Times New Roman" w:cs="Times New Roman"/>
                <w:sz w:val="20"/>
                <w:szCs w:val="20"/>
              </w:rPr>
              <w:t>Iraq, Kuwait, Qatar, Iran, other Gulf</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A4B972B">
            <w:r>
              <w:rPr>
                <w:rFonts w:ascii="Times New Roman" w:hAnsi="Times New Roman" w:eastAsia="Times New Roman" w:cs="Times New Roman"/>
                <w:sz w:val="20"/>
                <w:szCs w:val="20"/>
              </w:rPr>
              <w:t>No alternative exists</w:t>
            </w:r>
          </w:p>
        </w:tc>
      </w:tr>
      <w:tr w14:paraId="0ED6E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A19BC62">
            <w:r>
              <w:rPr>
                <w:rFonts w:ascii="Times New Roman" w:hAnsi="Times New Roman" w:eastAsia="Times New Roman" w:cs="Times New Roman"/>
                <w:sz w:val="20"/>
                <w:szCs w:val="20"/>
              </w:rPr>
              <w:t>Qatar LNG exports (annual, 77 Mt)</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498B1F9">
            <w:r>
              <w:rPr>
                <w:rFonts w:ascii="Times New Roman" w:hAnsi="Times New Roman" w:eastAsia="Times New Roman" w:cs="Times New Roman"/>
                <w:sz w:val="20"/>
                <w:szCs w:val="20"/>
              </w:rPr>
              <w:t>Entire volume</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FFE7CB0">
            <w:r>
              <w:rPr>
                <w:rFonts w:ascii="Times New Roman" w:hAnsi="Times New Roman" w:eastAsia="Times New Roman" w:cs="Times New Roman"/>
                <w:sz w:val="20"/>
                <w:szCs w:val="20"/>
              </w:rPr>
              <w:t>Asia, Europe</w:t>
            </w:r>
          </w:p>
        </w:tc>
        <w:tc>
          <w:tcPr>
            <w:tcW w:w="29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C5508A7">
            <w:r>
              <w:rPr>
                <w:rFonts w:ascii="Times New Roman" w:hAnsi="Times New Roman" w:eastAsia="Times New Roman" w:cs="Times New Roman"/>
                <w:sz w:val="20"/>
                <w:szCs w:val="20"/>
              </w:rPr>
              <w:t>Force majeure declared March 4, 2026</w:t>
            </w:r>
          </w:p>
        </w:tc>
      </w:tr>
    </w:tbl>
    <w:p w14:paraId="67B29D3B">
      <w:pPr>
        <w:spacing w:before="60" w:after="240"/>
      </w:pPr>
      <w:r>
        <w:rPr>
          <w:rFonts w:ascii="Arial" w:hAnsi="Arial" w:eastAsia="Arial" w:cs="Arial"/>
          <w:i/>
          <w:iCs/>
          <w:color w:val="888888"/>
          <w:sz w:val="18"/>
          <w:szCs w:val="18"/>
        </w:rPr>
        <w:t>Source: U.S. Energy Information Administration, World Oil Transit Chokepoints (2026 edition); IEA Oil Market Report April 2026; QatarEnergy press releases March 2026.</w:t>
      </w:r>
    </w:p>
    <w:p w14:paraId="6891F762">
      <w:pPr>
        <w:spacing w:before="0" w:after="80"/>
      </w:pPr>
    </w:p>
    <w:p w14:paraId="20FFFB07">
      <w:pPr>
        <w:spacing w:before="480" w:after="120"/>
      </w:pPr>
      <w:r>
        <w:rPr>
          <w:rFonts w:ascii="Arial" w:hAnsi="Arial" w:eastAsia="Arial" w:cs="Arial"/>
          <w:b/>
          <w:bCs/>
          <w:color w:val="2C3E50"/>
          <w:sz w:val="22"/>
          <w:szCs w:val="22"/>
        </w:rPr>
        <w:t>Exhibit 3: Global Commodity Price Impact. Strait of Hormuz Closure, February–April 2026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58"/>
        <w:gridCol w:w="1548"/>
        <w:gridCol w:w="1645"/>
        <w:gridCol w:w="1207"/>
        <w:gridCol w:w="3102"/>
      </w:tblGrid>
      <w:tr w14:paraId="14E0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330AAC46">
            <w:r>
              <w:rPr>
                <w:rFonts w:ascii="Arial" w:hAnsi="Arial" w:eastAsia="Arial" w:cs="Arial"/>
                <w:b/>
                <w:bCs/>
                <w:color w:val="FFFFFF"/>
                <w:sz w:val="20"/>
                <w:szCs w:val="20"/>
              </w:rPr>
              <w:t>Commodity</w:t>
            </w:r>
          </w:p>
        </w:tc>
        <w:tc>
          <w:tcPr>
            <w:tcW w:w="1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6CBC277C">
            <w:r>
              <w:rPr>
                <w:rFonts w:ascii="Arial" w:hAnsi="Arial" w:eastAsia="Arial" w:cs="Arial"/>
                <w:b/>
                <w:bCs/>
                <w:color w:val="FFFFFF"/>
                <w:sz w:val="20"/>
                <w:szCs w:val="20"/>
              </w:rPr>
              <w:t>Pre-Crisis Price</w:t>
            </w:r>
          </w:p>
        </w:tc>
        <w:tc>
          <w:tcPr>
            <w:tcW w:w="17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135E3D3A">
            <w:r>
              <w:rPr>
                <w:rFonts w:ascii="Arial" w:hAnsi="Arial" w:eastAsia="Arial" w:cs="Arial"/>
                <w:b/>
                <w:bCs/>
                <w:color w:val="FFFFFF"/>
                <w:sz w:val="20"/>
                <w:szCs w:val="20"/>
              </w:rPr>
              <w:t>Peak Crisis Price</w:t>
            </w:r>
          </w:p>
        </w:tc>
        <w:tc>
          <w:tcPr>
            <w:tcW w:w="9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12602899">
            <w:r>
              <w:rPr>
                <w:rFonts w:ascii="Arial" w:hAnsi="Arial" w:eastAsia="Arial" w:cs="Arial"/>
                <w:b/>
                <w:bCs/>
                <w:color w:val="FFFFFF"/>
                <w:sz w:val="20"/>
                <w:szCs w:val="20"/>
              </w:rPr>
              <w:t>Change</w:t>
            </w:r>
          </w:p>
        </w:tc>
        <w:tc>
          <w:tcPr>
            <w:tcW w:w="32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5FAC3A98">
            <w:r>
              <w:rPr>
                <w:rFonts w:ascii="Arial" w:hAnsi="Arial" w:eastAsia="Arial" w:cs="Arial"/>
                <w:b/>
                <w:bCs/>
                <w:color w:val="FFFFFF"/>
                <w:sz w:val="20"/>
                <w:szCs w:val="20"/>
              </w:rPr>
              <w:t>Key Driver</w:t>
            </w:r>
          </w:p>
        </w:tc>
      </w:tr>
      <w:tr w14:paraId="16DEE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C595E8F">
            <w:r>
              <w:rPr>
                <w:rFonts w:ascii="Times New Roman" w:hAnsi="Times New Roman" w:eastAsia="Times New Roman" w:cs="Times New Roman"/>
                <w:sz w:val="20"/>
                <w:szCs w:val="20"/>
              </w:rPr>
              <w:t>Brent Crude Oil ($/bbl)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826A7D">
            <w:r>
              <w:rPr>
                <w:rFonts w:ascii="Times New Roman" w:hAnsi="Times New Roman" w:eastAsia="Times New Roman" w:cs="Times New Roman"/>
                <w:sz w:val="20"/>
                <w:szCs w:val="20"/>
              </w:rPr>
              <w:t>$72 (Feb 28)</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B0A36B">
            <w:r>
              <w:rPr>
                <w:rFonts w:ascii="Times New Roman" w:hAnsi="Times New Roman" w:eastAsia="Times New Roman" w:cs="Times New Roman"/>
                <w:sz w:val="20"/>
                <w:szCs w:val="20"/>
              </w:rPr>
              <w:t>$126 (late Mar)</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293E5D">
            <w:r>
              <w:rPr>
                <w:rFonts w:ascii="Times New Roman" w:hAnsi="Times New Roman" w:eastAsia="Times New Roman" w:cs="Times New Roman"/>
                <w:sz w:val="20"/>
                <w:szCs w:val="20"/>
              </w:rPr>
              <w:t>+75%</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88FD450">
            <w:r>
              <w:rPr>
                <w:rFonts w:ascii="Times New Roman" w:hAnsi="Times New Roman" w:eastAsia="Times New Roman" w:cs="Times New Roman"/>
                <w:sz w:val="20"/>
                <w:szCs w:val="20"/>
              </w:rPr>
              <w:t>Loss of 10.1 mb/d Gulf supply (IEA)</w:t>
            </w:r>
          </w:p>
        </w:tc>
      </w:tr>
      <w:tr w14:paraId="1CB3D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8578F22">
            <w:r>
              <w:rPr>
                <w:rFonts w:ascii="Times New Roman" w:hAnsi="Times New Roman" w:eastAsia="Times New Roman" w:cs="Times New Roman"/>
                <w:sz w:val="20"/>
                <w:szCs w:val="20"/>
              </w:rPr>
              <w:t>Physical Brent 'Dated' ($/bbl)</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BA2B4EA">
            <w:r>
              <w:rPr>
                <w:rFonts w:ascii="Times New Roman" w:hAnsi="Times New Roman" w:eastAsia="Times New Roman" w:cs="Times New Roman"/>
                <w:sz w:val="20"/>
                <w:szCs w:val="20"/>
              </w:rPr>
              <w:t>$72</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618B73F">
            <w:r>
              <w:rPr>
                <w:rFonts w:ascii="Times New Roman" w:hAnsi="Times New Roman" w:eastAsia="Times New Roman" w:cs="Times New Roman"/>
                <w:sz w:val="20"/>
                <w:szCs w:val="20"/>
              </w:rPr>
              <w:t>~$150 (brief peak)</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3C54513">
            <w:r>
              <w:rPr>
                <w:rFonts w:ascii="Times New Roman" w:hAnsi="Times New Roman" w:eastAsia="Times New Roman" w:cs="Times New Roman"/>
                <w:sz w:val="20"/>
                <w:szCs w:val="20"/>
              </w:rPr>
              <w:t>&gt;+100%</w:t>
            </w:r>
          </w:p>
        </w:tc>
        <w:tc>
          <w:tcPr>
            <w:tcW w:w="32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BFF05E4">
            <w:r>
              <w:rPr>
                <w:rFonts w:ascii="Times New Roman" w:hAnsi="Times New Roman" w:eastAsia="Times New Roman" w:cs="Times New Roman"/>
                <w:sz w:val="20"/>
                <w:szCs w:val="20"/>
              </w:rPr>
              <w:t>Physical scarcity vs. futures divergence</w:t>
            </w:r>
          </w:p>
        </w:tc>
      </w:tr>
      <w:tr w14:paraId="7C743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6266D8">
            <w:r>
              <w:rPr>
                <w:rFonts w:ascii="Times New Roman" w:hAnsi="Times New Roman" w:eastAsia="Times New Roman" w:cs="Times New Roman"/>
                <w:sz w:val="20"/>
                <w:szCs w:val="20"/>
              </w:rPr>
              <w:t>European TTF Gas (€/MWh)</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37A8DB">
            <w:r>
              <w:rPr>
                <w:rFonts w:ascii="Times New Roman" w:hAnsi="Times New Roman" w:eastAsia="Times New Roman" w:cs="Times New Roman"/>
                <w:sz w:val="20"/>
                <w:szCs w:val="20"/>
              </w:rPr>
              <w:t>€30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F359B2C">
            <w:r>
              <w:rPr>
                <w:rFonts w:ascii="Times New Roman" w:hAnsi="Times New Roman" w:eastAsia="Times New Roman" w:cs="Times New Roman"/>
                <w:sz w:val="20"/>
                <w:szCs w:val="20"/>
              </w:rPr>
              <w:t>€60+ (Mar 3)</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F54C860">
            <w:r>
              <w:rPr>
                <w:rFonts w:ascii="Times New Roman" w:hAnsi="Times New Roman" w:eastAsia="Times New Roman" w:cs="Times New Roman"/>
                <w:sz w:val="20"/>
                <w:szCs w:val="20"/>
              </w:rPr>
              <w:t>+100%</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3B6C99">
            <w:r>
              <w:rPr>
                <w:rFonts w:ascii="Times New Roman" w:hAnsi="Times New Roman" w:eastAsia="Times New Roman" w:cs="Times New Roman"/>
                <w:sz w:val="20"/>
                <w:szCs w:val="20"/>
              </w:rPr>
              <w:t>Qatar LNG force majeure; 30% EU storage</w:t>
            </w:r>
          </w:p>
        </w:tc>
      </w:tr>
      <w:tr w14:paraId="3D0C2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3D362EC">
            <w:r>
              <w:rPr>
                <w:rFonts w:ascii="Times New Roman" w:hAnsi="Times New Roman" w:eastAsia="Times New Roman" w:cs="Times New Roman"/>
                <w:sz w:val="20"/>
                <w:szCs w:val="20"/>
              </w:rPr>
              <w:t>Singapore Middle Distillates ($/bbl)</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DB3B65F">
            <w:r>
              <w:rPr>
                <w:rFonts w:ascii="Times New Roman" w:hAnsi="Times New Roman" w:eastAsia="Times New Roman" w:cs="Times New Roman"/>
                <w:sz w:val="20"/>
                <w:szCs w:val="20"/>
              </w:rPr>
              <w:t>~$95</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B681C22">
            <w:r>
              <w:rPr>
                <w:rFonts w:ascii="Times New Roman" w:hAnsi="Times New Roman" w:eastAsia="Times New Roman" w:cs="Times New Roman"/>
                <w:sz w:val="20"/>
                <w:szCs w:val="20"/>
              </w:rPr>
              <w:t>&gt;$290 (all-time high)</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FE86DFD">
            <w:r>
              <w:rPr>
                <w:rFonts w:ascii="Times New Roman" w:hAnsi="Times New Roman" w:eastAsia="Times New Roman" w:cs="Times New Roman"/>
                <w:sz w:val="20"/>
                <w:szCs w:val="20"/>
              </w:rPr>
              <w:t>&gt;+200%</w:t>
            </w:r>
          </w:p>
        </w:tc>
        <w:tc>
          <w:tcPr>
            <w:tcW w:w="32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577C73C">
            <w:r>
              <w:rPr>
                <w:rFonts w:ascii="Times New Roman" w:hAnsi="Times New Roman" w:eastAsia="Times New Roman" w:cs="Times New Roman"/>
                <w:sz w:val="20"/>
                <w:szCs w:val="20"/>
              </w:rPr>
              <w:t>Asian refinery feedstock shortage</w:t>
            </w:r>
          </w:p>
        </w:tc>
      </w:tr>
      <w:tr w14:paraId="0E351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41BF6CE">
            <w:r>
              <w:rPr>
                <w:rFonts w:ascii="Times New Roman" w:hAnsi="Times New Roman" w:eastAsia="Times New Roman" w:cs="Times New Roman"/>
                <w:sz w:val="20"/>
                <w:szCs w:val="20"/>
              </w:rPr>
              <w:t>Asian LNG Benchmark</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752A22">
            <w:r>
              <w:rPr>
                <w:rFonts w:ascii="Times New Roman" w:hAnsi="Times New Roman" w:eastAsia="Times New Roman" w:cs="Times New Roman"/>
                <w:sz w:val="20"/>
                <w:szCs w:val="20"/>
              </w:rPr>
              <w:t>Index 100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31D50A5">
            <w:r>
              <w:rPr>
                <w:rFonts w:ascii="Times New Roman" w:hAnsi="Times New Roman" w:eastAsia="Times New Roman" w:cs="Times New Roman"/>
                <w:sz w:val="20"/>
                <w:szCs w:val="20"/>
              </w:rPr>
              <w:t>Index 194 (end Mar)</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71596A9">
            <w:r>
              <w:rPr>
                <w:rFonts w:ascii="Times New Roman" w:hAnsi="Times New Roman" w:eastAsia="Times New Roman" w:cs="Times New Roman"/>
                <w:sz w:val="20"/>
                <w:szCs w:val="20"/>
              </w:rPr>
              <w:t>+94%</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7752F4B">
            <w:r>
              <w:rPr>
                <w:rFonts w:ascii="Times New Roman" w:hAnsi="Times New Roman" w:eastAsia="Times New Roman" w:cs="Times New Roman"/>
                <w:sz w:val="20"/>
                <w:szCs w:val="20"/>
              </w:rPr>
              <w:t>Sharpest single-month move in a decade</w:t>
            </w:r>
          </w:p>
        </w:tc>
      </w:tr>
      <w:tr w14:paraId="173DF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4DC04E2">
            <w:r>
              <w:rPr>
                <w:rFonts w:ascii="Times New Roman" w:hAnsi="Times New Roman" w:eastAsia="Times New Roman" w:cs="Times New Roman"/>
                <w:sz w:val="20"/>
                <w:szCs w:val="20"/>
              </w:rPr>
              <w:t>Aluminium (LME $/tonne)</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0D0C382">
            <w:r>
              <w:rPr>
                <w:rFonts w:ascii="Times New Roman" w:hAnsi="Times New Roman" w:eastAsia="Times New Roman" w:cs="Times New Roman"/>
                <w:sz w:val="20"/>
                <w:szCs w:val="20"/>
              </w:rPr>
              <w:t>~$2,550</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E4D9F09">
            <w:r>
              <w:rPr>
                <w:rFonts w:ascii="Times New Roman" w:hAnsi="Times New Roman" w:eastAsia="Times New Roman" w:cs="Times New Roman"/>
                <w:sz w:val="20"/>
                <w:szCs w:val="20"/>
              </w:rPr>
              <w:t>~$2,880 (+13% Q1)</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C023739">
            <w:r>
              <w:rPr>
                <w:rFonts w:ascii="Times New Roman" w:hAnsi="Times New Roman" w:eastAsia="Times New Roman" w:cs="Times New Roman"/>
                <w:sz w:val="20"/>
                <w:szCs w:val="20"/>
              </w:rPr>
              <w:t>+13%</w:t>
            </w:r>
          </w:p>
        </w:tc>
        <w:tc>
          <w:tcPr>
            <w:tcW w:w="32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BCCAEAE">
            <w:r>
              <w:rPr>
                <w:rFonts w:ascii="Times New Roman" w:hAnsi="Times New Roman" w:eastAsia="Times New Roman" w:cs="Times New Roman"/>
                <w:sz w:val="20"/>
                <w:szCs w:val="20"/>
              </w:rPr>
              <w:t>Gulf = 20% of global aluminium seaborne</w:t>
            </w:r>
          </w:p>
        </w:tc>
      </w:tr>
      <w:tr w14:paraId="0AC56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4A9792C">
            <w:r>
              <w:rPr>
                <w:rFonts w:ascii="Times New Roman" w:hAnsi="Times New Roman" w:eastAsia="Times New Roman" w:cs="Times New Roman"/>
                <w:sz w:val="20"/>
                <w:szCs w:val="20"/>
              </w:rPr>
              <w:t>Urea Fertiliser ($/tonne)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B545FA3">
            <w:r>
              <w:rPr>
                <w:rFonts w:ascii="Times New Roman" w:hAnsi="Times New Roman" w:eastAsia="Times New Roman" w:cs="Times New Roman"/>
                <w:sz w:val="20"/>
                <w:szCs w:val="20"/>
              </w:rPr>
              <w:t>~$290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472D31D">
            <w:r>
              <w:rPr>
                <w:rFonts w:ascii="Times New Roman" w:hAnsi="Times New Roman" w:eastAsia="Times New Roman" w:cs="Times New Roman"/>
                <w:sz w:val="20"/>
                <w:szCs w:val="20"/>
              </w:rPr>
              <w:t>&gt;$500 (est.)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E8D818">
            <w:r>
              <w:rPr>
                <w:rFonts w:ascii="Times New Roman" w:hAnsi="Times New Roman" w:eastAsia="Times New Roman" w:cs="Times New Roman"/>
                <w:sz w:val="20"/>
                <w:szCs w:val="20"/>
              </w:rPr>
              <w:t>+70%+</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FB2F112">
            <w:r>
              <w:rPr>
                <w:rFonts w:ascii="Times New Roman" w:hAnsi="Times New Roman" w:eastAsia="Times New Roman" w:cs="Times New Roman"/>
                <w:sz w:val="20"/>
                <w:szCs w:val="20"/>
              </w:rPr>
              <w:t>&gt;30% of world urea stranded</w:t>
            </w:r>
          </w:p>
        </w:tc>
      </w:tr>
      <w:tr w14:paraId="57CEF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5EBA2B7">
            <w:r>
              <w:rPr>
                <w:rFonts w:ascii="Times New Roman" w:hAnsi="Times New Roman" w:eastAsia="Times New Roman" w:cs="Times New Roman"/>
                <w:sz w:val="20"/>
                <w:szCs w:val="20"/>
              </w:rPr>
              <w:t>Helium (spot, $/Mcf)</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C8DE550">
            <w:r>
              <w:rPr>
                <w:rFonts w:ascii="Times New Roman" w:hAnsi="Times New Roman" w:eastAsia="Times New Roman" w:cs="Times New Roman"/>
                <w:sz w:val="20"/>
                <w:szCs w:val="20"/>
              </w:rPr>
              <w:t>~$280</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91D74FF">
            <w:r>
              <w:rPr>
                <w:rFonts w:ascii="Times New Roman" w:hAnsi="Times New Roman" w:eastAsia="Times New Roman" w:cs="Times New Roman"/>
                <w:sz w:val="20"/>
                <w:szCs w:val="20"/>
              </w:rPr>
              <w:t>Rationed, no market</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41325F2">
            <w:r>
              <w:rPr>
                <w:rFonts w:ascii="Times New Roman" w:hAnsi="Times New Roman" w:eastAsia="Times New Roman" w:cs="Times New Roman"/>
                <w:sz w:val="20"/>
                <w:szCs w:val="20"/>
              </w:rPr>
              <w:t>Unavailable</w:t>
            </w:r>
          </w:p>
        </w:tc>
        <w:tc>
          <w:tcPr>
            <w:tcW w:w="32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768B65B">
            <w:r>
              <w:rPr>
                <w:rFonts w:ascii="Times New Roman" w:hAnsi="Times New Roman" w:eastAsia="Times New Roman" w:cs="Times New Roman"/>
                <w:sz w:val="20"/>
                <w:szCs w:val="20"/>
              </w:rPr>
              <w:t>Qatar = world's largest exporter; no bypass</w:t>
            </w:r>
          </w:p>
        </w:tc>
      </w:tr>
      <w:tr w14:paraId="711D6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FA079B">
            <w:r>
              <w:rPr>
                <w:rFonts w:ascii="Times New Roman" w:hAnsi="Times New Roman" w:eastAsia="Times New Roman" w:cs="Times New Roman"/>
                <w:sz w:val="20"/>
                <w:szCs w:val="20"/>
              </w:rPr>
              <w:t>Global Container Freight (avg.)</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7A395F">
            <w:r>
              <w:rPr>
                <w:rFonts w:ascii="Times New Roman" w:hAnsi="Times New Roman" w:eastAsia="Times New Roman" w:cs="Times New Roman"/>
                <w:sz w:val="20"/>
                <w:szCs w:val="20"/>
              </w:rPr>
              <w:t>Index 100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E6E806">
            <w:r>
              <w:rPr>
                <w:rFonts w:ascii="Times New Roman" w:hAnsi="Times New Roman" w:eastAsia="Times New Roman" w:cs="Times New Roman"/>
                <w:sz w:val="20"/>
                <w:szCs w:val="20"/>
              </w:rPr>
              <w:t>Index 145 (est.)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02ACD8">
            <w:r>
              <w:rPr>
                <w:rFonts w:ascii="Times New Roman" w:hAnsi="Times New Roman" w:eastAsia="Times New Roman" w:cs="Times New Roman"/>
                <w:sz w:val="20"/>
                <w:szCs w:val="20"/>
              </w:rPr>
              <w:t>+45%</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14C0EC">
            <w:r>
              <w:rPr>
                <w:rFonts w:ascii="Times New Roman" w:hAnsi="Times New Roman" w:eastAsia="Times New Roman" w:cs="Times New Roman"/>
                <w:sz w:val="20"/>
                <w:szCs w:val="20"/>
              </w:rPr>
              <w:t>Rerouting via Cape of Good Hope (+14 days)</w:t>
            </w:r>
          </w:p>
        </w:tc>
      </w:tr>
    </w:tbl>
    <w:p w14:paraId="4D88F566">
      <w:pPr>
        <w:spacing w:before="60" w:after="240"/>
      </w:pPr>
      <w:r>
        <w:rPr>
          <w:rFonts w:ascii="Arial" w:hAnsi="Arial" w:eastAsia="Arial" w:cs="Arial"/>
          <w:i/>
          <w:iCs/>
          <w:color w:val="888888"/>
          <w:sz w:val="18"/>
          <w:szCs w:val="18"/>
        </w:rPr>
        <w:t>Source: World Bank Commodity Markets Outlook April 2026; IEA Oil Market Report April 2026; SolAbility Hormuz Economic Impact Model (Day 42, April 2026); Rystad Energy; Bloomberg commodity data.</w:t>
      </w:r>
    </w:p>
    <w:p w14:paraId="7C96B75A">
      <w:pPr>
        <w:spacing w:before="0" w:after="80"/>
      </w:pPr>
    </w:p>
    <w:p w14:paraId="08C03701">
      <w:pPr>
        <w:spacing w:before="480" w:after="120"/>
      </w:pPr>
      <w:r>
        <w:rPr>
          <w:rFonts w:ascii="Arial" w:hAnsi="Arial" w:eastAsia="Arial" w:cs="Arial"/>
          <w:b/>
          <w:bCs/>
          <w:color w:val="2C3E50"/>
          <w:sz w:val="22"/>
          <w:szCs w:val="22"/>
        </w:rPr>
        <w:t>Exhibit 4: NordFleet's Three Vessels. Decision Options as of March 5, 2026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600"/>
        <w:gridCol w:w="1600"/>
        <w:gridCol w:w="1600"/>
        <w:gridCol w:w="1600"/>
        <w:gridCol w:w="1660"/>
      </w:tblGrid>
      <w:tr w14:paraId="4475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3BD0AF2C">
            <w:r>
              <w:rPr>
                <w:rFonts w:ascii="Arial" w:hAnsi="Arial" w:eastAsia="Arial" w:cs="Arial"/>
                <w:b/>
                <w:bCs/>
                <w:color w:val="FFFFFF"/>
                <w:sz w:val="20"/>
                <w:szCs w:val="20"/>
              </w:rPr>
              <w:t>Vessel</w:t>
            </w:r>
          </w:p>
        </w:tc>
        <w:tc>
          <w:tcPr>
            <w:tcW w:w="1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29DD06BB">
            <w:r>
              <w:rPr>
                <w:rFonts w:ascii="Arial" w:hAnsi="Arial" w:eastAsia="Arial" w:cs="Arial"/>
                <w:b/>
                <w:bCs/>
                <w:color w:val="FFFFFF"/>
                <w:sz w:val="20"/>
                <w:szCs w:val="20"/>
              </w:rPr>
              <w:t>Situation</w:t>
            </w:r>
          </w:p>
        </w:tc>
        <w:tc>
          <w:tcPr>
            <w:tcW w:w="1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4D500197">
            <w:r>
              <w:rPr>
                <w:rFonts w:ascii="Arial" w:hAnsi="Arial" w:eastAsia="Arial" w:cs="Arial"/>
                <w:b/>
                <w:bCs/>
                <w:color w:val="FFFFFF"/>
                <w:sz w:val="20"/>
                <w:szCs w:val="20"/>
              </w:rPr>
              <w:t>Option A</w:t>
            </w:r>
          </w:p>
        </w:tc>
        <w:tc>
          <w:tcPr>
            <w:tcW w:w="1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2642C446">
            <w:r>
              <w:rPr>
                <w:rFonts w:ascii="Arial" w:hAnsi="Arial" w:eastAsia="Arial" w:cs="Arial"/>
                <w:b/>
                <w:bCs/>
                <w:color w:val="FFFFFF"/>
                <w:sz w:val="20"/>
                <w:szCs w:val="20"/>
              </w:rPr>
              <w:t>Option B</w:t>
            </w:r>
          </w:p>
        </w:tc>
        <w:tc>
          <w:tcPr>
            <w:tcW w:w="1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5D804D41">
            <w:r>
              <w:rPr>
                <w:rFonts w:ascii="Arial" w:hAnsi="Arial" w:eastAsia="Arial" w:cs="Arial"/>
                <w:b/>
                <w:bCs/>
                <w:color w:val="FFFFFF"/>
                <w:sz w:val="20"/>
                <w:szCs w:val="20"/>
              </w:rPr>
              <w:t>Option C</w:t>
            </w:r>
          </w:p>
        </w:tc>
        <w:tc>
          <w:tcPr>
            <w:tcW w:w="16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5DFE63B4">
            <w:r>
              <w:rPr>
                <w:rFonts w:ascii="Arial" w:hAnsi="Arial" w:eastAsia="Arial" w:cs="Arial"/>
                <w:b/>
                <w:bCs/>
                <w:color w:val="FFFFFF"/>
                <w:sz w:val="20"/>
                <w:szCs w:val="20"/>
              </w:rPr>
              <w:t>Key Risk</w:t>
            </w:r>
          </w:p>
        </w:tc>
      </w:tr>
      <w:tr w14:paraId="4A0B4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70475E8">
            <w:r>
              <w:rPr>
                <w:rFonts w:ascii="Times New Roman" w:hAnsi="Times New Roman" w:eastAsia="Times New Roman" w:cs="Times New Roman"/>
                <w:sz w:val="20"/>
                <w:szCs w:val="20"/>
              </w:rPr>
              <w:t>NordFleet Integrity</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2E886E1">
            <w:r>
              <w:rPr>
                <w:rFonts w:ascii="Times New Roman" w:hAnsi="Times New Roman" w:eastAsia="Times New Roman" w:cs="Times New Roman"/>
                <w:sz w:val="20"/>
                <w:szCs w:val="20"/>
              </w:rPr>
              <w:t>41nm from strait exit; 27 crew; $180M cargo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54173B6">
            <w:r>
              <w:rPr>
                <w:rFonts w:ascii="Times New Roman" w:hAnsi="Times New Roman" w:eastAsia="Times New Roman" w:cs="Times New Roman"/>
                <w:sz w:val="20"/>
                <w:szCs w:val="20"/>
              </w:rPr>
              <w:t>Continue transit, invoke UNCLOS Art.38 innocent passage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D2245C">
            <w:r>
              <w:rPr>
                <w:rFonts w:ascii="Times New Roman" w:hAnsi="Times New Roman" w:eastAsia="Times New Roman" w:cs="Times New Roman"/>
                <w:sz w:val="20"/>
                <w:szCs w:val="20"/>
              </w:rPr>
              <w:t>Shelter in Omani waters; await resolution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CF4F53">
            <w:r>
              <w:rPr>
                <w:rFonts w:ascii="Times New Roman" w:hAnsi="Times New Roman" w:eastAsia="Times New Roman" w:cs="Times New Roman"/>
                <w:sz w:val="20"/>
                <w:szCs w:val="20"/>
              </w:rPr>
              <w:t>Accept U.S. Navy escort (if offered)</w:t>
            </w:r>
          </w:p>
        </w:tc>
        <w:tc>
          <w:tcPr>
            <w:tcW w:w="1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169310C">
            <w:r>
              <w:rPr>
                <w:rFonts w:ascii="Times New Roman" w:hAnsi="Times New Roman" w:eastAsia="Times New Roman" w:cs="Times New Roman"/>
                <w:sz w:val="20"/>
                <w:szCs w:val="20"/>
              </w:rPr>
              <w:t>IRGC fired on vessel at 03:00 March 5. Active mine-laying confirmed March 10</w:t>
            </w:r>
          </w:p>
        </w:tc>
      </w:tr>
      <w:tr w14:paraId="64E93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AB461FA">
            <w:r>
              <w:rPr>
                <w:rFonts w:ascii="Times New Roman" w:hAnsi="Times New Roman" w:eastAsia="Times New Roman" w:cs="Times New Roman"/>
                <w:sz w:val="20"/>
                <w:szCs w:val="20"/>
              </w:rPr>
              <w:t>NordFleet Resolute</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0A2D2CE">
            <w:r>
              <w:rPr>
                <w:rFonts w:ascii="Times New Roman" w:hAnsi="Times New Roman" w:eastAsia="Times New Roman" w:cs="Times New Roman"/>
                <w:sz w:val="20"/>
                <w:szCs w:val="20"/>
              </w:rPr>
              <w:t>At anchor Jebel Ali; 14,000 TEU; $340M cargo</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AD337D2">
            <w:r>
              <w:rPr>
                <w:rFonts w:ascii="Times New Roman" w:hAnsi="Times New Roman" w:eastAsia="Times New Roman" w:cs="Times New Roman"/>
                <w:sz w:val="20"/>
                <w:szCs w:val="20"/>
              </w:rPr>
              <w:t>Discharge at Jebel Ali; overland via Sohar (+14 days)</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9D24F7A">
            <w:r>
              <w:rPr>
                <w:rFonts w:ascii="Times New Roman" w:hAnsi="Times New Roman" w:eastAsia="Times New Roman" w:cs="Times New Roman"/>
                <w:sz w:val="20"/>
                <w:szCs w:val="20"/>
              </w:rPr>
              <w:t>Attempt outbound strait transit with full cargo load</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FACF274">
            <w:r>
              <w:rPr>
                <w:rFonts w:ascii="Times New Roman" w:hAnsi="Times New Roman" w:eastAsia="Times New Roman" w:cs="Times New Roman"/>
                <w:sz w:val="20"/>
                <w:szCs w:val="20"/>
              </w:rPr>
              <w:t>Partial discharge; shelter until corridor re-opens</w:t>
            </w:r>
          </w:p>
        </w:tc>
        <w:tc>
          <w:tcPr>
            <w:tcW w:w="16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001B2C3">
            <w:r>
              <w:rPr>
                <w:rFonts w:ascii="Times New Roman" w:hAnsi="Times New Roman" w:eastAsia="Times New Roman" w:cs="Times New Roman"/>
                <w:sz w:val="20"/>
                <w:szCs w:val="20"/>
              </w:rPr>
              <w:t>No war-risk insurance available from March 5. DP World capacity constrained</w:t>
            </w:r>
          </w:p>
        </w:tc>
      </w:tr>
      <w:tr w14:paraId="457A0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C94C72E">
            <w:r>
              <w:rPr>
                <w:rFonts w:ascii="Times New Roman" w:hAnsi="Times New Roman" w:eastAsia="Times New Roman" w:cs="Times New Roman"/>
                <w:sz w:val="20"/>
                <w:szCs w:val="20"/>
              </w:rPr>
              <w:t>NordFleet Meridian (VLCC)</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2D084F">
            <w:r>
              <w:rPr>
                <w:rFonts w:ascii="Times New Roman" w:hAnsi="Times New Roman" w:eastAsia="Times New Roman" w:cs="Times New Roman"/>
                <w:sz w:val="20"/>
                <w:szCs w:val="20"/>
              </w:rPr>
              <w:t>Ras Tanura anchorage; 2.1M bbl crude; $239M cargo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ECC1198">
            <w:r>
              <w:rPr>
                <w:rFonts w:ascii="Times New Roman" w:hAnsi="Times New Roman" w:eastAsia="Times New Roman" w:cs="Times New Roman"/>
                <w:sz w:val="20"/>
                <w:szCs w:val="20"/>
              </w:rPr>
              <w:t>Shelter in place; absorb demurrage ($85K/day)</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CEBD66">
            <w:r>
              <w:rPr>
                <w:rFonts w:ascii="Times New Roman" w:hAnsi="Times New Roman" w:eastAsia="Times New Roman" w:cs="Times New Roman"/>
                <w:sz w:val="20"/>
                <w:szCs w:val="20"/>
              </w:rPr>
              <w:t>Move to open Gulf waters away from targeted port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65C28D0">
            <w:r>
              <w:rPr>
                <w:rFonts w:ascii="Times New Roman" w:hAnsi="Times New Roman" w:eastAsia="Times New Roman" w:cs="Times New Roman"/>
                <w:sz w:val="20"/>
                <w:szCs w:val="20"/>
              </w:rPr>
              <w:t>Attempt strait transit; invoke force majeure on charter party</w:t>
            </w:r>
          </w:p>
        </w:tc>
        <w:tc>
          <w:tcPr>
            <w:tcW w:w="1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AFA25A3">
            <w:r>
              <w:rPr>
                <w:rFonts w:ascii="Times New Roman" w:hAnsi="Times New Roman" w:eastAsia="Times New Roman" w:cs="Times New Roman"/>
                <w:sz w:val="20"/>
                <w:szCs w:val="20"/>
              </w:rPr>
              <w:t>Ras Tanura explicitly targeted by IRGC. Charter party force majeure disputed by Aramco affiliate</w:t>
            </w:r>
          </w:p>
        </w:tc>
      </w:tr>
    </w:tbl>
    <w:p w14:paraId="42177F34">
      <w:pPr>
        <w:spacing w:before="60" w:after="240"/>
      </w:pPr>
      <w:r>
        <w:rPr>
          <w:rFonts w:ascii="Arial" w:hAnsi="Arial" w:eastAsia="Arial" w:cs="Arial"/>
          <w:i/>
          <w:iCs/>
          <w:color w:val="888888"/>
          <w:sz w:val="18"/>
          <w:szCs w:val="18"/>
        </w:rPr>
        <w:t>Source: NordFleet crisis management records (illustrative); Maersk Operational Updates March 2026; IRGC public declarations; UK Maritime Trade Operations advisories; author analysis.</w:t>
      </w:r>
    </w:p>
    <w:p w14:paraId="0FA66B03">
      <w:pPr>
        <w:spacing w:before="0" w:after="80"/>
      </w:pPr>
    </w:p>
    <w:p w14:paraId="47CD8B28">
      <w:pPr>
        <w:spacing w:before="480" w:after="120"/>
      </w:pPr>
      <w:r>
        <w:rPr>
          <w:rFonts w:ascii="Arial" w:hAnsi="Arial" w:eastAsia="Arial" w:cs="Arial"/>
          <w:b/>
          <w:bCs/>
          <w:color w:val="2C3E50"/>
          <w:sz w:val="22"/>
          <w:szCs w:val="22"/>
        </w:rPr>
        <w:t>Exhibit 5: Macroeconomic Forecasts. Revised After Hormuz Closure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000"/>
        <w:gridCol w:w="1700"/>
        <w:gridCol w:w="1700"/>
        <w:gridCol w:w="1200"/>
        <w:gridCol w:w="1460"/>
      </w:tblGrid>
      <w:tr w14:paraId="169B1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6DB8C771">
            <w:r>
              <w:rPr>
                <w:rFonts w:ascii="Arial" w:hAnsi="Arial" w:eastAsia="Arial" w:cs="Arial"/>
                <w:b/>
                <w:bCs/>
                <w:color w:val="FFFFFF"/>
                <w:sz w:val="20"/>
                <w:szCs w:val="20"/>
              </w:rPr>
              <w:t>Institution</w:t>
            </w:r>
          </w:p>
        </w:tc>
        <w:tc>
          <w:tcPr>
            <w:tcW w:w="20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4C4A2811">
            <w:r>
              <w:rPr>
                <w:rFonts w:ascii="Arial" w:hAnsi="Arial" w:eastAsia="Arial" w:cs="Arial"/>
                <w:b/>
                <w:bCs/>
                <w:color w:val="FFFFFF"/>
                <w:sz w:val="20"/>
                <w:szCs w:val="20"/>
              </w:rPr>
              <w:t>Metric</w:t>
            </w:r>
          </w:p>
        </w:tc>
        <w:tc>
          <w:tcPr>
            <w:tcW w:w="17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70205289">
            <w:r>
              <w:rPr>
                <w:rFonts w:ascii="Arial" w:hAnsi="Arial" w:eastAsia="Arial" w:cs="Arial"/>
                <w:b/>
                <w:bCs/>
                <w:color w:val="FFFFFF"/>
                <w:sz w:val="20"/>
                <w:szCs w:val="20"/>
              </w:rPr>
              <w:t>Pre-Crisis Forecast</w:t>
            </w:r>
          </w:p>
        </w:tc>
        <w:tc>
          <w:tcPr>
            <w:tcW w:w="17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77EE961F">
            <w:r>
              <w:rPr>
                <w:rFonts w:ascii="Arial" w:hAnsi="Arial" w:eastAsia="Arial" w:cs="Arial"/>
                <w:b/>
                <w:bCs/>
                <w:color w:val="FFFFFF"/>
                <w:sz w:val="20"/>
                <w:szCs w:val="20"/>
              </w:rPr>
              <w:t>Post-Crisis Forecast</w:t>
            </w:r>
          </w:p>
        </w:tc>
        <w:tc>
          <w:tcPr>
            <w:tcW w:w="12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6DE81D12">
            <w:r>
              <w:rPr>
                <w:rFonts w:ascii="Arial" w:hAnsi="Arial" w:eastAsia="Arial" w:cs="Arial"/>
                <w:b/>
                <w:bCs/>
                <w:color w:val="FFFFFF"/>
                <w:sz w:val="20"/>
                <w:szCs w:val="20"/>
              </w:rPr>
              <w:t>Revision</w:t>
            </w:r>
          </w:p>
        </w:tc>
        <w:tc>
          <w:tcPr>
            <w:tcW w:w="14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7896E372">
            <w:r>
              <w:rPr>
                <w:rFonts w:ascii="Arial" w:hAnsi="Arial" w:eastAsia="Arial" w:cs="Arial"/>
                <w:b/>
                <w:bCs/>
                <w:color w:val="FFFFFF"/>
                <w:sz w:val="20"/>
                <w:szCs w:val="20"/>
              </w:rPr>
              <w:t>As of</w:t>
            </w:r>
          </w:p>
        </w:tc>
      </w:tr>
      <w:tr w14:paraId="3C554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EC609AB">
            <w:r>
              <w:rPr>
                <w:rFonts w:ascii="Times New Roman" w:hAnsi="Times New Roman" w:eastAsia="Times New Roman" w:cs="Times New Roman"/>
                <w:sz w:val="20"/>
                <w:szCs w:val="20"/>
              </w:rPr>
              <w:t>IMF</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91F936">
            <w:r>
              <w:rPr>
                <w:rFonts w:ascii="Times New Roman" w:hAnsi="Times New Roman" w:eastAsia="Times New Roman" w:cs="Times New Roman"/>
                <w:sz w:val="20"/>
                <w:szCs w:val="20"/>
              </w:rPr>
              <w:t>Global GDP growth 2026</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28AC911">
            <w:r>
              <w:rPr>
                <w:rFonts w:ascii="Times New Roman" w:hAnsi="Times New Roman" w:eastAsia="Times New Roman" w:cs="Times New Roman"/>
                <w:sz w:val="20"/>
                <w:szCs w:val="20"/>
              </w:rPr>
              <w:t>+3.4%</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D3B120">
            <w:r>
              <w:rPr>
                <w:rFonts w:ascii="Times New Roman" w:hAnsi="Times New Roman" w:eastAsia="Times New Roman" w:cs="Times New Roman"/>
                <w:sz w:val="20"/>
                <w:szCs w:val="20"/>
              </w:rPr>
              <w:t>Not yet specified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2FC3E1C">
            <w:r>
              <w:rPr>
                <w:rFonts w:ascii="Times New Roman" w:hAnsi="Times New Roman" w:eastAsia="Times New Roman" w:cs="Times New Roman"/>
                <w:sz w:val="20"/>
                <w:szCs w:val="20"/>
              </w:rPr>
              <w:t>Significant downward revision</w:t>
            </w:r>
          </w:p>
        </w:tc>
        <w:tc>
          <w:tcPr>
            <w:tcW w:w="1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A66505">
            <w:r>
              <w:rPr>
                <w:rFonts w:ascii="Times New Roman" w:hAnsi="Times New Roman" w:eastAsia="Times New Roman" w:cs="Times New Roman"/>
                <w:sz w:val="20"/>
                <w:szCs w:val="20"/>
              </w:rPr>
              <w:t>April 2026</w:t>
            </w:r>
          </w:p>
        </w:tc>
      </w:tr>
      <w:tr w14:paraId="68745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180122C">
            <w:r>
              <w:rPr>
                <w:rFonts w:ascii="Times New Roman" w:hAnsi="Times New Roman" w:eastAsia="Times New Roman" w:cs="Times New Roman"/>
                <w:sz w:val="20"/>
                <w:szCs w:val="20"/>
              </w:rPr>
              <w:t>IMF</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05BA636">
            <w:r>
              <w:rPr>
                <w:rFonts w:ascii="Times New Roman" w:hAnsi="Times New Roman" w:eastAsia="Times New Roman" w:cs="Times New Roman"/>
                <w:sz w:val="20"/>
                <w:szCs w:val="20"/>
              </w:rPr>
              <w:t>MENA GDP growth 2026</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3F3C235">
            <w:r>
              <w:rPr>
                <w:rFonts w:ascii="Times New Roman" w:hAnsi="Times New Roman" w:eastAsia="Times New Roman" w:cs="Times New Roman"/>
                <w:sz w:val="20"/>
                <w:szCs w:val="20"/>
              </w:rPr>
              <w:t>+3.9%</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E4B5643">
            <w:r>
              <w:rPr>
                <w:rFonts w:ascii="Times New Roman" w:hAnsi="Times New Roman" w:eastAsia="Times New Roman" w:cs="Times New Roman"/>
                <w:sz w:val="20"/>
                <w:szCs w:val="20"/>
              </w:rPr>
              <w:t>+1.1%</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CEABD16">
            <w:r>
              <w:rPr>
                <w:rFonts w:ascii="Times New Roman" w:hAnsi="Times New Roman" w:eastAsia="Times New Roman" w:cs="Times New Roman"/>
                <w:sz w:val="20"/>
                <w:szCs w:val="20"/>
              </w:rPr>
              <w:t>−2.8 pp</w:t>
            </w:r>
          </w:p>
        </w:tc>
        <w:tc>
          <w:tcPr>
            <w:tcW w:w="14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E76F4D2">
            <w:r>
              <w:rPr>
                <w:rFonts w:ascii="Times New Roman" w:hAnsi="Times New Roman" w:eastAsia="Times New Roman" w:cs="Times New Roman"/>
                <w:sz w:val="20"/>
                <w:szCs w:val="20"/>
              </w:rPr>
              <w:t>April 2026</w:t>
            </w:r>
          </w:p>
        </w:tc>
      </w:tr>
      <w:tr w14:paraId="216D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63680E2">
            <w:r>
              <w:rPr>
                <w:rFonts w:ascii="Times New Roman" w:hAnsi="Times New Roman" w:eastAsia="Times New Roman" w:cs="Times New Roman"/>
                <w:sz w:val="20"/>
                <w:szCs w:val="20"/>
              </w:rPr>
              <w:t>IMF</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D01B734">
            <w:r>
              <w:rPr>
                <w:rFonts w:ascii="Times New Roman" w:hAnsi="Times New Roman" w:eastAsia="Times New Roman" w:cs="Times New Roman"/>
                <w:sz w:val="20"/>
                <w:szCs w:val="20"/>
              </w:rPr>
              <w:t>Iran GDP growth 2026</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3AEC41B">
            <w:r>
              <w:rPr>
                <w:rFonts w:ascii="Times New Roman" w:hAnsi="Times New Roman" w:eastAsia="Times New Roman" w:cs="Times New Roman"/>
                <w:sz w:val="20"/>
                <w:szCs w:val="20"/>
              </w:rPr>
              <w:t>+0.1% (small growth)</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511DA07">
            <w:r>
              <w:rPr>
                <w:rFonts w:ascii="Times New Roman" w:hAnsi="Times New Roman" w:eastAsia="Times New Roman" w:cs="Times New Roman"/>
                <w:sz w:val="20"/>
                <w:szCs w:val="20"/>
              </w:rPr>
              <w:t>−6.1%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A29CA22">
            <w:r>
              <w:rPr>
                <w:rFonts w:ascii="Times New Roman" w:hAnsi="Times New Roman" w:eastAsia="Times New Roman" w:cs="Times New Roman"/>
                <w:sz w:val="20"/>
                <w:szCs w:val="20"/>
              </w:rPr>
              <w:t>−6.2 pp</w:t>
            </w:r>
          </w:p>
        </w:tc>
        <w:tc>
          <w:tcPr>
            <w:tcW w:w="1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F90B57D">
            <w:r>
              <w:rPr>
                <w:rFonts w:ascii="Times New Roman" w:hAnsi="Times New Roman" w:eastAsia="Times New Roman" w:cs="Times New Roman"/>
                <w:sz w:val="20"/>
                <w:szCs w:val="20"/>
              </w:rPr>
              <w:t>April 2026</w:t>
            </w:r>
          </w:p>
        </w:tc>
      </w:tr>
      <w:tr w14:paraId="54B84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5224B49">
            <w:r>
              <w:rPr>
                <w:rFonts w:ascii="Times New Roman" w:hAnsi="Times New Roman" w:eastAsia="Times New Roman" w:cs="Times New Roman"/>
                <w:sz w:val="20"/>
                <w:szCs w:val="20"/>
              </w:rPr>
              <w:t>IMF</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062E1BA">
            <w:r>
              <w:rPr>
                <w:rFonts w:ascii="Times New Roman" w:hAnsi="Times New Roman" w:eastAsia="Times New Roman" w:cs="Times New Roman"/>
                <w:sz w:val="20"/>
                <w:szCs w:val="20"/>
              </w:rPr>
              <w:t>Saudi Arabia GDP growth 2026</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D75C09C">
            <w:r>
              <w:rPr>
                <w:rFonts w:ascii="Times New Roman" w:hAnsi="Times New Roman" w:eastAsia="Times New Roman" w:cs="Times New Roman"/>
                <w:sz w:val="20"/>
                <w:szCs w:val="20"/>
              </w:rPr>
              <w:t>+4.5%</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B116309">
            <w:r>
              <w:rPr>
                <w:rFonts w:ascii="Times New Roman" w:hAnsi="Times New Roman" w:eastAsia="Times New Roman" w:cs="Times New Roman"/>
                <w:sz w:val="20"/>
                <w:szCs w:val="20"/>
              </w:rPr>
              <w:t>+3.1%</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A2A5EA4">
            <w:r>
              <w:rPr>
                <w:rFonts w:ascii="Times New Roman" w:hAnsi="Times New Roman" w:eastAsia="Times New Roman" w:cs="Times New Roman"/>
                <w:sz w:val="20"/>
                <w:szCs w:val="20"/>
              </w:rPr>
              <w:t>−1.4 pp</w:t>
            </w:r>
          </w:p>
        </w:tc>
        <w:tc>
          <w:tcPr>
            <w:tcW w:w="14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2A0E6EF">
            <w:r>
              <w:rPr>
                <w:rFonts w:ascii="Times New Roman" w:hAnsi="Times New Roman" w:eastAsia="Times New Roman" w:cs="Times New Roman"/>
                <w:sz w:val="20"/>
                <w:szCs w:val="20"/>
              </w:rPr>
              <w:t>April 2026</w:t>
            </w:r>
          </w:p>
        </w:tc>
      </w:tr>
      <w:tr w14:paraId="49BA1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116714">
            <w:r>
              <w:rPr>
                <w:rFonts w:ascii="Times New Roman" w:hAnsi="Times New Roman" w:eastAsia="Times New Roman" w:cs="Times New Roman"/>
                <w:sz w:val="20"/>
                <w:szCs w:val="20"/>
              </w:rPr>
              <w:t>World Bank</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E35F4F0">
            <w:r>
              <w:rPr>
                <w:rFonts w:ascii="Times New Roman" w:hAnsi="Times New Roman" w:eastAsia="Times New Roman" w:cs="Times New Roman"/>
                <w:sz w:val="20"/>
                <w:szCs w:val="20"/>
              </w:rPr>
              <w:t>Global commodity prices 2026</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4B821C">
            <w:r>
              <w:rPr>
                <w:rFonts w:ascii="Times New Roman" w:hAnsi="Times New Roman" w:eastAsia="Times New Roman" w:cs="Times New Roman"/>
                <w:sz w:val="20"/>
                <w:szCs w:val="20"/>
              </w:rPr>
              <w:t>−2% (deflation expected)</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10C0CE">
            <w:r>
              <w:rPr>
                <w:rFonts w:ascii="Times New Roman" w:hAnsi="Times New Roman" w:eastAsia="Times New Roman" w:cs="Times New Roman"/>
                <w:sz w:val="20"/>
                <w:szCs w:val="20"/>
              </w:rPr>
              <w:t>+16%</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5E9DE2D">
            <w:r>
              <w:rPr>
                <w:rFonts w:ascii="Times New Roman" w:hAnsi="Times New Roman" w:eastAsia="Times New Roman" w:cs="Times New Roman"/>
                <w:sz w:val="20"/>
                <w:szCs w:val="20"/>
              </w:rPr>
              <w:t>+18 pp swing</w:t>
            </w:r>
          </w:p>
        </w:tc>
        <w:tc>
          <w:tcPr>
            <w:tcW w:w="1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77A22D2">
            <w:r>
              <w:rPr>
                <w:rFonts w:ascii="Times New Roman" w:hAnsi="Times New Roman" w:eastAsia="Times New Roman" w:cs="Times New Roman"/>
                <w:sz w:val="20"/>
                <w:szCs w:val="20"/>
              </w:rPr>
              <w:t>April 2026</w:t>
            </w:r>
          </w:p>
        </w:tc>
      </w:tr>
      <w:tr w14:paraId="318C5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E905BFB">
            <w:r>
              <w:rPr>
                <w:rFonts w:ascii="Times New Roman" w:hAnsi="Times New Roman" w:eastAsia="Times New Roman" w:cs="Times New Roman"/>
                <w:sz w:val="20"/>
                <w:szCs w:val="20"/>
              </w:rPr>
              <w:t>World Bank</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E3F38C3">
            <w:r>
              <w:rPr>
                <w:rFonts w:ascii="Times New Roman" w:hAnsi="Times New Roman" w:eastAsia="Times New Roman" w:cs="Times New Roman"/>
                <w:sz w:val="20"/>
                <w:szCs w:val="20"/>
              </w:rPr>
              <w:t>EMDE consumer inflation 2026</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E3AB77D">
            <w:r>
              <w:rPr>
                <w:rFonts w:ascii="Times New Roman" w:hAnsi="Times New Roman" w:eastAsia="Times New Roman" w:cs="Times New Roman"/>
                <w:sz w:val="20"/>
                <w:szCs w:val="20"/>
              </w:rPr>
              <w:t>~4.1%</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1BF2D0E">
            <w:r>
              <w:rPr>
                <w:rFonts w:ascii="Times New Roman" w:hAnsi="Times New Roman" w:eastAsia="Times New Roman" w:cs="Times New Roman"/>
                <w:sz w:val="20"/>
                <w:szCs w:val="20"/>
              </w:rPr>
              <w:t>~5.1%</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1EBB658">
            <w:r>
              <w:rPr>
                <w:rFonts w:ascii="Times New Roman" w:hAnsi="Times New Roman" w:eastAsia="Times New Roman" w:cs="Times New Roman"/>
                <w:sz w:val="20"/>
                <w:szCs w:val="20"/>
              </w:rPr>
              <w:t>+1.0 pp</w:t>
            </w:r>
          </w:p>
        </w:tc>
        <w:tc>
          <w:tcPr>
            <w:tcW w:w="14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21ACB16">
            <w:r>
              <w:rPr>
                <w:rFonts w:ascii="Times New Roman" w:hAnsi="Times New Roman" w:eastAsia="Times New Roman" w:cs="Times New Roman"/>
                <w:sz w:val="20"/>
                <w:szCs w:val="20"/>
              </w:rPr>
              <w:t>April 2026</w:t>
            </w:r>
          </w:p>
        </w:tc>
      </w:tr>
      <w:tr w14:paraId="1D433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C04FBA">
            <w:r>
              <w:rPr>
                <w:rFonts w:ascii="Times New Roman" w:hAnsi="Times New Roman" w:eastAsia="Times New Roman" w:cs="Times New Roman"/>
                <w:sz w:val="20"/>
                <w:szCs w:val="20"/>
              </w:rPr>
              <w:t>Goldman Sachs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0C332F7">
            <w:r>
              <w:rPr>
                <w:rFonts w:ascii="Times New Roman" w:hAnsi="Times New Roman" w:eastAsia="Times New Roman" w:cs="Times New Roman"/>
                <w:sz w:val="20"/>
                <w:szCs w:val="20"/>
              </w:rPr>
              <w:t>U.S. inflation 2026</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C235C0">
            <w:r>
              <w:rPr>
                <w:rFonts w:ascii="Times New Roman" w:hAnsi="Times New Roman" w:eastAsia="Times New Roman" w:cs="Times New Roman"/>
                <w:sz w:val="20"/>
                <w:szCs w:val="20"/>
              </w:rPr>
              <w:t>~2.1%</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9866079">
            <w:r>
              <w:rPr>
                <w:rFonts w:ascii="Times New Roman" w:hAnsi="Times New Roman" w:eastAsia="Times New Roman" w:cs="Times New Roman"/>
                <w:sz w:val="20"/>
                <w:szCs w:val="20"/>
              </w:rPr>
              <w:t>~2.9%</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3FA7F6E">
            <w:r>
              <w:rPr>
                <w:rFonts w:ascii="Times New Roman" w:hAnsi="Times New Roman" w:eastAsia="Times New Roman" w:cs="Times New Roman"/>
                <w:sz w:val="20"/>
                <w:szCs w:val="20"/>
              </w:rPr>
              <w:t>+0.8 pp</w:t>
            </w:r>
          </w:p>
        </w:tc>
        <w:tc>
          <w:tcPr>
            <w:tcW w:w="1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9AD2E7F">
            <w:r>
              <w:rPr>
                <w:rFonts w:ascii="Times New Roman" w:hAnsi="Times New Roman" w:eastAsia="Times New Roman" w:cs="Times New Roman"/>
                <w:sz w:val="20"/>
                <w:szCs w:val="20"/>
              </w:rPr>
              <w:t>March 2026</w:t>
            </w:r>
          </w:p>
        </w:tc>
      </w:tr>
      <w:tr w14:paraId="61E6C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90B2B77">
            <w:r>
              <w:rPr>
                <w:rFonts w:ascii="Times New Roman" w:hAnsi="Times New Roman" w:eastAsia="Times New Roman" w:cs="Times New Roman"/>
                <w:sz w:val="20"/>
                <w:szCs w:val="20"/>
              </w:rPr>
              <w:t>Goldman Sachs</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2F139EE">
            <w:r>
              <w:rPr>
                <w:rFonts w:ascii="Times New Roman" w:hAnsi="Times New Roman" w:eastAsia="Times New Roman" w:cs="Times New Roman"/>
                <w:sz w:val="20"/>
                <w:szCs w:val="20"/>
              </w:rPr>
              <w:t>U.S. GDP growth 2026</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CF07982">
            <w:r>
              <w:rPr>
                <w:rFonts w:ascii="Times New Roman" w:hAnsi="Times New Roman" w:eastAsia="Times New Roman" w:cs="Times New Roman"/>
                <w:sz w:val="20"/>
                <w:szCs w:val="20"/>
              </w:rPr>
              <w:t>~2.5%</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28156B3">
            <w:r>
              <w:rPr>
                <w:rFonts w:ascii="Times New Roman" w:hAnsi="Times New Roman" w:eastAsia="Times New Roman" w:cs="Times New Roman"/>
                <w:sz w:val="20"/>
                <w:szCs w:val="20"/>
              </w:rPr>
              <w:t>~2.2%</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7C20D72">
            <w:r>
              <w:rPr>
                <w:rFonts w:ascii="Times New Roman" w:hAnsi="Times New Roman" w:eastAsia="Times New Roman" w:cs="Times New Roman"/>
                <w:sz w:val="20"/>
                <w:szCs w:val="20"/>
              </w:rPr>
              <w:t>−0.3 pp</w:t>
            </w:r>
          </w:p>
        </w:tc>
        <w:tc>
          <w:tcPr>
            <w:tcW w:w="14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83FC2F4">
            <w:r>
              <w:rPr>
                <w:rFonts w:ascii="Times New Roman" w:hAnsi="Times New Roman" w:eastAsia="Times New Roman" w:cs="Times New Roman"/>
                <w:sz w:val="20"/>
                <w:szCs w:val="20"/>
              </w:rPr>
              <w:t>March 2026</w:t>
            </w:r>
          </w:p>
        </w:tc>
      </w:tr>
      <w:tr w14:paraId="4E98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EEB889D">
            <w:r>
              <w:rPr>
                <w:rFonts w:ascii="Times New Roman" w:hAnsi="Times New Roman" w:eastAsia="Times New Roman" w:cs="Times New Roman"/>
                <w:sz w:val="20"/>
                <w:szCs w:val="20"/>
              </w:rPr>
              <w:t>Goldman Sachs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4B4B41">
            <w:r>
              <w:rPr>
                <w:rFonts w:ascii="Times New Roman" w:hAnsi="Times New Roman" w:eastAsia="Times New Roman" w:cs="Times New Roman"/>
                <w:sz w:val="20"/>
                <w:szCs w:val="20"/>
              </w:rPr>
              <w:t>U.S. recession probability 2026</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B06EC1F">
            <w:r>
              <w:rPr>
                <w:rFonts w:ascii="Times New Roman" w:hAnsi="Times New Roman" w:eastAsia="Times New Roman" w:cs="Times New Roman"/>
                <w:sz w:val="20"/>
                <w:szCs w:val="20"/>
              </w:rPr>
              <w:t>20%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C200544">
            <w:r>
              <w:rPr>
                <w:rFonts w:ascii="Times New Roman" w:hAnsi="Times New Roman" w:eastAsia="Times New Roman" w:cs="Times New Roman"/>
                <w:sz w:val="20"/>
                <w:szCs w:val="20"/>
              </w:rPr>
              <w:t>25%</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A690D4">
            <w:r>
              <w:rPr>
                <w:rFonts w:ascii="Times New Roman" w:hAnsi="Times New Roman" w:eastAsia="Times New Roman" w:cs="Times New Roman"/>
                <w:sz w:val="20"/>
                <w:szCs w:val="20"/>
              </w:rPr>
              <w:t>+5 pp</w:t>
            </w:r>
          </w:p>
        </w:tc>
        <w:tc>
          <w:tcPr>
            <w:tcW w:w="1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4141D20">
            <w:r>
              <w:rPr>
                <w:rFonts w:ascii="Times New Roman" w:hAnsi="Times New Roman" w:eastAsia="Times New Roman" w:cs="Times New Roman"/>
                <w:sz w:val="20"/>
                <w:szCs w:val="20"/>
              </w:rPr>
              <w:t>March 2026</w:t>
            </w:r>
          </w:p>
        </w:tc>
      </w:tr>
      <w:tr w14:paraId="5397F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F184E1C">
            <w:r>
              <w:rPr>
                <w:rFonts w:ascii="Times New Roman" w:hAnsi="Times New Roman" w:eastAsia="Times New Roman" w:cs="Times New Roman"/>
                <w:sz w:val="20"/>
                <w:szCs w:val="20"/>
              </w:rPr>
              <w:t>IEA</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569AC66">
            <w:r>
              <w:rPr>
                <w:rFonts w:ascii="Times New Roman" w:hAnsi="Times New Roman" w:eastAsia="Times New Roman" w:cs="Times New Roman"/>
                <w:sz w:val="20"/>
                <w:szCs w:val="20"/>
              </w:rPr>
              <w:t>Global oil supply reduction (March)</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7549DAC">
            <w:r>
              <w:rPr>
                <w:rFonts w:ascii="Times New Roman" w:hAnsi="Times New Roman" w:eastAsia="Times New Roman" w:cs="Times New Roman"/>
                <w:sz w:val="20"/>
                <w:szCs w:val="20"/>
              </w:rPr>
              <w:t>—</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A3A2A01">
            <w:r>
              <w:rPr>
                <w:rFonts w:ascii="Times New Roman" w:hAnsi="Times New Roman" w:eastAsia="Times New Roman" w:cs="Times New Roman"/>
                <w:sz w:val="20"/>
                <w:szCs w:val="20"/>
              </w:rPr>
              <w:t>−10.1 mb/d</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4D48D6D">
            <w:r>
              <w:rPr>
                <w:rFonts w:ascii="Times New Roman" w:hAnsi="Times New Roman" w:eastAsia="Times New Roman" w:cs="Times New Roman"/>
                <w:sz w:val="20"/>
                <w:szCs w:val="20"/>
              </w:rPr>
              <w:t>Largest in recorded history</w:t>
            </w:r>
          </w:p>
        </w:tc>
        <w:tc>
          <w:tcPr>
            <w:tcW w:w="14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9BEE688">
            <w:r>
              <w:rPr>
                <w:rFonts w:ascii="Times New Roman" w:hAnsi="Times New Roman" w:eastAsia="Times New Roman" w:cs="Times New Roman"/>
                <w:sz w:val="20"/>
                <w:szCs w:val="20"/>
              </w:rPr>
              <w:t>April 2026</w:t>
            </w:r>
          </w:p>
        </w:tc>
      </w:tr>
      <w:tr w14:paraId="7F5A0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CEFF2BF">
            <w:r>
              <w:rPr>
                <w:rFonts w:ascii="Times New Roman" w:hAnsi="Times New Roman" w:eastAsia="Times New Roman" w:cs="Times New Roman"/>
                <w:sz w:val="20"/>
                <w:szCs w:val="20"/>
              </w:rPr>
              <w:t>SolAbility / Analysts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B876693">
            <w:r>
              <w:rPr>
                <w:rFonts w:ascii="Times New Roman" w:hAnsi="Times New Roman" w:eastAsia="Times New Roman" w:cs="Times New Roman"/>
                <w:sz w:val="20"/>
                <w:szCs w:val="20"/>
              </w:rPr>
              <w:t>Global GDP loss (cumulative, 180-day closure)</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1491CB">
            <w:r>
              <w:rPr>
                <w:rFonts w:ascii="Times New Roman" w:hAnsi="Times New Roman" w:eastAsia="Times New Roman" w:cs="Times New Roman"/>
                <w:sz w:val="20"/>
                <w:szCs w:val="20"/>
              </w:rPr>
              <w:t>—</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200430">
            <w:r>
              <w:rPr>
                <w:rFonts w:ascii="Times New Roman" w:hAnsi="Times New Roman" w:eastAsia="Times New Roman" w:cs="Times New Roman"/>
                <w:sz w:val="20"/>
                <w:szCs w:val="20"/>
              </w:rPr>
              <w:t>$3.6T–$6.9T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ABF9AAE">
            <w:r>
              <w:rPr>
                <w:rFonts w:ascii="Times New Roman" w:hAnsi="Times New Roman" w:eastAsia="Times New Roman" w:cs="Times New Roman"/>
                <w:sz w:val="20"/>
                <w:szCs w:val="20"/>
              </w:rPr>
              <w:t>3.2%–6.3% of global GDP</w:t>
            </w:r>
          </w:p>
        </w:tc>
        <w:tc>
          <w:tcPr>
            <w:tcW w:w="14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41B474B">
            <w:r>
              <w:rPr>
                <w:rFonts w:ascii="Times New Roman" w:hAnsi="Times New Roman" w:eastAsia="Times New Roman" w:cs="Times New Roman"/>
                <w:sz w:val="20"/>
                <w:szCs w:val="20"/>
              </w:rPr>
              <w:t>April 2026</w:t>
            </w:r>
          </w:p>
        </w:tc>
      </w:tr>
    </w:tbl>
    <w:p w14:paraId="4B9F547F">
      <w:pPr>
        <w:spacing w:before="60" w:after="240"/>
      </w:pPr>
      <w:r>
        <w:rPr>
          <w:rFonts w:ascii="Arial" w:hAnsi="Arial" w:eastAsia="Arial" w:cs="Arial"/>
          <w:i/>
          <w:iCs/>
          <w:color w:val="888888"/>
          <w:sz w:val="18"/>
          <w:szCs w:val="18"/>
        </w:rPr>
        <w:t>Source: IMF World Economic Outlook Update April 2026; World Bank Commodity Markets Outlook April 2026; Goldman Sachs Economics Research March 2026; IEA Oil Market Report April 2026; SolAbility Hormuz Economic Impact Model.</w:t>
      </w:r>
    </w:p>
    <w:p w14:paraId="2A6E7791">
      <w:pPr>
        <w:spacing w:before="0" w:after="0"/>
      </w:pPr>
    </w:p>
    <w:p w14:paraId="6B4532BE">
      <w:pPr>
        <w:rPr>
          <w:rFonts w:ascii="Arial" w:hAnsi="Arial" w:eastAsia="Arial" w:cs="Arial"/>
          <w:b/>
          <w:bCs/>
          <w:color w:val="1A1A2E"/>
          <w:sz w:val="32"/>
          <w:szCs w:val="32"/>
        </w:rPr>
      </w:pPr>
      <w:r>
        <w:rPr>
          <w:rFonts w:ascii="Arial" w:hAnsi="Arial" w:eastAsia="Arial" w:cs="Arial"/>
          <w:b/>
          <w:bCs/>
          <w:color w:val="1A1A2E"/>
          <w:sz w:val="32"/>
          <w:szCs w:val="32"/>
        </w:rPr>
        <w:br w:type="page"/>
      </w:r>
    </w:p>
    <w:p w14:paraId="0FF1EB6E">
      <w:pPr>
        <w:spacing w:before="240" w:after="120"/>
        <w:jc w:val="center"/>
      </w:pPr>
      <w:r>
        <w:rPr>
          <w:rFonts w:ascii="Arial" w:hAnsi="Arial" w:eastAsia="Arial" w:cs="Arial"/>
          <w:b/>
          <w:bCs/>
          <w:color w:val="1A1A2E"/>
          <w:sz w:val="32"/>
          <w:szCs w:val="32"/>
        </w:rPr>
        <w:t>EXECUTIVE SYNOPSIS</w:t>
      </w:r>
    </w:p>
    <w:p w14:paraId="7204CCE7">
      <w:pPr>
        <w:spacing w:before="0" w:after="360"/>
        <w:jc w:val="center"/>
      </w:pPr>
      <w:r>
        <w:rPr>
          <w:rFonts w:ascii="Arial" w:hAnsi="Arial" w:eastAsia="Arial" w:cs="Arial"/>
          <w:i/>
          <w:iCs/>
          <w:color w:val="888888"/>
          <w:sz w:val="22"/>
          <w:szCs w:val="22"/>
        </w:rPr>
        <w:t>For Course Catalogue and Faculty Review</w:t>
      </w:r>
    </w:p>
    <w:p w14:paraId="1A621A68">
      <w:pPr>
        <w:spacing w:before="240" w:after="80"/>
      </w:pPr>
      <w:r>
        <w:rPr>
          <w:rFonts w:ascii="Arial" w:hAnsi="Arial" w:eastAsia="Arial" w:cs="Arial"/>
          <w:b/>
          <w:bCs/>
          <w:color w:val="2C3E50"/>
          <w:sz w:val="24"/>
          <w:szCs w:val="24"/>
        </w:rPr>
        <w:t>Case Overview</w:t>
      </w:r>
    </w:p>
    <w:p w14:paraId="1081481C">
      <w:pPr>
        <w:spacing w:before="0" w:after="160" w:line="276" w:lineRule="auto"/>
        <w:jc w:val="both"/>
      </w:pPr>
      <w:r>
        <w:rPr>
          <w:rFonts w:ascii="Times New Roman" w:hAnsi="Times New Roman" w:eastAsia="Times New Roman" w:cs="Times New Roman"/>
          <w:sz w:val="24"/>
          <w:szCs w:val="24"/>
        </w:rPr>
        <w:t>"The Chokepoint: 33 Kilometres Between Order and Chaos" examines the March 2026 Strait of Hormuz crisis through the eyes of Søren Lindqvist, CEO of NordFleet Shipping A/S, a Copenhagen-based shipping group with three vessels trapped inside or adjacent to the strait when Iran closed it following U.S.-Israeli military strikes. The case grounds the largest energy supply disruption in recorded history, as characterised by the International Energy Agency, in a specific, human-scale decision: what does a shipping CEO do when the global rules-based trading order collapses within 14 minutes of an early-morning phone call?</w:t>
      </w:r>
    </w:p>
    <w:p w14:paraId="1E8813F6">
      <w:pPr>
        <w:spacing w:before="0" w:after="160" w:line="276" w:lineRule="auto"/>
        <w:jc w:val="both"/>
      </w:pPr>
      <w:r>
        <w:rPr>
          <w:rFonts w:ascii="Times New Roman" w:hAnsi="Times New Roman" w:eastAsia="Times New Roman" w:cs="Times New Roman"/>
          <w:sz w:val="24"/>
          <w:szCs w:val="24"/>
        </w:rPr>
        <w:t>The case is anchored in factual data from the U.S. EIA, IEA, World Bank, IMF, and Maersk operational advisories, making it one of the most data-rich supply chain crisis cases available for MBA instruction. NordFleet is a fictional company operating in a factual crisis.</w:t>
      </w:r>
    </w:p>
    <w:p w14:paraId="21A220C3">
      <w:pPr>
        <w:spacing w:before="240" w:after="80"/>
      </w:pPr>
      <w:r>
        <w:rPr>
          <w:rFonts w:ascii="Arial" w:hAnsi="Arial" w:eastAsia="Arial" w:cs="Arial"/>
          <w:b/>
          <w:bCs/>
          <w:color w:val="2C3E50"/>
          <w:sz w:val="24"/>
          <w:szCs w:val="24"/>
        </w:rPr>
        <w:t>Central Dilemma</w:t>
      </w:r>
    </w:p>
    <w:p w14:paraId="7CDA0CFA">
      <w:pPr>
        <w:spacing w:before="0" w:after="160" w:line="276" w:lineRule="auto"/>
        <w:jc w:val="both"/>
      </w:pPr>
      <w:r>
        <w:rPr>
          <w:rFonts w:ascii="Times New Roman" w:hAnsi="Times New Roman" w:eastAsia="Times New Roman" w:cs="Times New Roman"/>
          <w:sz w:val="24"/>
          <w:szCs w:val="24"/>
        </w:rPr>
        <w:t>Lindqvist faces three simultaneous vessel decisions, each embodying a different ethical and operational tension: the duty to crew safety vs. the duty to cargo owners; the duty to shareholders vs. the duty to charterers; the right to exercise legal maritime passage vs. the reality of a non-legal military force. Beneath all three decisions lies a fourth, meta-level dilemma: in a supply chain built on the assumption that a rules-based international order will always function, what is a private actor's obligation when that assumption fails in real time?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1A1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32317E3E">
            <w:r>
              <w:rPr>
                <w:rFonts w:ascii="Arial" w:hAnsi="Arial" w:eastAsia="Arial" w:cs="Arial"/>
                <w:b/>
                <w:bCs/>
                <w:color w:val="FFFFFF"/>
                <w:sz w:val="20"/>
                <w:szCs w:val="20"/>
              </w:rPr>
              <w:t>Attribute</w:t>
            </w:r>
          </w:p>
        </w:tc>
        <w:tc>
          <w:tcPr>
            <w:tcW w:w="73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1AEFA5D8">
            <w:r>
              <w:rPr>
                <w:rFonts w:ascii="Arial" w:hAnsi="Arial" w:eastAsia="Arial" w:cs="Arial"/>
                <w:b/>
                <w:bCs/>
                <w:color w:val="FFFFFF"/>
                <w:sz w:val="20"/>
                <w:szCs w:val="20"/>
              </w:rPr>
              <w:t>Details</w:t>
            </w:r>
          </w:p>
        </w:tc>
      </w:tr>
      <w:tr w14:paraId="2F586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FBEA11F">
            <w:r>
              <w:rPr>
                <w:rFonts w:ascii="Times New Roman" w:hAnsi="Times New Roman" w:eastAsia="Times New Roman" w:cs="Times New Roman"/>
                <w:sz w:val="20"/>
                <w:szCs w:val="20"/>
              </w:rPr>
              <w:t>Case Type</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3DF2EF3">
            <w:r>
              <w:rPr>
                <w:rFonts w:ascii="Times New Roman" w:hAnsi="Times New Roman" w:eastAsia="Times New Roman" w:cs="Times New Roman"/>
                <w:sz w:val="20"/>
                <w:szCs w:val="20"/>
              </w:rPr>
              <w:t>Decision (three simultaneous decisions) + Problem-Diagnosis (systemic supply chain vulnerability)</w:t>
            </w:r>
          </w:p>
        </w:tc>
      </w:tr>
      <w:tr w14:paraId="7E462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EC74B78">
            <w:r>
              <w:rPr>
                <w:rFonts w:ascii="Times New Roman" w:hAnsi="Times New Roman" w:eastAsia="Times New Roman" w:cs="Times New Roman"/>
                <w:sz w:val="20"/>
                <w:szCs w:val="20"/>
              </w:rPr>
              <w:t>Domains</w:t>
            </w:r>
          </w:p>
        </w:tc>
        <w:tc>
          <w:tcPr>
            <w:tcW w:w="7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25E0C0B">
            <w:r>
              <w:rPr>
                <w:rFonts w:ascii="Times New Roman" w:hAnsi="Times New Roman" w:eastAsia="Times New Roman" w:cs="Times New Roman"/>
                <w:sz w:val="20"/>
                <w:szCs w:val="20"/>
              </w:rPr>
              <w:t>Operations &amp; Supply Chain; Global Business; Ethics &amp; Crisis Management; Risk Management</w:t>
            </w:r>
          </w:p>
        </w:tc>
      </w:tr>
      <w:tr w14:paraId="71B3D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C5C06D6">
            <w:r>
              <w:rPr>
                <w:rFonts w:ascii="Times New Roman" w:hAnsi="Times New Roman" w:eastAsia="Times New Roman" w:cs="Times New Roman"/>
                <w:sz w:val="20"/>
                <w:szCs w:val="20"/>
              </w:rPr>
              <w:t>Geography</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6349D3D">
            <w:r>
              <w:rPr>
                <w:rFonts w:ascii="Times New Roman" w:hAnsi="Times New Roman" w:eastAsia="Times New Roman" w:cs="Times New Roman"/>
                <w:sz w:val="20"/>
                <w:szCs w:val="20"/>
              </w:rPr>
              <w:t>Global, primary focus on Middle East, Asia, Europe</w:t>
            </w:r>
          </w:p>
        </w:tc>
      </w:tr>
      <w:tr w14:paraId="7C782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C20EE41">
            <w:r>
              <w:rPr>
                <w:rFonts w:ascii="Times New Roman" w:hAnsi="Times New Roman" w:eastAsia="Times New Roman" w:cs="Times New Roman"/>
                <w:sz w:val="20"/>
                <w:szCs w:val="20"/>
              </w:rPr>
              <w:t>Case Length</w:t>
            </w:r>
          </w:p>
        </w:tc>
        <w:tc>
          <w:tcPr>
            <w:tcW w:w="7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8FCDEF6">
            <w:r>
              <w:rPr>
                <w:rFonts w:ascii="Times New Roman" w:hAnsi="Times New Roman" w:eastAsia="Times New Roman" w:cs="Times New Roman"/>
                <w:sz w:val="20"/>
                <w:szCs w:val="20"/>
              </w:rPr>
              <w:t>~14 pages body + 5 exhibits</w:t>
            </w:r>
          </w:p>
        </w:tc>
      </w:tr>
      <w:tr w14:paraId="5886D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A6A58B">
            <w:r>
              <w:rPr>
                <w:rFonts w:ascii="Times New Roman" w:hAnsi="Times New Roman" w:eastAsia="Times New Roman" w:cs="Times New Roman"/>
                <w:sz w:val="20"/>
                <w:szCs w:val="20"/>
              </w:rPr>
              <w:t>Protagonist</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430976">
            <w:r>
              <w:rPr>
                <w:rFonts w:ascii="Times New Roman" w:hAnsi="Times New Roman" w:eastAsia="Times New Roman" w:cs="Times New Roman"/>
                <w:sz w:val="20"/>
                <w:szCs w:val="20"/>
              </w:rPr>
              <w:t>Søren Lindqvist, CEO, NordFleet Shipping A/S (fictional company; factual crisis)</w:t>
            </w:r>
          </w:p>
        </w:tc>
      </w:tr>
      <w:tr w14:paraId="7DE0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B0060A7">
            <w:r>
              <w:rPr>
                <w:rFonts w:ascii="Times New Roman" w:hAnsi="Times New Roman" w:eastAsia="Times New Roman" w:cs="Times New Roman"/>
                <w:sz w:val="20"/>
                <w:szCs w:val="20"/>
              </w:rPr>
              <w:t>Suggested Courses</w:t>
            </w:r>
          </w:p>
        </w:tc>
        <w:tc>
          <w:tcPr>
            <w:tcW w:w="7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722F735">
            <w:r>
              <w:rPr>
                <w:rFonts w:ascii="Times New Roman" w:hAnsi="Times New Roman" w:eastAsia="Times New Roman" w:cs="Times New Roman"/>
                <w:sz w:val="20"/>
                <w:szCs w:val="20"/>
              </w:rPr>
              <w:t>Global Supply Chain Management; Operations Strategy; International Business; Corporate Crisis Management; MBA Ethics</w:t>
            </w:r>
          </w:p>
        </w:tc>
      </w:tr>
      <w:tr w14:paraId="25CF8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093BD5">
            <w:r>
              <w:rPr>
                <w:rFonts w:ascii="Times New Roman" w:hAnsi="Times New Roman" w:eastAsia="Times New Roman" w:cs="Times New Roman"/>
                <w:sz w:val="20"/>
                <w:szCs w:val="20"/>
              </w:rPr>
              <w:t>Difficulty</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0B6034F">
            <w:r>
              <w:rPr>
                <w:rFonts w:ascii="Times New Roman" w:hAnsi="Times New Roman" w:eastAsia="Times New Roman" w:cs="Times New Roman"/>
                <w:sz w:val="20"/>
                <w:szCs w:val="20"/>
              </w:rPr>
              <w:t>Advanced MBA / Executive Education</w:t>
            </w:r>
          </w:p>
        </w:tc>
      </w:tr>
      <w:tr w14:paraId="0E50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8F05DF3">
            <w:r>
              <w:rPr>
                <w:rFonts w:ascii="Times New Roman" w:hAnsi="Times New Roman" w:eastAsia="Times New Roman" w:cs="Times New Roman"/>
                <w:sz w:val="20"/>
                <w:szCs w:val="20"/>
              </w:rPr>
              <w:t>Data Quality</w:t>
            </w:r>
          </w:p>
        </w:tc>
        <w:tc>
          <w:tcPr>
            <w:tcW w:w="7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8461352">
            <w:r>
              <w:rPr>
                <w:rFonts w:ascii="Times New Roman" w:hAnsi="Times New Roman" w:eastAsia="Times New Roman" w:cs="Times New Roman"/>
                <w:sz w:val="20"/>
                <w:szCs w:val="20"/>
              </w:rPr>
              <w:t>All macroeconomic and geopolitical data sourced from EIA, IEA, World Bank, IMF, Maersk, UN</w:t>
            </w:r>
          </w:p>
        </w:tc>
      </w:tr>
    </w:tbl>
    <w:p w14:paraId="21F2B163">
      <w:pPr>
        <w:spacing w:before="0" w:after="0"/>
      </w:pPr>
      <w:r>
        <w:br w:type="page"/>
      </w:r>
    </w:p>
    <w:p w14:paraId="4270830E">
      <w:pPr>
        <w:spacing w:before="240" w:after="80"/>
        <w:jc w:val="center"/>
      </w:pPr>
      <w:r>
        <w:rPr>
          <w:rFonts w:ascii="Arial" w:hAnsi="Arial" w:eastAsia="Arial" w:cs="Arial"/>
          <w:b/>
          <w:bCs/>
          <w:color w:val="E74C3C"/>
          <w:sz w:val="28"/>
          <w:szCs w:val="28"/>
        </w:rPr>
        <w:t>⚠  TEACHING NOTE: STRICTLY CONFIDENTIAL</w:t>
      </w:r>
    </w:p>
    <w:p w14:paraId="5CF484E7">
      <w:pPr>
        <w:spacing w:before="0" w:after="360"/>
        <w:jc w:val="center"/>
      </w:pPr>
      <w:r>
        <w:rPr>
          <w:rFonts w:ascii="Arial" w:hAnsi="Arial" w:eastAsia="Arial" w:cs="Arial"/>
          <w:color w:val="888888"/>
          <w:sz w:val="20"/>
          <w:szCs w:val="20"/>
        </w:rPr>
        <w:t>NOT FOR DISTRIBUTION TO STUDENTS</w:t>
      </w:r>
    </w:p>
    <w:p w14:paraId="22B4EA02">
      <w:pPr>
        <w:spacing w:before="240" w:after="80"/>
      </w:pPr>
      <w:r>
        <w:rPr>
          <w:rFonts w:ascii="Arial" w:hAnsi="Arial" w:eastAsia="Arial" w:cs="Arial"/>
          <w:b/>
          <w:bCs/>
          <w:color w:val="2C3E50"/>
          <w:sz w:val="24"/>
          <w:szCs w:val="24"/>
        </w:rPr>
        <w:t>For Instructors</w:t>
      </w:r>
    </w:p>
    <w:p w14:paraId="250C4867">
      <w:pPr>
        <w:spacing w:before="0" w:after="160" w:line="276" w:lineRule="auto"/>
        <w:jc w:val="both"/>
      </w:pPr>
      <w:r>
        <w:rPr>
          <w:rFonts w:ascii="Times New Roman" w:hAnsi="Times New Roman" w:eastAsia="Times New Roman" w:cs="Times New Roman"/>
          <w:sz w:val="24"/>
          <w:szCs w:val="24"/>
        </w:rPr>
        <w:t>This case is unusual in that the crisis it describes is still unfolding at the time of publication. Instructors should check the current status of the Strait of Hormuz before class; updates are available from the IEA, EIA, and shipping operator advisory pages. This real-time dimension is a pedagogical asset: students can observe how their analytical conclusions compare with what the companies actually did.</w:t>
      </w:r>
    </w:p>
    <w:p w14:paraId="07E99E70">
      <w:pPr>
        <w:spacing w:before="0" w:after="160" w:line="276" w:lineRule="auto"/>
        <w:jc w:val="both"/>
      </w:pPr>
      <w:r>
        <w:rPr>
          <w:rFonts w:ascii="Times New Roman" w:hAnsi="Times New Roman" w:eastAsia="Times New Roman" w:cs="Times New Roman"/>
          <w:sz w:val="24"/>
          <w:szCs w:val="24"/>
        </w:rPr>
        <w:t>NordFleet Shipping A/S is a fictional company. All geopolitical, market, commodity, and shipping industry data are factual and sourced. The three-vessel scenario is constructed to be analytically true to the decisions real shipping operators faced in March 2026, based on Maersk, CMA CGM, Hapag-Lloyd, and MSC operational advisories.</w:t>
      </w:r>
    </w:p>
    <w:p w14:paraId="0FAB9569">
      <w:pPr>
        <w:spacing w:before="240" w:after="80"/>
      </w:pPr>
      <w:r>
        <w:rPr>
          <w:rFonts w:ascii="Arial" w:hAnsi="Arial" w:eastAsia="Arial" w:cs="Arial"/>
          <w:b/>
          <w:bCs/>
          <w:color w:val="2C3E50"/>
          <w:sz w:val="24"/>
          <w:szCs w:val="24"/>
        </w:rPr>
        <w:t>Learning Objectives</w:t>
      </w:r>
    </w:p>
    <w:p w14:paraId="20F9B443">
      <w:pPr>
        <w:spacing w:before="0" w:after="160" w:line="276" w:lineRule="auto"/>
        <w:jc w:val="both"/>
      </w:pPr>
      <w:r>
        <w:rPr>
          <w:rFonts w:ascii="Times New Roman" w:hAnsi="Times New Roman" w:eastAsia="Times New Roman" w:cs="Times New Roman"/>
          <w:sz w:val="24"/>
          <w:szCs w:val="24"/>
        </w:rPr>
        <w:t>By the end of class discussion, students will be able to:</w:t>
      </w:r>
    </w:p>
    <w:p w14:paraId="428DCD2A">
      <w:pPr>
        <w:pStyle w:val="16"/>
        <w:numPr>
          <w:ilvl w:val="0"/>
          <w:numId w:val="1"/>
        </w:numPr>
        <w:spacing w:before="60" w:after="60"/>
      </w:pPr>
      <w:r>
        <w:rPr>
          <w:rFonts w:ascii="Times New Roman" w:hAnsi="Times New Roman" w:eastAsia="Times New Roman" w:cs="Times New Roman"/>
          <w:sz w:val="24"/>
          <w:szCs w:val="24"/>
        </w:rPr>
        <w:t>Apply the Theory of Constraints and Supply Chain Risk Matrix to a real-time systemic disruption, distinguishing between disruptions that can be rerouted and those that cannot.</w:t>
      </w:r>
    </w:p>
    <w:p w14:paraId="49A31F6D">
      <w:pPr>
        <w:pStyle w:val="16"/>
        <w:numPr>
          <w:ilvl w:val="0"/>
          <w:numId w:val="1"/>
        </w:numPr>
        <w:spacing w:before="60" w:after="60"/>
      </w:pPr>
      <w:r>
        <w:rPr>
          <w:rFonts w:ascii="Times New Roman" w:hAnsi="Times New Roman" w:eastAsia="Times New Roman" w:cs="Times New Roman"/>
          <w:sz w:val="24"/>
          <w:szCs w:val="24"/>
        </w:rPr>
        <w:t>Evaluate a CEO's simultaneous obligations to multiple stakeholders, crew, cargo owners, shareholders, charterers, and the global public, using stakeholder theory and the ethical decision matrix.</w:t>
      </w:r>
    </w:p>
    <w:p w14:paraId="64C5B4AE">
      <w:pPr>
        <w:pStyle w:val="16"/>
        <w:numPr>
          <w:ilvl w:val="0"/>
          <w:numId w:val="1"/>
        </w:numPr>
        <w:spacing w:before="60" w:after="60"/>
      </w:pPr>
      <w:r>
        <w:rPr>
          <w:rFonts w:ascii="Times New Roman" w:hAnsi="Times New Roman" w:eastAsia="Times New Roman" w:cs="Times New Roman"/>
          <w:sz w:val="24"/>
          <w:szCs w:val="24"/>
        </w:rPr>
        <w:t>Analyze why the Strait of Hormuz has no viable commercial substitute, using geographic, infrastructure, and capacity data from the EIA and IEA.</w:t>
      </w:r>
    </w:p>
    <w:p w14:paraId="077A90D2">
      <w:pPr>
        <w:pStyle w:val="16"/>
        <w:numPr>
          <w:ilvl w:val="0"/>
          <w:numId w:val="1"/>
        </w:numPr>
        <w:spacing w:before="60" w:after="60"/>
      </w:pPr>
      <w:r>
        <w:rPr>
          <w:rFonts w:ascii="Times New Roman" w:hAnsi="Times New Roman" w:eastAsia="Times New Roman" w:cs="Times New Roman"/>
          <w:sz w:val="24"/>
          <w:szCs w:val="24"/>
        </w:rPr>
        <w:t>Develop a structured crisis response framework for shipping operators that balances crew safety, legal rights, commercial obligations, and ESG commitments.</w:t>
      </w:r>
    </w:p>
    <w:p w14:paraId="2B1B4C0B">
      <w:pPr>
        <w:pStyle w:val="16"/>
        <w:numPr>
          <w:ilvl w:val="0"/>
          <w:numId w:val="1"/>
        </w:numPr>
        <w:spacing w:before="60" w:after="60"/>
      </w:pPr>
      <w:r>
        <w:rPr>
          <w:rFonts w:ascii="Times New Roman" w:hAnsi="Times New Roman" w:eastAsia="Times New Roman" w:cs="Times New Roman"/>
          <w:sz w:val="24"/>
          <w:szCs w:val="24"/>
        </w:rPr>
        <w:t>Critically assess what the Hormuz closure reveals about the structural fragility of just-in-time global supply chains and the concentration of geopolitical risk in single-point chokepoints.</w:t>
      </w:r>
    </w:p>
    <w:p w14:paraId="480237D0">
      <w:pPr>
        <w:spacing w:before="0" w:after="80"/>
      </w:pPr>
    </w:p>
    <w:p w14:paraId="5912970B">
      <w:pPr>
        <w:spacing w:before="240" w:after="80"/>
      </w:pPr>
      <w:r>
        <w:rPr>
          <w:rFonts w:ascii="Arial" w:hAnsi="Arial" w:eastAsia="Arial" w:cs="Arial"/>
          <w:b/>
          <w:bCs/>
          <w:color w:val="2C3E50"/>
          <w:sz w:val="24"/>
          <w:szCs w:val="24"/>
        </w:rPr>
        <w:t>90-Minute Board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7"/>
        <w:gridCol w:w="1063"/>
        <w:gridCol w:w="2420"/>
        <w:gridCol w:w="1892"/>
        <w:gridCol w:w="3278"/>
      </w:tblGrid>
      <w:tr w14:paraId="250C1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066679E8">
            <w:r>
              <w:rPr>
                <w:rFonts w:ascii="Arial" w:hAnsi="Arial" w:eastAsia="Arial" w:cs="Arial"/>
                <w:b/>
                <w:bCs/>
                <w:color w:val="FFFFFF"/>
                <w:sz w:val="20"/>
                <w:szCs w:val="20"/>
              </w:rPr>
              <w:t>Time</w:t>
            </w:r>
          </w:p>
        </w:tc>
        <w:tc>
          <w:tcPr>
            <w:tcW w:w="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72796014">
            <w:r>
              <w:rPr>
                <w:rFonts w:ascii="Arial" w:hAnsi="Arial" w:eastAsia="Arial" w:cs="Arial"/>
                <w:b/>
                <w:bCs/>
                <w:color w:val="FFFFFF"/>
                <w:sz w:val="20"/>
                <w:szCs w:val="20"/>
              </w:rPr>
              <w:t>Duration</w:t>
            </w:r>
          </w:p>
        </w:tc>
        <w:tc>
          <w:tcPr>
            <w:tcW w:w="26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7E1C8270">
            <w:r>
              <w:rPr>
                <w:rFonts w:ascii="Arial" w:hAnsi="Arial" w:eastAsia="Arial" w:cs="Arial"/>
                <w:b/>
                <w:bCs/>
                <w:color w:val="FFFFFF"/>
                <w:sz w:val="20"/>
                <w:szCs w:val="20"/>
              </w:rPr>
              <w:t>Activity</w:t>
            </w:r>
          </w:p>
        </w:tc>
        <w:tc>
          <w:tcPr>
            <w:tcW w:w="200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593A4A19">
            <w:r>
              <w:rPr>
                <w:rFonts w:ascii="Arial" w:hAnsi="Arial" w:eastAsia="Arial" w:cs="Arial"/>
                <w:b/>
                <w:bCs/>
                <w:color w:val="FFFFFF"/>
                <w:sz w:val="20"/>
                <w:szCs w:val="20"/>
              </w:rPr>
              <w:t>Board Pasture</w:t>
            </w:r>
          </w:p>
        </w:tc>
        <w:tc>
          <w:tcPr>
            <w:tcW w:w="3560" w:type="dxa"/>
            <w:tcBorders>
              <w:top w:val="single" w:color="CCCCCC" w:sz="0" w:space="0"/>
              <w:left w:val="single" w:color="CCCCCC" w:sz="0" w:space="0"/>
              <w:bottom w:val="single" w:color="CCCCCC" w:sz="0" w:space="0"/>
              <w:right w:val="single" w:color="CCCCCC" w:sz="0" w:space="0"/>
            </w:tcBorders>
            <w:shd w:val="clear" w:color="auto" w:fill="2C3E50"/>
            <w:tcMar>
              <w:top w:w="80" w:type="dxa"/>
              <w:left w:w="120" w:type="dxa"/>
              <w:bottom w:w="80" w:type="dxa"/>
              <w:right w:w="120" w:type="dxa"/>
            </w:tcMar>
          </w:tcPr>
          <w:p w14:paraId="584EA6C1">
            <w:r>
              <w:rPr>
                <w:rFonts w:ascii="Arial" w:hAnsi="Arial" w:eastAsia="Arial" w:cs="Arial"/>
                <w:b/>
                <w:bCs/>
                <w:color w:val="FFFFFF"/>
                <w:sz w:val="20"/>
                <w:szCs w:val="20"/>
              </w:rPr>
              <w:t>Purpose</w:t>
            </w:r>
          </w:p>
        </w:tc>
      </w:tr>
      <w:tr w14:paraId="65771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3C5E14D">
            <w:r>
              <w:rPr>
                <w:rFonts w:ascii="Times New Roman" w:hAnsi="Times New Roman" w:eastAsia="Times New Roman" w:cs="Times New Roman"/>
                <w:sz w:val="20"/>
                <w:szCs w:val="20"/>
              </w:rPr>
              <w:t>0:00</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29BB37">
            <w:r>
              <w:rPr>
                <w:rFonts w:ascii="Times New Roman" w:hAnsi="Times New Roman" w:eastAsia="Times New Roman" w:cs="Times New Roman"/>
                <w:sz w:val="20"/>
                <w:szCs w:val="20"/>
              </w:rPr>
              <w:t>5 min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9C04B37">
            <w:r>
              <w:rPr>
                <w:rFonts w:ascii="Times New Roman" w:hAnsi="Times New Roman" w:eastAsia="Times New Roman" w:cs="Times New Roman"/>
                <w:sz w:val="20"/>
                <w:szCs w:val="20"/>
              </w:rPr>
              <w:t>Cold-call: 'You are Captain of NordFleet Integrity, 41 nautical miles from exit. It's 04:00. What do you do?'</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87640C">
            <w:r>
              <w:rPr>
                <w:rFonts w:ascii="Times New Roman" w:hAnsi="Times New Roman" w:eastAsia="Times New Roman" w:cs="Times New Roman"/>
                <w:sz w:val="20"/>
                <w:szCs w:val="20"/>
              </w:rPr>
              <w: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071CD2">
            <w:r>
              <w:rPr>
                <w:rFonts w:ascii="Times New Roman" w:hAnsi="Times New Roman" w:eastAsia="Times New Roman" w:cs="Times New Roman"/>
                <w:sz w:val="20"/>
                <w:szCs w:val="20"/>
              </w:rPr>
              <w:t>Immediate crew-level empathy; surface the safety-first instinct</w:t>
            </w:r>
          </w:p>
        </w:tc>
      </w:tr>
      <w:tr w14:paraId="332E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9C1CC73">
            <w:r>
              <w:rPr>
                <w:rFonts w:ascii="Times New Roman" w:hAnsi="Times New Roman" w:eastAsia="Times New Roman" w:cs="Times New Roman"/>
                <w:sz w:val="20"/>
                <w:szCs w:val="20"/>
              </w:rPr>
              <w:t>0:05</w:t>
            </w:r>
          </w:p>
        </w:tc>
        <w:tc>
          <w:tcPr>
            <w:tcW w:w="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50E77F4">
            <w:r>
              <w:rPr>
                <w:rFonts w:ascii="Times New Roman" w:hAnsi="Times New Roman" w:eastAsia="Times New Roman" w:cs="Times New Roman"/>
                <w:sz w:val="20"/>
                <w:szCs w:val="20"/>
              </w:rPr>
              <w:t>10 min</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6146AAD">
            <w:r>
              <w:rPr>
                <w:rFonts w:ascii="Times New Roman" w:hAnsi="Times New Roman" w:eastAsia="Times New Roman" w:cs="Times New Roman"/>
                <w:sz w:val="20"/>
                <w:szCs w:val="20"/>
              </w:rPr>
              <w:t>Situation analysis: What is closed, why, and what does that mean?</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43AF716">
            <w:r>
              <w:rPr>
                <w:rFonts w:ascii="Times New Roman" w:hAnsi="Times New Roman" w:eastAsia="Times New Roman" w:cs="Times New Roman"/>
                <w:sz w:val="20"/>
                <w:szCs w:val="20"/>
              </w:rPr>
              <w:t>Left: The Chokepoint. Geography &amp; Scale</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A367346">
            <w:r>
              <w:rPr>
                <w:rFonts w:ascii="Times New Roman" w:hAnsi="Times New Roman" w:eastAsia="Times New Roman" w:cs="Times New Roman"/>
                <w:sz w:val="20"/>
                <w:szCs w:val="20"/>
              </w:rPr>
              <w:t>Ground the macro in verifiable data; establish why there is no alternative</w:t>
            </w:r>
          </w:p>
        </w:tc>
      </w:tr>
      <w:tr w14:paraId="68EA3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CBAB878">
            <w:r>
              <w:rPr>
                <w:rFonts w:ascii="Times New Roman" w:hAnsi="Times New Roman" w:eastAsia="Times New Roman" w:cs="Times New Roman"/>
                <w:sz w:val="20"/>
                <w:szCs w:val="20"/>
              </w:rPr>
              <w:t>0:15</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5A2F42A">
            <w:r>
              <w:rPr>
                <w:rFonts w:ascii="Times New Roman" w:hAnsi="Times New Roman" w:eastAsia="Times New Roman" w:cs="Times New Roman"/>
                <w:sz w:val="20"/>
                <w:szCs w:val="20"/>
              </w:rPr>
              <w:t>20 min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A878713">
            <w:r>
              <w:rPr>
                <w:rFonts w:ascii="Times New Roman" w:hAnsi="Times New Roman" w:eastAsia="Times New Roman" w:cs="Times New Roman"/>
                <w:sz w:val="20"/>
                <w:szCs w:val="20"/>
              </w:rPr>
              <w:t>Three vessel decisions: Which do you resolve first? How?</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B5FA0F4">
            <w:r>
              <w:rPr>
                <w:rFonts w:ascii="Times New Roman" w:hAnsi="Times New Roman" w:eastAsia="Times New Roman" w:cs="Times New Roman"/>
                <w:sz w:val="20"/>
                <w:szCs w:val="20"/>
              </w:rPr>
              <w:t>Center: The Three Vessels</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042D5A4">
            <w:r>
              <w:rPr>
                <w:rFonts w:ascii="Times New Roman" w:hAnsi="Times New Roman" w:eastAsia="Times New Roman" w:cs="Times New Roman"/>
                <w:sz w:val="20"/>
                <w:szCs w:val="20"/>
              </w:rPr>
              <w:t>Force prioritisation logic; surface competing stakeholder claims</w:t>
            </w:r>
          </w:p>
        </w:tc>
      </w:tr>
      <w:tr w14:paraId="4FF35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93F3D9B">
            <w:r>
              <w:rPr>
                <w:rFonts w:ascii="Times New Roman" w:hAnsi="Times New Roman" w:eastAsia="Times New Roman" w:cs="Times New Roman"/>
                <w:sz w:val="20"/>
                <w:szCs w:val="20"/>
              </w:rPr>
              <w:t>0:35</w:t>
            </w:r>
          </w:p>
        </w:tc>
        <w:tc>
          <w:tcPr>
            <w:tcW w:w="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FDA4C81">
            <w:r>
              <w:rPr>
                <w:rFonts w:ascii="Times New Roman" w:hAnsi="Times New Roman" w:eastAsia="Times New Roman" w:cs="Times New Roman"/>
                <w:sz w:val="20"/>
                <w:szCs w:val="20"/>
              </w:rPr>
              <w:t>20 min</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F55BC93">
            <w:r>
              <w:rPr>
                <w:rFonts w:ascii="Times New Roman" w:hAnsi="Times New Roman" w:eastAsia="Times New Roman" w:cs="Times New Roman"/>
                <w:sz w:val="20"/>
                <w:szCs w:val="20"/>
              </w:rPr>
              <w:t>Stakeholder mapping: Crew vs. cargo owners vs. shareholders vs. the world</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69A3F4C">
            <w:r>
              <w:rPr>
                <w:rFonts w:ascii="Times New Roman" w:hAnsi="Times New Roman" w:eastAsia="Times New Roman" w:cs="Times New Roman"/>
                <w:sz w:val="20"/>
                <w:szCs w:val="20"/>
              </w:rPr>
              <w:t>Center-Right: Stakeholder Matrix</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8388E7E">
            <w:r>
              <w:rPr>
                <w:rFonts w:ascii="Times New Roman" w:hAnsi="Times New Roman" w:eastAsia="Times New Roman" w:cs="Times New Roman"/>
                <w:sz w:val="20"/>
                <w:szCs w:val="20"/>
              </w:rPr>
              <w:t>Apply stakeholder theory; expose the impossibility of satisfying all simultaneously</w:t>
            </w:r>
          </w:p>
        </w:tc>
      </w:tr>
      <w:tr w14:paraId="36F11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55A01A">
            <w:r>
              <w:rPr>
                <w:rFonts w:ascii="Times New Roman" w:hAnsi="Times New Roman" w:eastAsia="Times New Roman" w:cs="Times New Roman"/>
                <w:sz w:val="20"/>
                <w:szCs w:val="20"/>
              </w:rPr>
              <w:t>0:55</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7570EE">
            <w:r>
              <w:rPr>
                <w:rFonts w:ascii="Times New Roman" w:hAnsi="Times New Roman" w:eastAsia="Times New Roman" w:cs="Times New Roman"/>
                <w:sz w:val="20"/>
                <w:szCs w:val="20"/>
              </w:rPr>
              <w:t>15 min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B9AC6A8">
            <w:r>
              <w:rPr>
                <w:rFonts w:ascii="Times New Roman" w:hAnsi="Times New Roman" w:eastAsia="Times New Roman" w:cs="Times New Roman"/>
                <w:sz w:val="20"/>
                <w:szCs w:val="20"/>
              </w:rPr>
              <w:t>Strategic: What should NordFleet's post-crisis chokepoint strategy be?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2EB1ED">
            <w:r>
              <w:rPr>
                <w:rFonts w:ascii="Times New Roman" w:hAnsi="Times New Roman" w:eastAsia="Times New Roman" w:cs="Times New Roman"/>
                <w:sz w:val="20"/>
                <w:szCs w:val="20"/>
              </w:rPr>
              <w:t>Right: Strategy After</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24B4B31">
            <w:r>
              <w:rPr>
                <w:rFonts w:ascii="Times New Roman" w:hAnsi="Times New Roman" w:eastAsia="Times New Roman" w:cs="Times New Roman"/>
                <w:sz w:val="20"/>
                <w:szCs w:val="20"/>
              </w:rPr>
              <w:t>Shift from crisis to competitive strategy; supply chain resilience frameworks</w:t>
            </w:r>
          </w:p>
        </w:tc>
      </w:tr>
      <w:tr w14:paraId="597DC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FCB9E55">
            <w:r>
              <w:rPr>
                <w:rFonts w:ascii="Times New Roman" w:hAnsi="Times New Roman" w:eastAsia="Times New Roman" w:cs="Times New Roman"/>
                <w:sz w:val="20"/>
                <w:szCs w:val="20"/>
              </w:rPr>
              <w:t>1:10</w:t>
            </w:r>
          </w:p>
        </w:tc>
        <w:tc>
          <w:tcPr>
            <w:tcW w:w="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088206F">
            <w:r>
              <w:rPr>
                <w:rFonts w:ascii="Times New Roman" w:hAnsi="Times New Roman" w:eastAsia="Times New Roman" w:cs="Times New Roman"/>
                <w:sz w:val="20"/>
                <w:szCs w:val="20"/>
              </w:rPr>
              <w:t>10 min</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ACEC29B">
            <w:r>
              <w:rPr>
                <w:rFonts w:ascii="Times New Roman" w:hAnsi="Times New Roman" w:eastAsia="Times New Roman" w:cs="Times New Roman"/>
                <w:sz w:val="20"/>
                <w:szCs w:val="20"/>
              </w:rPr>
              <w:t>What actually happened, industry debrief</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E2F788A">
            <w:r>
              <w:rPr>
                <w:rFonts w:ascii="Times New Roman" w:hAnsi="Times New Roman" w:eastAsia="Times New Roman" w:cs="Times New Roman"/>
                <w:sz w:val="20"/>
                <w:szCs w:val="20"/>
              </w:rPr>
              <w:t>—</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1664F7E">
            <w:r>
              <w:rPr>
                <w:rFonts w:ascii="Times New Roman" w:hAnsi="Times New Roman" w:eastAsia="Times New Roman" w:cs="Times New Roman"/>
                <w:sz w:val="20"/>
                <w:szCs w:val="20"/>
              </w:rPr>
              <w:t>Ground analysis in actual operator decisions (Maersk, MSC, Hapag-Lloyd)</w:t>
            </w:r>
          </w:p>
        </w:tc>
      </w:tr>
      <w:tr w14:paraId="4A481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F7315D">
            <w:r>
              <w:rPr>
                <w:rFonts w:ascii="Times New Roman" w:hAnsi="Times New Roman" w:eastAsia="Times New Roman" w:cs="Times New Roman"/>
                <w:sz w:val="20"/>
                <w:szCs w:val="20"/>
              </w:rPr>
              <w:t>1:20</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6573872">
            <w:r>
              <w:rPr>
                <w:rFonts w:ascii="Times New Roman" w:hAnsi="Times New Roman" w:eastAsia="Times New Roman" w:cs="Times New Roman"/>
                <w:sz w:val="20"/>
                <w:szCs w:val="20"/>
              </w:rPr>
              <w:t>5 min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959E9C8">
            <w:r>
              <w:rPr>
                <w:rFonts w:ascii="Times New Roman" w:hAnsi="Times New Roman" w:eastAsia="Times New Roman" w:cs="Times New Roman"/>
                <w:sz w:val="20"/>
                <w:szCs w:val="20"/>
              </w:rPr>
              <w:t>Synthesis: What does this crisis tell us about the supply chains we take for granted?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17CA25A">
            <w:r>
              <w:rPr>
                <w:rFonts w:ascii="Times New Roman" w:hAnsi="Times New Roman" w:eastAsia="Times New Roman" w:cs="Times New Roman"/>
                <w:sz w:val="20"/>
                <w:szCs w:val="20"/>
              </w:rPr>
              <w: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8E769B">
            <w:r>
              <w:rPr>
                <w:rFonts w:ascii="Times New Roman" w:hAnsi="Times New Roman" w:eastAsia="Times New Roman" w:cs="Times New Roman"/>
                <w:sz w:val="20"/>
                <w:szCs w:val="20"/>
              </w:rPr>
              <w:t>Civilisational frame; close with long-standing lesson</w:t>
            </w:r>
          </w:p>
        </w:tc>
      </w:tr>
      <w:tr w14:paraId="7D1CF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F49D1A8">
            <w:r>
              <w:rPr>
                <w:rFonts w:ascii="Times New Roman" w:hAnsi="Times New Roman" w:eastAsia="Times New Roman" w:cs="Times New Roman"/>
                <w:sz w:val="20"/>
                <w:szCs w:val="20"/>
              </w:rPr>
              <w:t>1:25</w:t>
            </w:r>
          </w:p>
        </w:tc>
        <w:tc>
          <w:tcPr>
            <w:tcW w:w="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299A4C0">
            <w:r>
              <w:rPr>
                <w:rFonts w:ascii="Times New Roman" w:hAnsi="Times New Roman" w:eastAsia="Times New Roman" w:cs="Times New Roman"/>
                <w:sz w:val="20"/>
                <w:szCs w:val="20"/>
              </w:rPr>
              <w:t>5 min</w:t>
            </w:r>
          </w:p>
        </w:tc>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0192F2C">
            <w:r>
              <w:rPr>
                <w:rFonts w:ascii="Times New Roman" w:hAnsi="Times New Roman" w:eastAsia="Times New Roman" w:cs="Times New Roman"/>
                <w:sz w:val="20"/>
                <w:szCs w:val="20"/>
              </w:rPr>
              <w:t>Buffer / extended Q&amp;A</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662C5B1">
            <w:r>
              <w:rPr>
                <w:rFonts w:ascii="Times New Roman" w:hAnsi="Times New Roman" w:eastAsia="Times New Roman" w:cs="Times New Roman"/>
                <w:sz w:val="20"/>
                <w:szCs w:val="20"/>
              </w:rPr>
              <w:t>—</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0775FCA">
            <w:r>
              <w:rPr>
                <w:rFonts w:ascii="Times New Roman" w:hAnsi="Times New Roman" w:eastAsia="Times New Roman" w:cs="Times New Roman"/>
                <w:sz w:val="20"/>
                <w:szCs w:val="20"/>
              </w:rPr>
              <w:t>Student-driven</w:t>
            </w:r>
          </w:p>
        </w:tc>
      </w:tr>
    </w:tbl>
    <w:p w14:paraId="079B4867">
      <w:pPr>
        <w:spacing w:before="0" w:after="80"/>
      </w:pPr>
    </w:p>
    <w:p w14:paraId="40B3F3E8">
      <w:pPr>
        <w:spacing w:before="240" w:after="80"/>
      </w:pPr>
      <w:r>
        <w:rPr>
          <w:rFonts w:ascii="Arial" w:hAnsi="Arial" w:eastAsia="Arial" w:cs="Arial"/>
          <w:b/>
          <w:bCs/>
          <w:color w:val="2C3E50"/>
          <w:sz w:val="24"/>
          <w:szCs w:val="24"/>
        </w:rPr>
        <w:t>Discussion Questions with Model Answers</w:t>
      </w:r>
    </w:p>
    <w:p w14:paraId="69019428">
      <w:pPr>
        <w:spacing w:before="240" w:after="80"/>
      </w:pPr>
      <w:r>
        <w:rPr>
          <w:rFonts w:ascii="Arial" w:hAnsi="Arial" w:eastAsia="Arial" w:cs="Arial"/>
          <w:b/>
          <w:bCs/>
          <w:color w:val="2C3E50"/>
          <w:sz w:val="24"/>
          <w:szCs w:val="24"/>
        </w:rPr>
        <w:t>Q1: Which vessel decision is most urgent, and what does your answer reveal about your values?</w:t>
      </w:r>
    </w:p>
    <w:p w14:paraId="4D15707F">
      <w:pPr>
        <w:spacing w:before="0" w:after="160" w:line="276" w:lineRule="auto"/>
        <w:jc w:val="both"/>
      </w:pPr>
      <w:r>
        <w:rPr>
          <w:rFonts w:ascii="Times New Roman" w:hAnsi="Times New Roman" w:eastAsia="Times New Roman" w:cs="Times New Roman"/>
          <w:sz w:val="24"/>
          <w:szCs w:val="24"/>
        </w:rPr>
        <w:t>Opening move: Force a show of hands before discussion. Integrity, Resolute, or Meridian? The spread of answers reveals competing value hierarchies immediately.</w:t>
      </w:r>
    </w:p>
    <w:p w14:paraId="4F6D053B">
      <w:pPr>
        <w:spacing w:before="0" w:after="160" w:line="276" w:lineRule="auto"/>
        <w:ind w:left="720" w:right="720"/>
        <w:jc w:val="both"/>
      </w:pPr>
      <w:r>
        <w:rPr>
          <w:rFonts w:ascii="Times New Roman" w:hAnsi="Times New Roman" w:eastAsia="Times New Roman" w:cs="Times New Roman"/>
          <w:i/>
          <w:iCs/>
          <w:sz w:val="22"/>
          <w:szCs w:val="22"/>
        </w:rPr>
        <w:t>A+ Answer: The student identifies the Integrity as most urgent (crew in immediate danger, time-sensitive, irreversible if wrong), but argues that the Resolute and Meridian decisions must be made in parallel because delay is itself a decision with commercial consequences. The student then distinguishes the Integrity decision (values question: what is NordFleet's duty to crew?) from the Meridian decision (legal question: what does force majeure require?) from the Resolute decision (operational question: which reroute option minimises total cost including delay?). The student who can hold all three simultaneously without conflating them demonstrates genuine supply chain risk management capability.</w:t>
      </w:r>
    </w:p>
    <w:p w14:paraId="4204368B">
      <w:pPr>
        <w:spacing w:before="0" w:after="160" w:line="276" w:lineRule="auto"/>
        <w:ind w:left="720" w:right="720"/>
        <w:jc w:val="both"/>
      </w:pPr>
      <w:r>
        <w:rPr>
          <w:rFonts w:ascii="Times New Roman" w:hAnsi="Times New Roman" w:eastAsia="Times New Roman" w:cs="Times New Roman"/>
          <w:i/>
          <w:iCs/>
          <w:sz w:val="22"/>
          <w:szCs w:val="22"/>
        </w:rPr>
        <w:t>Common Wrong Answer: "Crew safety always comes first." This is correct in the abstract but analytically insufficient. Follow up: "If crew safety always comes first, NordFleet should immediately cease all operations in any war zone. What does that mean for global energy supply? Who bears that cost?" The point is not that crew safety is wrong, it is that applying it consistently has consequences that extend far beyond the company.</w:t>
      </w:r>
    </w:p>
    <w:p w14:paraId="5CA12B9C">
      <w:pPr>
        <w:spacing w:before="0" w:after="80"/>
      </w:pPr>
    </w:p>
    <w:p w14:paraId="602C72D1">
      <w:pPr>
        <w:spacing w:before="240" w:after="80"/>
        <w:rPr>
          <w:rFonts w:ascii="Arial" w:hAnsi="Arial" w:eastAsia="Arial" w:cs="Arial"/>
          <w:b/>
          <w:bCs/>
          <w:color w:val="2C3E50"/>
          <w:sz w:val="24"/>
          <w:szCs w:val="24"/>
        </w:rPr>
      </w:pPr>
    </w:p>
    <w:p w14:paraId="699BD71A">
      <w:pPr>
        <w:spacing w:before="240" w:after="80"/>
      </w:pPr>
      <w:bookmarkStart w:id="0" w:name="_GoBack"/>
      <w:bookmarkEnd w:id="0"/>
      <w:r>
        <w:rPr>
          <w:rFonts w:ascii="Arial" w:hAnsi="Arial" w:eastAsia="Arial" w:cs="Arial"/>
          <w:b/>
          <w:bCs/>
          <w:color w:val="2C3E50"/>
          <w:sz w:val="24"/>
          <w:szCs w:val="24"/>
        </w:rPr>
        <w:t>Q2: Can a private company's decision about one ship affect global food security? If so, what does that imply?</w:t>
      </w:r>
    </w:p>
    <w:p w14:paraId="749F31E9">
      <w:pPr>
        <w:spacing w:before="0" w:after="160" w:line="276" w:lineRule="auto"/>
        <w:jc w:val="both"/>
      </w:pPr>
      <w:r>
        <w:rPr>
          <w:rFonts w:ascii="Times New Roman" w:hAnsi="Times New Roman" w:eastAsia="Times New Roman" w:cs="Times New Roman"/>
          <w:sz w:val="24"/>
          <w:szCs w:val="24"/>
        </w:rPr>
        <w:t>Opening move: Present the fertiliser disruption data from Exhibit 3. Ask: Who is a stakeholder in Lindqvist's decision? Students typically name crew, cargo owners, shareholders. Push them: "Who else?"</w:t>
      </w:r>
    </w:p>
    <w:p w14:paraId="6CC2ECBC">
      <w:pPr>
        <w:spacing w:before="0" w:after="160" w:line="276" w:lineRule="auto"/>
        <w:ind w:left="720" w:right="720"/>
        <w:jc w:val="both"/>
      </w:pPr>
      <w:r>
        <w:rPr>
          <w:rFonts w:ascii="Times New Roman" w:hAnsi="Times New Roman" w:eastAsia="Times New Roman" w:cs="Times New Roman"/>
          <w:i/>
          <w:iCs/>
          <w:sz w:val="22"/>
          <w:szCs w:val="22"/>
        </w:rPr>
        <w:t>A+ Answer: The student traces the causal chain from NordFleet's decision → Gulf port congestion → fertiliser supply disruption → spring planting delays → food price inflation → food insecurity in import-dependent nations. They then grapple with the genuine question: can a stakeholder theory that extends to 45 million people at food insecurity risk actually guide a CEO decision in real time? They acknowledge it cannot, while identifying what institutional frameworks (UN, IMO, IEA emergency releases) are supposed to carry that weight, and questioning whether those frameworks are adequate.</w:t>
      </w:r>
    </w:p>
    <w:p w14:paraId="0D5DAA60">
      <w:pPr>
        <w:spacing w:before="0" w:after="80"/>
      </w:pPr>
    </w:p>
    <w:p w14:paraId="321352A9">
      <w:pPr>
        <w:spacing w:before="240" w:after="80"/>
      </w:pPr>
      <w:r>
        <w:rPr>
          <w:rFonts w:ascii="Arial" w:hAnsi="Arial" w:eastAsia="Arial" w:cs="Arial"/>
          <w:b/>
          <w:bCs/>
          <w:color w:val="2C3E50"/>
          <w:sz w:val="24"/>
          <w:szCs w:val="24"/>
        </w:rPr>
        <w:t>Q3: What should NordFleet's chokepoint strategy be after this crisis?</w:t>
      </w:r>
    </w:p>
    <w:p w14:paraId="385467E1">
      <w:pPr>
        <w:spacing w:before="0" w:after="160" w:line="276" w:lineRule="auto"/>
        <w:jc w:val="both"/>
      </w:pPr>
      <w:r>
        <w:rPr>
          <w:rFonts w:ascii="Times New Roman" w:hAnsi="Times New Roman" w:eastAsia="Times New Roman" w:cs="Times New Roman"/>
          <w:sz w:val="24"/>
          <w:szCs w:val="24"/>
        </w:rPr>
        <w:t>This is the Level 2 strategic question. Reserve it for the second half of class.</w:t>
      </w:r>
    </w:p>
    <w:p w14:paraId="09F77E7F">
      <w:pPr>
        <w:spacing w:before="0" w:after="160" w:line="276" w:lineRule="auto"/>
        <w:ind w:left="720" w:right="720"/>
        <w:jc w:val="both"/>
      </w:pPr>
      <w:r>
        <w:rPr>
          <w:rFonts w:ascii="Times New Roman" w:hAnsi="Times New Roman" w:eastAsia="Times New Roman" w:cs="Times New Roman"/>
          <w:i/>
          <w:iCs/>
          <w:sz w:val="22"/>
          <w:szCs w:val="22"/>
        </w:rPr>
        <w:t>A+ Answer: The student argues that NordFleet's 21% Hormuz revenue concentration was a known, quantifiable risk that the company's scenario planning failed to adequately price. They recommend a post-crisis framework built around: (1) fleet diversification away from single-chokepoint exposure; (2) contractual force majeure clauses designed for geopolitical (not just natural) disruptions; (3) investment in dual-flag vessel registration to reduce regulatory dependency on any single flag state; (4) advocacy for international minimum-standards maritime insurance for conflict zones. They resist the temptation to recommend avoiding the Gulf, which would be strategically suicidal for a shipping company of NordFleet's scale, and instead argue for pricing the risk correctly.</w:t>
      </w:r>
    </w:p>
    <w:p w14:paraId="5B84870F">
      <w:pPr>
        <w:spacing w:before="0" w:after="80"/>
      </w:pPr>
    </w:p>
    <w:p w14:paraId="0F520C69">
      <w:pPr>
        <w:spacing w:before="240" w:after="80"/>
      </w:pPr>
      <w:r>
        <w:rPr>
          <w:rFonts w:ascii="Arial" w:hAnsi="Arial" w:eastAsia="Arial" w:cs="Arial"/>
          <w:b/>
          <w:bCs/>
          <w:color w:val="2C3E50"/>
          <w:sz w:val="24"/>
          <w:szCs w:val="24"/>
        </w:rPr>
        <w:t>Epilogue. What Operators Actually Did</w:t>
      </w:r>
    </w:p>
    <w:p w14:paraId="7CED3F81">
      <w:pPr>
        <w:spacing w:before="0" w:after="160" w:line="276" w:lineRule="auto"/>
        <w:jc w:val="both"/>
      </w:pPr>
      <w:r>
        <w:rPr>
          <w:rFonts w:ascii="Times New Roman" w:hAnsi="Times New Roman" w:eastAsia="Times New Roman" w:cs="Times New Roman"/>
          <w:sz w:val="24"/>
          <w:szCs w:val="24"/>
        </w:rPr>
        <w:t>Maersk suspended all Strait of Hormuz crossings from March 1, 2026, rerouting services via Sohar Port (Oman) and accepting 10–14 days of additional transit time. MSC ordered all Gulf-bound vessels to shelter immediately. Hapag-Lloyd suspended crossings and introduced a War Risk Surcharge of $1,500 per TEU. CMA CGM imposed an Emergency Conflict Surcharge of $2,000 per TEU and ordered Gulf vessels to shelter. DP World's Jebel Ali Port resumed operations after a precautionary suspension, and DP World opened emergency land corridors to Dammam and other Saudi hubs. As of early April 2026, a two-week ceasefire had been declared, briefly re-opening the strait, before Iran re-imposed restrictions. The physical Brent crude price reached approximately $150 per barrel at its peak. The IEA April 2026 Oil Market Report confirmed a 10.1 mb/d global supply reduction in March, the largest in recorded history. The IMF cut its 2026 MENA growth forecast by 2.8 percentage points. No resolution has yet been reached.</w:t>
      </w:r>
    </w:p>
    <w:p w14:paraId="72B298D4">
      <w:pPr>
        <w:spacing w:before="0" w:after="160" w:line="276" w:lineRule="auto"/>
        <w:jc w:val="both"/>
      </w:pPr>
      <w:r>
        <w:rPr>
          <w:rFonts w:ascii="Times New Roman" w:hAnsi="Times New Roman" w:eastAsia="Times New Roman" w:cs="Times New Roman"/>
          <w:sz w:val="24"/>
          <w:szCs w:val="24"/>
        </w:rPr>
        <w:t>Key lessons: (1) Geographic concentration in maritime supply chains creates risks that are invisible until they are catastrophic. (2) Insurance markets can withdraw faster than operational alternatives can be established. (3) The duty of care to crew has no operational substitute, it must be decided before the crisis. (4) "Critical corridor exposure" as a business strategy carries geopolitical tail risk that no freight rate premium fully compensates.</w:t>
      </w:r>
    </w:p>
    <w:p w14:paraId="2B8552A9">
      <w:pPr>
        <w:spacing w:before="0" w:after="80"/>
      </w:pPr>
    </w:p>
    <w:p w14:paraId="31217487">
      <w:pPr>
        <w:spacing w:before="240" w:after="80"/>
      </w:pPr>
      <w:r>
        <w:rPr>
          <w:rFonts w:ascii="Arial" w:hAnsi="Arial" w:eastAsia="Arial" w:cs="Arial"/>
          <w:b/>
          <w:bCs/>
          <w:color w:val="2C3E50"/>
          <w:sz w:val="24"/>
          <w:szCs w:val="24"/>
        </w:rPr>
        <w:t>Supplementary Materials</w:t>
      </w:r>
    </w:p>
    <w:p w14:paraId="568501B3">
      <w:pPr>
        <w:pStyle w:val="16"/>
        <w:numPr>
          <w:ilvl w:val="0"/>
          <w:numId w:val="2"/>
        </w:numPr>
        <w:spacing w:before="60" w:after="60"/>
      </w:pPr>
      <w:r>
        <w:rPr>
          <w:rFonts w:ascii="Times New Roman" w:hAnsi="Times New Roman" w:eastAsia="Times New Roman" w:cs="Times New Roman"/>
          <w:sz w:val="24"/>
          <w:szCs w:val="24"/>
        </w:rPr>
        <w:t>EIA, 'Amid Regional Conflict, the Strait of Hormuz Remains Critical Oil Chokepoint,' June 2025. Primary data source for volume statistics</w:t>
      </w:r>
    </w:p>
    <w:p w14:paraId="4719FD6A">
      <w:pPr>
        <w:pStyle w:val="16"/>
        <w:numPr>
          <w:ilvl w:val="0"/>
          <w:numId w:val="2"/>
        </w:numPr>
        <w:spacing w:before="60" w:after="60"/>
      </w:pPr>
      <w:r>
        <w:rPr>
          <w:rFonts w:ascii="Times New Roman" w:hAnsi="Times New Roman" w:eastAsia="Times New Roman" w:cs="Times New Roman"/>
          <w:sz w:val="24"/>
          <w:szCs w:val="24"/>
        </w:rPr>
        <w:t>IEA, Oil Market Report, April 2026: official characterisation as 'largest disruption in history'</w:t>
      </w:r>
    </w:p>
    <w:p w14:paraId="3211A901">
      <w:pPr>
        <w:pStyle w:val="16"/>
        <w:numPr>
          <w:ilvl w:val="0"/>
          <w:numId w:val="2"/>
        </w:numPr>
        <w:spacing w:before="60" w:after="60"/>
      </w:pPr>
      <w:r>
        <w:rPr>
          <w:rFonts w:ascii="Times New Roman" w:hAnsi="Times New Roman" w:eastAsia="Times New Roman" w:cs="Times New Roman"/>
          <w:sz w:val="24"/>
          <w:szCs w:val="24"/>
        </w:rPr>
        <w:t>World Bank, Commodity Markets Outlook, April 2026: commodity price projections and fertiliser/food security impact</w:t>
      </w:r>
    </w:p>
    <w:p w14:paraId="6EF6EE06">
      <w:pPr>
        <w:pStyle w:val="16"/>
        <w:numPr>
          <w:ilvl w:val="0"/>
          <w:numId w:val="2"/>
        </w:numPr>
        <w:spacing w:before="60" w:after="60"/>
      </w:pPr>
      <w:r>
        <w:rPr>
          <w:rFonts w:ascii="Times New Roman" w:hAnsi="Times New Roman" w:eastAsia="Times New Roman" w:cs="Times New Roman"/>
          <w:sz w:val="24"/>
          <w:szCs w:val="24"/>
        </w:rPr>
        <w:t>Congressional Research Service, 'Iran Conflict and the Strait of Hormuz: Impacts on Oil, Gas, and Other Commodities,' March 2026</w:t>
      </w:r>
    </w:p>
    <w:p w14:paraId="197FF026">
      <w:pPr>
        <w:pStyle w:val="16"/>
        <w:numPr>
          <w:ilvl w:val="0"/>
          <w:numId w:val="2"/>
        </w:numPr>
        <w:spacing w:before="60" w:after="60"/>
      </w:pPr>
      <w:r>
        <w:rPr>
          <w:rFonts w:ascii="Times New Roman" w:hAnsi="Times New Roman" w:eastAsia="Times New Roman" w:cs="Times New Roman"/>
          <w:sz w:val="24"/>
          <w:szCs w:val="24"/>
        </w:rPr>
        <w:t>Maersk operational advisory archive, Middle East Updates 1–27, February–April 2026 (maersk.com), real-world operator decisions</w:t>
      </w:r>
    </w:p>
    <w:p w14:paraId="62DCAC14">
      <w:pPr>
        <w:pStyle w:val="16"/>
        <w:numPr>
          <w:ilvl w:val="0"/>
          <w:numId w:val="2"/>
        </w:numPr>
        <w:spacing w:before="60" w:after="60"/>
      </w:pPr>
      <w:r>
        <w:rPr>
          <w:rFonts w:ascii="Times New Roman" w:hAnsi="Times New Roman" w:eastAsia="Times New Roman" w:cs="Times New Roman"/>
          <w:sz w:val="24"/>
          <w:szCs w:val="24"/>
        </w:rPr>
        <w:t>IMF, World Economic Outlook Update, April 2026: GDP and inflation revisions</w:t>
      </w:r>
    </w:p>
    <w:p w14:paraId="180140C6">
      <w:pPr>
        <w:pStyle w:val="16"/>
        <w:numPr>
          <w:ilvl w:val="0"/>
          <w:numId w:val="2"/>
        </w:numPr>
        <w:spacing w:before="60" w:after="60"/>
      </w:pPr>
      <w:r>
        <w:rPr>
          <w:rFonts w:ascii="Times New Roman" w:hAnsi="Times New Roman" w:eastAsia="Times New Roman" w:cs="Times New Roman"/>
          <w:sz w:val="24"/>
          <w:szCs w:val="24"/>
        </w:rPr>
        <w:t>Wikipedia, '2026 Strait of Hormuz Crisis': thorough timeline with source links</w:t>
      </w:r>
    </w:p>
    <w:p w14:paraId="751D0192">
      <w:pPr>
        <w:pStyle w:val="16"/>
        <w:numPr>
          <w:ilvl w:val="0"/>
          <w:numId w:val="2"/>
        </w:numPr>
        <w:spacing w:before="60" w:after="60"/>
      </w:pPr>
      <w:r>
        <w:rPr>
          <w:rFonts w:ascii="Times New Roman" w:hAnsi="Times New Roman" w:eastAsia="Times New Roman" w:cs="Times New Roman"/>
          <w:sz w:val="24"/>
          <w:szCs w:val="24"/>
        </w:rPr>
        <w:t>Companion case: 'OpenAI: The Five-Day Coup' (HBS-9-724-OPENAI), pairs well in a module on systemic risk and institutional resilience</w:t>
      </w:r>
    </w:p>
    <w:sectPr>
      <w:headerReference r:id="rId4" w:type="default"/>
      <w:footerReference r:id="rId5"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31EF2">
    <w:pPr>
      <w:pBdr>
        <w:top w:val="single" w:color="CCCCCC" w:sz="2" w:space="4"/>
      </w:pBdr>
      <w:jc w:val="center"/>
    </w:pPr>
    <w:r>
      <w:rPr>
        <w:rFonts w:ascii="Arial" w:hAnsi="Arial" w:eastAsia="Arial" w:cs="Arial"/>
        <w:color w:val="888888"/>
        <w:sz w:val="16"/>
        <w:szCs w:val="16"/>
      </w:rPr>
      <w:t xml:space="preserve">CONFIDENTIAL — Not for Student Distribution  |     </w:t>
    </w:r>
    <w:r>
      <w:rPr>
        <w:rFonts w:ascii="Arial" w:hAnsi="Arial" w:eastAsia="Arial" w:cs="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F334EDE">
      <w:pPr>
        <w:pStyle w:val="13"/>
        <w:snapToGrid w:val="0"/>
        <w:rPr>
          <w:rFonts w:hint="default"/>
          <w:lang w:val="en-IN"/>
        </w:rPr>
      </w:pPr>
      <w:r>
        <w:rPr>
          <w:rStyle w:val="12"/>
        </w:rPr>
        <w:footnoteRef/>
      </w:r>
      <w:r>
        <w:t xml:space="preserve"> </w:t>
      </w:r>
      <w:r>
        <w:rPr>
          <w:rFonts w:hint="default"/>
          <w:sz w:val="24"/>
          <w:szCs w:val="24"/>
          <w:lang w:val="en-IN"/>
        </w:rPr>
        <w:t xml:space="preserve">Dr. Debasis Pahi, Assistant Professor &amp; HoD, Department of Commerce, MDC Malkangiri, Vikram Dev University, Jeypore, Odisha,India Email: </w:t>
      </w:r>
      <w:r>
        <w:rPr>
          <w:rFonts w:hint="default"/>
          <w:sz w:val="24"/>
          <w:szCs w:val="24"/>
          <w:lang w:val="en-IN"/>
        </w:rPr>
        <w:fldChar w:fldCharType="begin"/>
      </w:r>
      <w:r>
        <w:rPr>
          <w:rFonts w:hint="default"/>
          <w:sz w:val="24"/>
          <w:szCs w:val="24"/>
          <w:lang w:val="en-IN"/>
        </w:rPr>
        <w:instrText xml:space="preserve"> HYPERLINK "mailto:drdebasis.research@gmail.com" </w:instrText>
      </w:r>
      <w:r>
        <w:rPr>
          <w:rFonts w:hint="default"/>
          <w:sz w:val="24"/>
          <w:szCs w:val="24"/>
          <w:lang w:val="en-IN"/>
        </w:rPr>
        <w:fldChar w:fldCharType="separate"/>
      </w:r>
      <w:r>
        <w:rPr>
          <w:rStyle w:val="14"/>
          <w:rFonts w:hint="default"/>
          <w:sz w:val="24"/>
          <w:szCs w:val="24"/>
          <w:lang w:val="en-IN"/>
        </w:rPr>
        <w:t>drdebasis.research@gmail.com</w:t>
      </w:r>
      <w:r>
        <w:rPr>
          <w:rFonts w:hint="default"/>
          <w:sz w:val="24"/>
          <w:szCs w:val="24"/>
          <w:lang w:val="en-IN"/>
        </w:rPr>
        <w:fldChar w:fldCharType="end"/>
      </w:r>
      <w:r>
        <w:rPr>
          <w:rFonts w:hint="default"/>
          <w:sz w:val="24"/>
          <w:szCs w:val="24"/>
          <w:lang w:val="en-IN"/>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73ED2">
    <w:pPr>
      <w:pBdr>
        <w:bottom w:val="single" w:color="CCCCCC" w:sz="4" w:space="4"/>
      </w:pBdr>
      <w:tabs>
        <w:tab w:val="right" w:pos="9360"/>
      </w:tabs>
    </w:pPr>
    <w:r>
      <w:rPr>
        <w:rFonts w:ascii="Arial" w:hAnsi="Arial" w:eastAsia="Arial" w:cs="Arial"/>
        <w:b/>
        <w:bCs/>
        <w:color w:val="C0392B"/>
        <w:sz w:val="18"/>
        <w:szCs w:val="18"/>
      </w:rPr>
      <w:t>CASE NO: HBS-9-726-HORMUZ</w:t>
    </w:r>
    <w:r>
      <w:rPr>
        <w:rFonts w:ascii="Arial" w:hAnsi="Arial" w:eastAsia="Arial" w:cs="Arial"/>
        <w:color w:val="888888"/>
        <w:sz w:val="18"/>
        <w:szCs w:val="18"/>
      </w:rPr>
      <w:tab/>
      <w:t>CONFIDENTIAL — Teaching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footnotePr>
    <w:footnote w:id="2"/>
    <w:footnote w:id="3"/>
  </w:footnotePr>
  <w:compat>
    <w:compatSetting w:name="compatibilityMode" w:uri="http://schemas.microsoft.com/office/word" w:val="15"/>
  </w:compat>
  <w:rsids>
    <w:rsidRoot w:val="00000000"/>
    <w:rsid w:val="472760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1634</Words>
  <Characters>8671</Characters>
  <TotalTime>10</TotalTime>
  <ScaleCrop>false</ScaleCrop>
  <LinksUpToDate>false</LinksUpToDate>
  <CharactersWithSpaces>10271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2026-05-03T16:34:00Z</dcterms:created>
  <dc:creator>Un-named</dc:creator>
  <cp:lastModifiedBy>Dr. Debasis Pahi</cp:lastModifiedBy>
  <dcterms:modified xsi:type="dcterms:W3CDTF">2026-05-03T16:47:56Z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eyJoZGlkIjoiYjc1MDJlYWZjMjUwMmY5Y2FkZGM3MGYyNjc5NTc4ZGYiLCJ1c2VySWQiOiI1Njc1NjUxNDc0MDQifQ==</vt:lpwstr>
  </property>
  <property fmtid="{D5CDD505-2E9C-101B-9397-08002B2CF9AE}" pid="3" name="KSOProductBuildVer">
    <vt:lpwstr>1033-12.1.0.25862</vt:lpwstr>
  </property>
  <property fmtid="{D5CDD505-2E9C-101B-9397-08002B2CF9AE}" pid="4" name="ICV">
    <vt:lpwstr>678E4879DDF941F49E0914FE6CD45077_12</vt:lpwstr>
  </property>
</Properties>
</file>