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45982">
      <w:pPr>
        <w:pStyle w:val="20"/>
      </w:pPr>
      <w:r>
        <w:rPr>
          <w:rFonts w:ascii="Arial" w:hAnsi="Arial" w:eastAsia="Arial" w:cs="Arial"/>
          <w:b/>
          <w:bCs/>
          <w:color w:val="1A1A1A"/>
          <w:sz w:val="44"/>
          <w:szCs w:val="44"/>
        </w:rPr>
        <w:t xml:space="preserve">The </w:t>
      </w:r>
      <w:r>
        <w:rPr>
          <w:rFonts w:hint="default" w:cs="Arial"/>
          <w:b/>
          <w:bCs/>
          <w:color w:val="1A1A1A"/>
          <w:sz w:val="44"/>
          <w:szCs w:val="44"/>
          <w:lang w:val="en-IN"/>
        </w:rPr>
        <w:t>Job</w:t>
      </w:r>
      <w:r>
        <w:rPr>
          <w:rFonts w:ascii="Arial" w:hAnsi="Arial" w:eastAsia="Arial" w:cs="Arial"/>
          <w:b/>
          <w:bCs/>
          <w:color w:val="1A1A1A"/>
          <w:sz w:val="44"/>
          <w:szCs w:val="44"/>
        </w:rPr>
        <w:t xml:space="preserve"> That AI Ate</w:t>
      </w:r>
    </w:p>
    <w:p w14:paraId="2BF83A55">
      <w:pPr>
        <w:pStyle w:val="21"/>
      </w:pPr>
      <w:r>
        <w:rPr>
          <w:rFonts w:ascii="Arial" w:hAnsi="Arial" w:eastAsia="Arial" w:cs="Arial"/>
          <w:i/>
          <w:iCs/>
          <w:color w:val="666666"/>
          <w:sz w:val="24"/>
          <w:szCs w:val="24"/>
        </w:rPr>
        <w:t>India's labour market is not collapsing — it is being quietly reshuffled. The question is who gets left behind.</w:t>
      </w:r>
    </w:p>
    <w:p w14:paraId="7118DCEF">
      <w:pPr>
        <w:spacing w:before="0" w:after="320"/>
      </w:pPr>
      <w:r>
        <w:rPr>
          <w:rFonts w:ascii="Arial" w:hAnsi="Arial" w:eastAsia="Arial" w:cs="Arial"/>
          <w:b/>
          <w:bCs/>
          <w:caps/>
          <w:color w:val="CC3300"/>
          <w:sz w:val="18"/>
          <w:szCs w:val="18"/>
        </w:rPr>
        <w:t>Opinion | Economics &amp; Labour Policy</w:t>
      </w:r>
    </w:p>
    <w:p w14:paraId="2C8F92F9">
      <w:pPr>
        <w:pBdr>
          <w:bottom w:val="single" w:color="CCCCCC" w:sz="6" w:space="1"/>
        </w:pBdr>
        <w:spacing w:before="0" w:after="400"/>
      </w:pPr>
    </w:p>
    <w:p w14:paraId="51C30AC1">
      <w:pPr>
        <w:pStyle w:val="10"/>
        <w:spacing w:before="0" w:after="240"/>
        <w:jc w:val="both"/>
      </w:pPr>
      <w:r>
        <w:rPr>
          <w:rFonts w:ascii="Georgia" w:hAnsi="Georgia" w:eastAsia="Georgia" w:cs="Georgia"/>
          <w:color w:val="1A1A1A"/>
          <w:sz w:val="24"/>
          <w:szCs w:val="24"/>
        </w:rPr>
        <w:t>On a weekday evening in Gurugram, a young customer-service executive watches a dashboard quietly absorb chunks of her job. The flurry of emails and chats she once managed is now handled by an AI agent that answers routine queries, escalates the tricky ones, and never asks for a tea break. Her manager tells her she is "freed up for higher-value tasks". She is not entirely sure whether that means a promotion, a lateral move, or a pink slip.</w:t>
      </w:r>
    </w:p>
    <w:p w14:paraId="55DE6D83">
      <w:pPr>
        <w:pStyle w:val="10"/>
        <w:spacing w:before="0" w:after="240"/>
        <w:jc w:val="both"/>
      </w:pPr>
      <w:r>
        <w:rPr>
          <w:rFonts w:ascii="Georgia" w:hAnsi="Georgia" w:eastAsia="Georgia" w:cs="Georgia"/>
          <w:color w:val="1A1A1A"/>
          <w:sz w:val="24"/>
          <w:szCs w:val="24"/>
        </w:rPr>
        <w:t>This small scene captures a much larger anxiety running through India's labour market. The country is embedding AI into workplaces faster than most people appreciate, even as millions of Indians still lack stable, decent work. Economic surveys and skills reports now speak fluently of "AI-driven productivity" and "skills-first hiring", yet the average worker hears something simpler and more urgent: Will my job survive? Will my income grow? Will my child have it better than I did? The question for India is no longer whether AI will create or destroy jobs in the abstract. It is what kind of work AI will leave behind, and for whom.</w:t>
      </w:r>
    </w:p>
    <w:p w14:paraId="0CD60808">
      <w:pPr>
        <w:pStyle w:val="10"/>
        <w:spacing w:before="0" w:after="240"/>
        <w:jc w:val="both"/>
      </w:pPr>
      <w:r>
        <w:rPr>
          <w:rFonts w:ascii="Georgia" w:hAnsi="Georgia" w:eastAsia="Georgia" w:cs="Georgia"/>
          <w:color w:val="1A1A1A"/>
          <w:sz w:val="24"/>
          <w:szCs w:val="24"/>
        </w:rPr>
        <w:t>On the surface, the numbers look reassuring. Government data put educated unemployment at around 6.5 per cent and the overall jobless rate closer to 3 per cent, with labour force participation edging upward. The latest India Skills Report places employability at roughly 56 per cent, and India now accounts for about 16 per cent of the world's AI talent, second only to the United States. This is not a collapsing labour market. It is a labour market in flux, which is a very different and in some ways more difficult problem to govern.</w:t>
      </w:r>
      <w:bookmarkStart w:id="0" w:name="_GoBack"/>
      <w:bookmarkEnd w:id="0"/>
    </w:p>
    <w:p w14:paraId="358FDA40">
      <w:pPr>
        <w:pStyle w:val="10"/>
        <w:spacing w:before="0" w:after="240"/>
        <w:jc w:val="both"/>
      </w:pPr>
      <w:r>
        <w:rPr>
          <w:rFonts w:ascii="Georgia" w:hAnsi="Georgia" w:eastAsia="Georgia" w:cs="Georgia"/>
          <w:color w:val="1A1A1A"/>
          <w:sz w:val="24"/>
          <w:szCs w:val="24"/>
        </w:rPr>
        <w:t>Beneath that surface, the quality of work is under quiet strain. A long sequence of World Bank and academic studies has warned that India's labour market remains dominated by informal, low-paid, and insecure work. Millions of workers cycle between casual employment, self-employment, and short contracts that fall well short of any reasonable definition of decent work. Even in formal sectors like banking, researchers have documented the spread of non-standard contracts with lower wages, limited training, and thin protections. For these workers, the problem is not only whether they have a job but whether that job offers stability, dignity, and any path to progress.</w:t>
      </w:r>
    </w:p>
    <w:p w14:paraId="334EB49F">
      <w:pPr>
        <w:pStyle w:val="10"/>
        <w:spacing w:before="0" w:after="240"/>
        <w:jc w:val="both"/>
      </w:pPr>
      <w:r>
        <w:rPr>
          <w:rFonts w:ascii="Georgia" w:hAnsi="Georgia" w:eastAsia="Georgia" w:cs="Georgia"/>
          <w:color w:val="1A1A1A"/>
          <w:sz w:val="24"/>
          <w:szCs w:val="24"/>
        </w:rPr>
        <w:t>AI is now pressing on exactly this fault line. In the IT services industry that made India the world's back office, major firms have quietly begun trimming headcount as clients automate routine coding, testing, and support tasks. Tata Consultancy Services and Infosys together have shed tens of thousands of roles from their pandemic-era peaks, a shift partly attributed to AI tools adopted by global customers and by the companies themselves. Surveys of employers meanwhile show that over 40 per cent of India's IT and gig workforce is already using AI tools for automation and analytics in daily work. The technology is not waiting at the door. It is already inside, reshaping contracts, workflows, and who gets promoted.</w:t>
      </w:r>
    </w:p>
    <w:p w14:paraId="74F6E1D9">
      <w:pPr>
        <w:pStyle w:val="10"/>
        <w:spacing w:before="0" w:after="240"/>
        <w:jc w:val="both"/>
      </w:pPr>
      <w:r>
        <w:rPr>
          <w:rFonts w:ascii="Georgia" w:hAnsi="Georgia" w:eastAsia="Georgia" w:cs="Georgia"/>
          <w:color w:val="1A1A1A"/>
          <w:sz w:val="24"/>
          <w:szCs w:val="24"/>
        </w:rPr>
        <w:t>So far, the feared job apocalypse has not arrived. What India is seeing instead is a re-ranking of skills and a reshuffling of bargaining power. Recruiters report a clear shift toward skills-first hiring, where candidates who can work with AI tools, interpret data, and manage complex workflows often outcompete those with traditional credentials alone. The Economic Survey 2025-26 goes so far as to argue that AI's impact on employment will depend less on raw numbers and more on how fast workers and firms adapt through reskilling and new models such as earn-and-learn apprenticeships.</w:t>
      </w:r>
    </w:p>
    <w:p w14:paraId="3EFB9099">
      <w:pPr>
        <w:pStyle w:val="10"/>
        <w:spacing w:before="0" w:after="240"/>
        <w:jc w:val="both"/>
      </w:pPr>
      <w:r>
        <w:rPr>
          <w:rFonts w:ascii="Georgia" w:hAnsi="Georgia" w:eastAsia="Georgia" w:cs="Georgia"/>
          <w:color w:val="1A1A1A"/>
          <w:sz w:val="24"/>
          <w:szCs w:val="24"/>
        </w:rPr>
        <w:t>The mainstream policy view is cautiously optimistic. AI, we are told, will boost productivity, spawn new roles, and free workers from drudgery, provided India doubles down on skills and digital infrastructure. There is truth in that. But the view is incomplete because it underweights three specific risks: the transition costs for mid-career workers, the vulnerability of white-collar back-office work, and the persistent informality at the base of the labour market.</w:t>
      </w:r>
    </w:p>
    <w:p w14:paraId="68332822">
      <w:pPr>
        <w:pStyle w:val="10"/>
        <w:spacing w:before="0" w:after="240"/>
        <w:jc w:val="both"/>
      </w:pPr>
      <w:r>
        <w:rPr>
          <w:rFonts w:ascii="Georgia" w:hAnsi="Georgia" w:eastAsia="Georgia" w:cs="Georgia"/>
          <w:color w:val="1A1A1A"/>
          <w:sz w:val="24"/>
          <w:szCs w:val="24"/>
        </w:rPr>
        <w:t>Mid-level employees in IT, banking, and services — too young to retire, too embedded in legacy processes, and too stretched to retrain — are often the first in line when firms automate. For them, "learn AI or be left behind" is not a slogan but a financial cliff edge. White-collar outsourcing faces a parallel squeeze: as global clients adopt AI copilot tools, the business model that powered India's services boom faces real margin pressure. At the other end of the spectrum, gig and informal workers fear that AI-enabled platforms will tighten surveillance and algorithmic control without offering better pay or any security in return.</w:t>
      </w:r>
    </w:p>
    <w:p w14:paraId="59989749">
      <w:pPr>
        <w:pStyle w:val="10"/>
        <w:spacing w:before="0" w:after="240"/>
        <w:jc w:val="both"/>
      </w:pPr>
      <w:r>
        <w:rPr>
          <w:rFonts w:ascii="Georgia" w:hAnsi="Georgia" w:eastAsia="Georgia" w:cs="Georgia"/>
          <w:color w:val="1A1A1A"/>
          <w:sz w:val="24"/>
          <w:szCs w:val="24"/>
        </w:rPr>
        <w:t>India needs a more deliberate playbook. The Union government could begin by repositioning skilling policy. A national AI for Work mission should focus less on producing a thin layer of elite machine-learning engineers and more on spreading basic AI fluency — how to use tools, interpret outputs, combine them with human judgment — across teachers, nurses, clerks, and small entrepreneurs. The Economic Survey is right to stress university-firm partnerships; what is missing is scale and a sense of urgency.</w:t>
      </w:r>
    </w:p>
    <w:p w14:paraId="08A7FCE1">
      <w:pPr>
        <w:pStyle w:val="10"/>
        <w:spacing w:before="0" w:after="240"/>
        <w:jc w:val="both"/>
      </w:pPr>
      <w:r>
        <w:rPr>
          <w:rFonts w:ascii="Georgia" w:hAnsi="Georgia" w:eastAsia="Georgia" w:cs="Georgia"/>
          <w:color w:val="1A1A1A"/>
          <w:sz w:val="24"/>
          <w:szCs w:val="24"/>
        </w:rPr>
        <w:t>AI policy cannot be separated from social protection. As tasks are automated and contracts grow shorter, the cost of adjustment is being pushed onto workers in the form of unstable incomes and self-funded retraining. Expanding portable benefits — health insurance, pensions, income buffers — for gig and platform workers is no longer just an equity argument. It is a precondition for people to take the risk of moving into new roles. Both the Centre and states can experiment with contributory schemes where platforms and clients shoulder a predictable share of the burden.</w:t>
      </w:r>
    </w:p>
    <w:p w14:paraId="7FDF0940">
      <w:pPr>
        <w:pStyle w:val="10"/>
        <w:spacing w:before="0" w:after="240"/>
        <w:jc w:val="both"/>
      </w:pPr>
      <w:r>
        <w:rPr>
          <w:rFonts w:ascii="Georgia" w:hAnsi="Georgia" w:eastAsia="Georgia" w:cs="Georgia"/>
          <w:color w:val="1A1A1A"/>
          <w:sz w:val="24"/>
          <w:szCs w:val="24"/>
        </w:rPr>
        <w:t>States have a further opportunity. Rather than chasing generic AI hub status, they can embed AI into concrete local use cases: agri-extension services, urban transport, district health systems. Training built around specific problems through existing ITIs and community colleges would turn AI from an abstract tech trend into a practical tool for raising district-level productivity, and it would create mid-skill jobs that are augmented by AI rather than erased by it.</w:t>
      </w:r>
    </w:p>
    <w:p w14:paraId="5B3518DD">
      <w:pPr>
        <w:pStyle w:val="10"/>
        <w:spacing w:before="0" w:after="240"/>
        <w:jc w:val="both"/>
      </w:pPr>
      <w:r>
        <w:rPr>
          <w:rFonts w:ascii="Georgia" w:hAnsi="Georgia" w:eastAsia="Georgia" w:cs="Georgia"/>
          <w:color w:val="1A1A1A"/>
          <w:sz w:val="24"/>
          <w:szCs w:val="24"/>
        </w:rPr>
        <w:t>Businesses face a choice about what kind of economy they want to inhabit. Using AI simply to cut headcount may flatter quarterly margins but will ultimately compress the very consumer demand that sustains growth. A smarter approach would commit a share of every automation saving to worker training, redesign jobs so humans handle judgment and relationships, and reward employees who grow alongside intelligent tools.</w:t>
      </w:r>
    </w:p>
    <w:p w14:paraId="33AD39A6">
      <w:pPr>
        <w:pStyle w:val="10"/>
        <w:spacing w:before="0" w:after="240"/>
        <w:jc w:val="both"/>
      </w:pPr>
      <w:r>
        <w:rPr>
          <w:rFonts w:ascii="Georgia" w:hAnsi="Georgia" w:eastAsia="Georgia" w:cs="Georgia"/>
          <w:color w:val="1A1A1A"/>
          <w:sz w:val="24"/>
          <w:szCs w:val="24"/>
        </w:rPr>
        <w:t>India has been here before. Nobody predicted that code farms and call centres would transform cities and reshape middle-class aspiration. Today's AI moment is more ambiguous: it can either hollow out that achievement or push India decisively up the value chain toward more creative, better-paid work. That outcome will not be decided by the technology. It will be decided by whether policymakers and businesses choose to treat workers as partners worth investing in, or as costs waiting to be optimised away.</w:t>
      </w:r>
    </w:p>
    <w:p w14:paraId="680A94B3">
      <w:pPr>
        <w:pBdr>
          <w:top w:val="single" w:color="CCCCCC" w:sz="4" w:space="1"/>
        </w:pBdr>
        <w:spacing w:before="400" w:after="160"/>
      </w:pPr>
      <w:r>
        <w:rPr>
          <w:rFonts w:ascii="Arial" w:hAnsi="Arial" w:eastAsia="Arial" w:cs="Arial"/>
          <w:i/>
          <w:iCs/>
          <w:color w:val="999999"/>
          <w:sz w:val="18"/>
          <w:szCs w:val="18"/>
        </w:rPr>
        <w:t>The views expressed are those of the author and do not represent the editorial position of this publication.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86"/>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53090C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Georgia" w:eastAsia="Georgia" w:cs="Georg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iPriority="99" w:name="footnote text"/>
    <w:lsdException w:qFormat="1" w:unhideWhenUsed="0" w:uiPriority="0" w:semiHidden="0" w:name="annotation text"/>
    <w:lsdException w:qFormat="1"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qFormat="1" w:unhideWhenUsed="0" w:uiPriority="0" w:semiHidden="0" w:name="envelope return"/>
    <w:lsdException w:uiPriority="99"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qFormat="1"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Georgia" w:hAnsi="Georgia" w:eastAsia="Georgia" w:cs="Georgia"/>
      <w:sz w:val="24"/>
      <w:szCs w:val="24"/>
    </w:rPr>
  </w:style>
  <w:style w:type="paragraph" w:styleId="2">
    <w:name w:val="heading 1"/>
    <w:next w:val="1"/>
    <w:qFormat/>
    <w:uiPriority w:val="0"/>
    <w:rPr>
      <w:rFonts w:ascii="Georgia" w:hAnsi="Georgia" w:eastAsia="Georgia" w:cs="Georgia"/>
      <w:color w:val="2E74B5"/>
      <w:sz w:val="32"/>
      <w:szCs w:val="32"/>
    </w:rPr>
  </w:style>
  <w:style w:type="paragraph" w:styleId="3">
    <w:name w:val="heading 2"/>
    <w:next w:val="1"/>
    <w:qFormat/>
    <w:uiPriority w:val="0"/>
    <w:rPr>
      <w:rFonts w:ascii="Georgia" w:hAnsi="Georgia" w:eastAsia="Georgia" w:cs="Georgia"/>
      <w:color w:val="2E74B5"/>
      <w:sz w:val="26"/>
      <w:szCs w:val="26"/>
    </w:rPr>
  </w:style>
  <w:style w:type="paragraph" w:styleId="4">
    <w:name w:val="heading 3"/>
    <w:next w:val="1"/>
    <w:qFormat/>
    <w:uiPriority w:val="0"/>
    <w:rPr>
      <w:rFonts w:ascii="Georgia" w:hAnsi="Georgia" w:eastAsia="Georgia" w:cs="Georgia"/>
      <w:color w:val="1F4D78"/>
      <w:sz w:val="24"/>
      <w:szCs w:val="24"/>
    </w:rPr>
  </w:style>
  <w:style w:type="paragraph" w:styleId="5">
    <w:name w:val="heading 4"/>
    <w:next w:val="1"/>
    <w:qFormat/>
    <w:uiPriority w:val="0"/>
    <w:rPr>
      <w:rFonts w:ascii="Georgia" w:hAnsi="Georgia" w:eastAsia="Georgia" w:cs="Georgia"/>
      <w:i/>
      <w:iCs/>
      <w:color w:val="2E74B5"/>
      <w:sz w:val="24"/>
      <w:szCs w:val="24"/>
    </w:rPr>
  </w:style>
  <w:style w:type="paragraph" w:styleId="6">
    <w:name w:val="heading 5"/>
    <w:next w:val="1"/>
    <w:qFormat/>
    <w:uiPriority w:val="0"/>
    <w:rPr>
      <w:rFonts w:ascii="Georgia" w:hAnsi="Georgia" w:eastAsia="Georgia" w:cs="Georgia"/>
      <w:color w:val="2E74B5"/>
      <w:sz w:val="24"/>
      <w:szCs w:val="24"/>
    </w:rPr>
  </w:style>
  <w:style w:type="paragraph" w:styleId="7">
    <w:name w:val="heading 6"/>
    <w:next w:val="1"/>
    <w:qFormat/>
    <w:uiPriority w:val="0"/>
    <w:rPr>
      <w:rFonts w:ascii="Georgia" w:hAnsi="Georgia" w:eastAsia="Georgia" w:cs="Georgia"/>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qFormat/>
    <w:uiPriority w:val="0"/>
    <w:pPr>
      <w:spacing w:before="0" w:after="240"/>
      <w:jc w:val="both"/>
    </w:pPr>
    <w:rPr>
      <w:rFonts w:ascii="Georgia" w:hAnsi="Georgia" w:eastAsia="Georgia" w:cs="Georgia"/>
      <w:color w:val="1A1A1A"/>
      <w:sz w:val="24"/>
      <w:szCs w:val="24"/>
    </w:rPr>
  </w:style>
  <w:style w:type="character" w:styleId="11">
    <w:name w:val="endnote reference"/>
    <w:semiHidden/>
    <w:unhideWhenUsed/>
    <w:uiPriority w:val="99"/>
    <w:rPr>
      <w:vertAlign w:val="superscript"/>
    </w:rPr>
  </w:style>
  <w:style w:type="paragraph" w:styleId="12">
    <w:name w:val="endnote text"/>
    <w:link w:val="19"/>
    <w:semiHidden/>
    <w:unhideWhenUsed/>
    <w:uiPriority w:val="99"/>
    <w:pPr>
      <w:spacing w:after="0" w:line="240" w:lineRule="auto"/>
    </w:pPr>
    <w:rPr>
      <w:rFonts w:ascii="Georgia" w:hAnsi="Georgia" w:eastAsia="Georgia" w:cs="Georgia"/>
      <w:sz w:val="20"/>
      <w:szCs w:val="20"/>
    </w:rPr>
  </w:style>
  <w:style w:type="character" w:styleId="13">
    <w:name w:val="footnote reference"/>
    <w:semiHidden/>
    <w:unhideWhenUsed/>
    <w:uiPriority w:val="99"/>
    <w:rPr>
      <w:vertAlign w:val="superscript"/>
    </w:rPr>
  </w:style>
  <w:style w:type="paragraph" w:styleId="14">
    <w:name w:val="footnote text"/>
    <w:link w:val="18"/>
    <w:semiHidden/>
    <w:unhideWhenUsed/>
    <w:uiPriority w:val="99"/>
    <w:pPr>
      <w:spacing w:after="0" w:line="240" w:lineRule="auto"/>
    </w:pPr>
    <w:rPr>
      <w:rFonts w:ascii="Georgia" w:hAnsi="Georgia" w:eastAsia="Georgia" w:cs="Georgia"/>
      <w:sz w:val="20"/>
      <w:szCs w:val="20"/>
    </w:rPr>
  </w:style>
  <w:style w:type="character" w:styleId="15">
    <w:name w:val="Hyperlink"/>
    <w:unhideWhenUsed/>
    <w:qFormat/>
    <w:uiPriority w:val="99"/>
    <w:rPr>
      <w:color w:val="0563C1"/>
      <w:u w:val="single"/>
    </w:rPr>
  </w:style>
  <w:style w:type="paragraph" w:styleId="16">
    <w:name w:val="Title"/>
    <w:qFormat/>
    <w:uiPriority w:val="0"/>
    <w:rPr>
      <w:rFonts w:ascii="Georgia" w:hAnsi="Georgia" w:eastAsia="Georgia" w:cs="Georgia"/>
      <w:sz w:val="56"/>
      <w:szCs w:val="56"/>
    </w:rPr>
  </w:style>
  <w:style w:type="paragraph" w:styleId="17">
    <w:name w:val="List Paragraph"/>
    <w:qFormat/>
    <w:uiPriority w:val="0"/>
    <w:rPr>
      <w:rFonts w:ascii="Georgia" w:hAnsi="Georgia" w:eastAsia="Georgia" w:cs="Georgia"/>
      <w:sz w:val="24"/>
      <w:szCs w:val="24"/>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uiPriority w:val="99"/>
    <w:rPr>
      <w:sz w:val="20"/>
      <w:szCs w:val="20"/>
    </w:rPr>
  </w:style>
  <w:style w:type="paragraph" w:customStyle="1" w:styleId="20">
    <w:name w:val="Article Title"/>
    <w:qFormat/>
    <w:uiPriority w:val="0"/>
    <w:pPr>
      <w:spacing w:before="0" w:after="160"/>
      <w:jc w:val="left"/>
    </w:pPr>
    <w:rPr>
      <w:rFonts w:ascii="Arial" w:hAnsi="Arial" w:eastAsia="Arial" w:cs="Arial"/>
      <w:b/>
      <w:bCs/>
      <w:color w:val="1A1A1A"/>
      <w:sz w:val="44"/>
      <w:szCs w:val="44"/>
    </w:rPr>
  </w:style>
  <w:style w:type="paragraph" w:customStyle="1" w:styleId="21">
    <w:name w:val="Article Subtitle"/>
    <w:uiPriority w:val="0"/>
    <w:pPr>
      <w:spacing w:before="0" w:after="400"/>
    </w:pPr>
    <w:rPr>
      <w:rFonts w:ascii="Arial" w:hAnsi="Arial" w:eastAsia="Arial" w:cs="Arial"/>
      <w:i/>
      <w:iCs/>
      <w:color w:val="555555"/>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1199</Words>
  <Characters>6269</Characters>
  <TotalTime>98</TotalTime>
  <ScaleCrop>false</ScaleCrop>
  <LinksUpToDate>false</LinksUpToDate>
  <CharactersWithSpaces>7451</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2026-04-01T12:38:00Z</dcterms:created>
  <dc:creator>Un-named</dc:creator>
  <cp:lastModifiedBy>Dr. Debasis Pahi</cp:lastModifiedBy>
  <dcterms:modified xsi:type="dcterms:W3CDTF">2026-04-02T00:34:08Z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eyJoZGlkIjoiYjc1MDJlYWZjMjUwMmY5Y2FkZGM3MGYyNjc5NTc4ZGYiLCJ1c2VySWQiOiI1Njc1NjUxNDc0MDQifQ==</vt:lpwstr>
  </property>
  <property fmtid="{D5CDD505-2E9C-101B-9397-08002B2CF9AE}" pid="3" name="KSOProductBuildVer">
    <vt:lpwstr>1033-12.1.0.25830</vt:lpwstr>
  </property>
  <property fmtid="{D5CDD505-2E9C-101B-9397-08002B2CF9AE}" pid="4" name="ICV">
    <vt:lpwstr>DCDA61BF41E340B19BCA3D8F80483BF0_12</vt:lpwstr>
  </property>
</Properties>
</file>