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Arial" w:cs="Arial" w:eastAsia="Arial" w:hAnsi="Arial"/>
          <w:b/>
          <w:bCs/>
          <w:color w:val="888888"/>
          <w:sz w:val="28"/>
          <w:szCs w:val="28"/>
        </w:rPr>
        <w:t xml:space="preserve">HARVARD BUSINESS SCHOOL</w:t>
      </w:r>
    </w:p>
    <w:p>
      <w:pPr>
        <w:spacing w:after="0" w:before="60"/>
        <w:jc w:val="center"/>
      </w:pPr>
      <w:r>
        <w:rPr>
          <w:rFonts w:ascii="Arial" w:cs="Arial" w:eastAsia="Arial" w:hAnsi="Arial"/>
          <w:b/>
          <w:bCs/>
          <w:color w:val="C0392B"/>
          <w:sz w:val="22"/>
          <w:szCs w:val="22"/>
        </w:rPr>
        <w:t xml:space="preserve">Case No: HBS-TEC-2026-01</w:t>
      </w:r>
    </w:p>
    <w:p>
      <w:pPr>
        <w:spacing w:after="0" w:before="800"/>
        <w:jc w:val="center"/>
      </w:pPr>
      <w:r>
        <w:rPr>
          <w:rFonts w:ascii="Arial" w:cs="Arial" w:eastAsia="Arial" w:hAnsi="Arial"/>
          <w:b/>
          <w:bCs/>
          <w:color w:val="1A1A2E"/>
          <w:sz w:val="72"/>
          <w:szCs w:val="72"/>
        </w:rPr>
        <w:t xml:space="preserve">VOLT &amp; VIRTUE:</w:t>
      </w:r>
    </w:p>
    <w:p>
      <w:pPr>
        <w:spacing w:after="0" w:before="60"/>
        <w:jc w:val="center"/>
      </w:pPr>
      <w:r>
        <w:rPr>
          <w:rFonts w:ascii="Arial" w:cs="Arial" w:eastAsia="Arial" w:hAnsi="Arial"/>
          <w:b/>
          <w:bCs/>
          <w:color w:val="C0392B"/>
          <w:sz w:val="56"/>
          <w:szCs w:val="56"/>
        </w:rPr>
        <w:t xml:space="preserve">THE AI ENERGY RECKONING</w:t>
      </w:r>
    </w:p>
    <w:p>
      <w:pPr>
        <w:spacing w:after="0" w:before="40"/>
        <w:jc w:val="center"/>
      </w:pPr>
      <w:r>
        <w:rPr>
          <w:rFonts w:ascii="Arial" w:cs="Arial" w:eastAsia="Arial" w:hAnsi="Arial"/>
          <w:i/>
          <w:iCs/>
          <w:color w:val="2C3E50"/>
          <w:sz w:val="30"/>
          <w:szCs w:val="30"/>
        </w:rPr>
        <w:t xml:space="preserve">When Intelligence Becomes Insatiable — Can Big Tech Save the Grid It's Devouring?</w:t>
      </w:r>
    </w:p>
    <w:p>
      <w:pPr>
        <w:spacing w:after="0" w:before="900"/>
        <w:jc w:val="center"/>
      </w:pPr>
      <w:r>
        <w:rPr>
          <w:rFonts w:ascii="Arial" w:cs="Arial" w:eastAsia="Arial" w:hAnsi="Arial"/>
          <w:color w:val="2C3E50"/>
          <w:sz w:val="24"/>
          <w:szCs w:val="24"/>
        </w:rPr>
        <w:t xml:space="preserve">Dr. Elena Vasquez  |  Technology, Energy &amp; Society Program</w:t>
      </w:r>
    </w:p>
    <w:p>
      <w:pPr>
        <w:spacing w:after="0" w:before="80"/>
        <w:jc w:val="center"/>
      </w:pPr>
      <w:r>
        <w:rPr>
          <w:rFonts w:ascii="Arial" w:cs="Arial" w:eastAsia="Arial" w:hAnsi="Arial"/>
          <w:color w:val="888888"/>
          <w:sz w:val="22"/>
          <w:szCs w:val="22"/>
        </w:rPr>
        <w:t xml:space="preserve">Harvard Business School, Boston, Massachusetts</w:t>
      </w:r>
    </w:p>
    <w:p>
      <w:pPr>
        <w:spacing w:after="0" w:before="80"/>
        <w:jc w:val="center"/>
      </w:pPr>
      <w:r>
        <w:rPr>
          <w:rFonts w:ascii="Arial" w:cs="Arial" w:eastAsia="Arial" w:hAnsi="Arial"/>
          <w:color w:val="888888"/>
          <w:sz w:val="22"/>
          <w:szCs w:val="22"/>
        </w:rPr>
        <w:t xml:space="preserve">February 2026</w:t>
      </w:r>
    </w:p>
    <w:p>
      <w:pPr>
        <w:pBdr>
          <w:top w:val="single" w:color="CCCCCC" w:sz="2" w:space="4"/>
        </w:pBdr>
        <w:spacing w:after="0" w:before="700"/>
        <w:jc w:val="center"/>
      </w:pPr>
      <w:r>
        <w:rPr>
          <w:rFonts w:ascii="Arial" w:cs="Arial" w:eastAsia="Arial" w:hAnsi="Arial"/>
          <w:i/>
          <w:iCs/>
          <w:color w:val="888888"/>
          <w:sz w:val="18"/>
          <w:szCs w:val="18"/>
        </w:rPr>
        <w:t xml:space="preserve">This case was prepared as a basis for class discussion rather than to illustrate either effective or ineffective handling of an administrative situation. Certain data has been compiled from public sources; estimates have been indicated as such.</w:t>
      </w:r>
    </w:p>
    <w:p>
      <w:pPr>
        <w:sectPr>
          <w:pgSz w:w="12240" w:h="15840" w:orient="portrait"/>
          <w:pgMar w:top="1440" w:right="1440" w:bottom="1440" w:left="1440" w:header="708" w:footer="708" w:gutter="0"/>
          <w:pgNumType/>
          <w:docGrid w:linePitch="360"/>
        </w:sectPr>
      </w:pPr>
    </w:p>
    <w:p>
      <w:pPr>
        <w:pBdr>
          <w:bottom w:val="single" w:color="C0392B" w:sz="4" w:space="4"/>
        </w:pBdr>
        <w:spacing w:after="140" w:before="400"/>
      </w:pPr>
      <w:r>
        <w:rPr>
          <w:rFonts w:ascii="Arial" w:cs="Arial" w:eastAsia="Arial" w:hAnsi="Arial"/>
          <w:b/>
          <w:bCs/>
          <w:color w:val="1A1A2E"/>
          <w:sz w:val="30"/>
          <w:szCs w:val="30"/>
        </w:rPr>
        <w:t xml:space="preserve">I. OPENING SCENE: 2:47 A.M. IN REDMOND</w:t>
      </w:r>
    </w:p>
    <w:p>
      <w:pPr>
        <w:spacing w:after="160" w:before="0"/>
        <w:ind w:firstLine="0"/>
        <w:jc w:val="both"/>
      </w:pPr>
      <w:r>
        <w:rPr>
          <w:rFonts w:ascii="Times New Roman" w:cs="Times New Roman" w:eastAsia="Times New Roman" w:hAnsi="Times New Roman"/>
          <w:sz w:val="24"/>
          <w:szCs w:val="24"/>
        </w:rPr>
        <w:t xml:space="preserve">Arjun Mehta stared at the dashboard on his triple-monitor setup in a way he had never stared at anything before. It was 2:47 a.m. on a Tuesday in January 2026, and the graphs were behaving in a manner his ten-year career at NovaSphere AI — one of the world's five largest artificial intelligence companies — had not prepared him for.</w:t>
      </w:r>
    </w:p>
    <w:p>
      <w:pPr>
        <w:spacing w:after="160" w:before="0"/>
        <w:ind w:firstLine="720"/>
        <w:jc w:val="both"/>
      </w:pPr>
      <w:r>
        <w:rPr>
          <w:rFonts w:ascii="Times New Roman" w:cs="Times New Roman" w:eastAsia="Times New Roman" w:hAnsi="Times New Roman"/>
          <w:sz w:val="24"/>
          <w:szCs w:val="24"/>
        </w:rPr>
        <w:t xml:space="preserve">Mehta, NovaSphere's Chief Sustainability Officer, had stayed late to review the company's quarterly energy audit before the board presented it to investors the following morning. The headline number sat in a red box at the top of the screen: NovaSphere's data centers had consumed 18.4 terawatt-hours (TWh) of electricity in 2025 — a 71% increase over the prior year. A single year. Seventy-one percent.</w:t>
      </w:r>
    </w:p>
    <w:p>
      <w:pPr>
        <w:spacing w:after="160" w:before="0"/>
        <w:ind w:firstLine="720"/>
        <w:jc w:val="both"/>
      </w:pPr>
      <w:r>
        <w:rPr>
          <w:rFonts w:ascii="Times New Roman" w:cs="Times New Roman" w:eastAsia="Times New Roman" w:hAnsi="Times New Roman"/>
          <w:sz w:val="24"/>
          <w:szCs w:val="24"/>
        </w:rPr>
        <w:t xml:space="preserve">He had expected growth. He had not expected this. At this rate of consumption, NovaSphere's energy appetite alone would surpass the annual electricity usage of a mid-sized European nation by 2028.</w:t>
      </w:r>
    </w:p>
    <w:p>
      <w:pPr>
        <w:spacing w:after="160" w:before="0"/>
        <w:ind w:firstLine="720"/>
        <w:jc w:val="both"/>
      </w:pPr>
      <w:r>
        <w:rPr>
          <w:rFonts w:ascii="Times New Roman" w:cs="Times New Roman" w:eastAsia="Times New Roman" w:hAnsi="Times New Roman"/>
          <w:sz w:val="24"/>
          <w:szCs w:val="24"/>
        </w:rPr>
        <w:t xml:space="preserve">The irony was not lost on Mehta. NovaSphere had built its brand, in part, on a promise: that artificial intelligence would accelerate humanity's transition to a sustainable future — optimizing energy grids, accelerating drug discovery, cutting industrial emissions. The company's IPO prospectus had featured the phrase "AI for a better planet" on the first page. Now, the planet was paying the electricity bill.</w:t>
      </w:r>
    </w:p>
    <w:p>
      <w:pPr>
        <w:spacing w:after="160" w:before="0"/>
        <w:ind w:firstLine="720"/>
        <w:jc w:val="both"/>
      </w:pPr>
      <w:r>
        <w:rPr>
          <w:rFonts w:ascii="Times New Roman" w:cs="Times New Roman" w:eastAsia="Times New Roman" w:hAnsi="Times New Roman"/>
          <w:sz w:val="24"/>
          <w:szCs w:val="24"/>
        </w:rPr>
        <w:t xml:space="preserve">In six hours, Mehta would sit next to CEO Priya Chandrasekaran in a glass boardroom and present three strategic options to the board. Each option carried a different answer to the same question that had kept him awake all week: How does a company that sells intelligence to the world reconcile the fact that its intelligence is devouring the world's energy? And more urgently: which path forward — aggressive nuclear investment, a dramatic efficiency pivot, or a radical slowdown in model scaling — would a fiercely competitive AI industry actually permit?</w:t>
      </w:r>
    </w:p>
    <w:p>
      <w:pPr>
        <w:pBdr>
          <w:bottom w:val="single" w:color="C0392B" w:sz="4" w:space="4"/>
        </w:pBdr>
        <w:spacing w:after="140" w:before="400"/>
      </w:pPr>
      <w:r>
        <w:rPr>
          <w:rFonts w:ascii="Arial" w:cs="Arial" w:eastAsia="Arial" w:hAnsi="Arial"/>
          <w:b/>
          <w:bCs/>
          <w:color w:val="1A1A2E"/>
          <w:sz w:val="30"/>
          <w:szCs w:val="30"/>
        </w:rPr>
        <w:t xml:space="preserve">II. COMPANY BACKGROUND</w:t>
      </w:r>
    </w:p>
    <w:p>
      <w:pPr>
        <w:spacing w:after="80" w:before="260"/>
      </w:pPr>
      <w:r>
        <w:rPr>
          <w:rFonts w:ascii="Arial" w:cs="Arial" w:eastAsia="Arial" w:hAnsi="Arial"/>
          <w:b/>
          <w:bCs/>
          <w:color w:val="2C3E50"/>
          <w:sz w:val="24"/>
          <w:szCs w:val="24"/>
        </w:rPr>
        <w:t xml:space="preserve">Founding and Growth</w:t>
      </w:r>
    </w:p>
    <w:p>
      <w:pPr>
        <w:spacing w:after="160" w:before="0"/>
        <w:ind w:firstLine="0"/>
        <w:jc w:val="both"/>
      </w:pPr>
      <w:r>
        <w:rPr>
          <w:rFonts w:ascii="Times New Roman" w:cs="Times New Roman" w:eastAsia="Times New Roman" w:hAnsi="Times New Roman"/>
          <w:sz w:val="24"/>
          <w:szCs w:val="24"/>
        </w:rPr>
        <w:t xml:space="preserve">NovaSphere AI was incorporated in 2017 in Seattle, Washington, by three former researchers from Stanford's Human-Centered AI Institute. The founders — Priya Chandrasekaran, Dr. Klaus Reinhardt, and Yusuf Al-Rashid — believed that large-scale machine learning, applied to real-world systems, could generate compounding returns for society. Their initial product was an enterprise demand-forecasting platform, deployed by logistics companies across North America and Europe.</w:t>
      </w:r>
    </w:p>
    <w:p>
      <w:pPr>
        <w:spacing w:after="160" w:before="0"/>
        <w:ind w:firstLine="720"/>
        <w:jc w:val="both"/>
      </w:pPr>
      <w:r>
        <w:rPr>
          <w:rFonts w:ascii="Times New Roman" w:cs="Times New Roman" w:eastAsia="Times New Roman" w:hAnsi="Times New Roman"/>
          <w:sz w:val="24"/>
          <w:szCs w:val="24"/>
        </w:rPr>
        <w:t xml:space="preserve">The company's trajectory changed in 2021, when NovaSphere released NovaMind-1, a proprietary large language model (LLM) with 87 billion parameters. NovaMind-1 attracted significant attention from enterprise clients in healthcare, finance, and legal services, and set the company on a path toward becoming a full-stack generative AI provider. By 2023, NovaSphere had raised $6.4 billion in venture capital across four rounds and had signed cloud partnership agreements with two of the world's largest hyperscalers.</w:t>
      </w:r>
    </w:p>
    <w:p>
      <w:pPr>
        <w:spacing w:after="160" w:before="0"/>
        <w:ind w:firstLine="720"/>
        <w:jc w:val="both"/>
      </w:pPr>
      <w:r>
        <w:rPr>
          <w:rFonts w:ascii="Times New Roman" w:cs="Times New Roman" w:eastAsia="Times New Roman" w:hAnsi="Times New Roman"/>
          <w:sz w:val="24"/>
          <w:szCs w:val="24"/>
        </w:rPr>
        <w:t xml:space="preserve">NovaSphere went public in April 2024 at a valuation of $58 billion, the largest AI-focused IPO in the prior three years. The IPO proceeds were earmarked primarily for compute infrastructure — GPU clusters, cooling systems, and proprietary data center construction. Chandrasekaran described the company's strategy at the time as "racing to the frontier, responsibly." (See Exhibit 1 for financial summary.)</w:t>
      </w:r>
    </w:p>
    <w:p>
      <w:pPr>
        <w:spacing w:after="80" w:before="260"/>
      </w:pPr>
      <w:r>
        <w:rPr>
          <w:rFonts w:ascii="Arial" w:cs="Arial" w:eastAsia="Arial" w:hAnsi="Arial"/>
          <w:b/>
          <w:bCs/>
          <w:color w:val="2C3E50"/>
          <w:sz w:val="24"/>
          <w:szCs w:val="24"/>
        </w:rPr>
        <w:t xml:space="preserve">Business Model and Products</w:t>
      </w:r>
    </w:p>
    <w:p>
      <w:pPr>
        <w:spacing w:after="160" w:before="0"/>
        <w:ind w:firstLine="0"/>
        <w:jc w:val="both"/>
      </w:pPr>
      <w:r>
        <w:rPr>
          <w:rFonts w:ascii="Times New Roman" w:cs="Times New Roman" w:eastAsia="Times New Roman" w:hAnsi="Times New Roman"/>
          <w:sz w:val="24"/>
          <w:szCs w:val="24"/>
        </w:rPr>
        <w:t xml:space="preserve">NovaSphere's revenue derived from three streams in fiscal year 2025: API access to its foundational models (NovaMind-3 and NovaMind-3 Ultra), enterprise SaaS licenses, and a professional services division that implemented custom AI pipelines for regulated industries. API revenue was the fastest growing segment, representing 54% of total revenues and driven primarily by inference workloads — the computational process of running a trained model to generate outputs for end-users.</w:t>
      </w:r>
    </w:p>
    <w:p>
      <w:pPr>
        <w:spacing w:after="160" w:before="0"/>
        <w:ind w:firstLine="720"/>
        <w:jc w:val="both"/>
      </w:pPr>
      <w:r>
        <w:rPr>
          <w:rFonts w:ascii="Times New Roman" w:cs="Times New Roman" w:eastAsia="Times New Roman" w:hAnsi="Times New Roman"/>
          <w:sz w:val="24"/>
          <w:szCs w:val="24"/>
        </w:rPr>
        <w:t xml:space="preserve">The company's flagship product, NovaMind-3 Ultra, was trained on approximately 4.2 trillion tokens of data and required an estimated 7,200 NVIDIA H100 GPUs operating continuously for 94 days — a training run that, by independent estimates, consumed roughly 1,800 megawatt-hours (MWh) of electricity and produced approximately 900 metric tons of carbon dioxide equivalent, assuming the regional energy mix. For comparison, the average American household consumes approximately 10.5 MWh per year.</w:t>
      </w:r>
    </w:p>
    <w:p>
      <w:pPr>
        <w:spacing w:after="160" w:before="0"/>
        <w:ind w:firstLine="720"/>
        <w:jc w:val="both"/>
      </w:pPr>
      <w:r>
        <w:rPr>
          <w:rFonts w:ascii="Times New Roman" w:cs="Times New Roman" w:eastAsia="Times New Roman" w:hAnsi="Times New Roman"/>
          <w:sz w:val="24"/>
          <w:szCs w:val="24"/>
        </w:rPr>
        <w:t xml:space="preserve">Once deployed for inference, NovaMind-3 Ultra processed an average of 2.4 billion API calls per month by Q4 2025. Each inference call consumed a small but non-trivial amount of energy — estimates from NovaSphere's internal energy team placed the average at 0.003 kWh per query. At 2.4 billion queries per month, the inference footprint alone approached 86,000 MWh per month, or roughly 1 TWh per year. And NovaSphere was preparing to launch NovaMind-4, a model its technical team estimated would require five times the compute of its predecessor.</w:t>
      </w:r>
    </w:p>
    <w:p>
      <w:pPr>
        <w:spacing w:after="80" w:before="260"/>
      </w:pPr>
      <w:r>
        <w:rPr>
          <w:rFonts w:ascii="Arial" w:cs="Arial" w:eastAsia="Arial" w:hAnsi="Arial"/>
          <w:b/>
          <w:bCs/>
          <w:color w:val="2C3E50"/>
          <w:sz w:val="24"/>
          <w:szCs w:val="24"/>
        </w:rPr>
        <w:t xml:space="preserve">Organizational Structure</w:t>
      </w:r>
    </w:p>
    <w:p>
      <w:pPr>
        <w:spacing w:after="160" w:before="0"/>
        <w:ind w:firstLine="0"/>
        <w:jc w:val="both"/>
      </w:pPr>
      <w:r>
        <w:rPr>
          <w:rFonts w:ascii="Times New Roman" w:cs="Times New Roman" w:eastAsia="Times New Roman" w:hAnsi="Times New Roman"/>
          <w:sz w:val="24"/>
          <w:szCs w:val="24"/>
        </w:rPr>
        <w:t xml:space="preserve">NovaSphere employed approximately 9,400 people globally as of December 2025, organized into four primary divisions: Research &amp; Development, Infrastructure &amp; Operations, Product &amp; Go-to-Market, and the newly constituted Environmental Strategy Group (ESG), which Mehta had led since its creation in January 2025. The ESG was created following public scrutiny of the company's 2024 carbon disclosure, which showed a 48% increase in Scope 2 emissions — those attributable to purchased electricity — compared to 2023. (See Exhibit 3 for organizational chart.)</w:t>
      </w:r>
    </w:p>
    <w:p>
      <w:pPr>
        <w:pBdr>
          <w:bottom w:val="single" w:color="C0392B" w:sz="4" w:space="4"/>
        </w:pBdr>
        <w:spacing w:after="140" w:before="400"/>
      </w:pPr>
      <w:r>
        <w:rPr>
          <w:rFonts w:ascii="Arial" w:cs="Arial" w:eastAsia="Arial" w:hAnsi="Arial"/>
          <w:b/>
          <w:bCs/>
          <w:color w:val="1A1A2E"/>
          <w:sz w:val="30"/>
          <w:szCs w:val="30"/>
        </w:rPr>
        <w:t xml:space="preserve">III. INDUSTRY AND COMPETITIVE CONTEXT</w:t>
      </w:r>
    </w:p>
    <w:p>
      <w:pPr>
        <w:spacing w:after="80" w:before="260"/>
      </w:pPr>
      <w:r>
        <w:rPr>
          <w:rFonts w:ascii="Arial" w:cs="Arial" w:eastAsia="Arial" w:hAnsi="Arial"/>
          <w:b/>
          <w:bCs/>
          <w:color w:val="2C3E50"/>
          <w:sz w:val="24"/>
          <w:szCs w:val="24"/>
        </w:rPr>
        <w:t xml:space="preserve">The AI Infrastructure Boom</w:t>
      </w:r>
    </w:p>
    <w:p>
      <w:pPr>
        <w:spacing w:after="160" w:before="0"/>
        <w:ind w:firstLine="0"/>
        <w:jc w:val="both"/>
      </w:pPr>
      <w:r>
        <w:rPr>
          <w:rFonts w:ascii="Times New Roman" w:cs="Times New Roman" w:eastAsia="Times New Roman" w:hAnsi="Times New Roman"/>
          <w:sz w:val="24"/>
          <w:szCs w:val="24"/>
        </w:rPr>
        <w:t xml:space="preserve">By 2025, the artificial intelligence industry had triggered one of the most significant infrastructure build-outs in the history of the technology sector. Global investment in data centers had nearly doubled since 2022, reaching an estimated $580 billion in 2025 — the vast majority directed at AI-ready facilities requiring specialized GPU racks, high-capacity power systems, and advanced liquid cooling infrastructure.</w:t>
      </w:r>
    </w:p>
    <w:p>
      <w:pPr>
        <w:spacing w:after="160" w:before="0"/>
        <w:ind w:firstLine="720"/>
        <w:jc w:val="both"/>
      </w:pPr>
      <w:r>
        <w:rPr>
          <w:rFonts w:ascii="Times New Roman" w:cs="Times New Roman" w:eastAsia="Times New Roman" w:hAnsi="Times New Roman"/>
          <w:sz w:val="24"/>
          <w:szCs w:val="24"/>
        </w:rPr>
        <w:t xml:space="preserve">The International Energy Agency (IEA), in its landmark 2025 report Energy and AI, documented that global data centers consumed approximately 415 terawatt-hours (TWh) of electricity in 2024, representing roughly 1.5% of global electricity consumption. This figure was projected to more than double to 945 TWh by 2030, growing at approximately 15% per year — more than four times the rate of total global electricity consumption growth. In the United States, data centers consumed 183 TWh in 2024, equivalent to more than 4% of total national electricity demand, and comparable in scale to the annual energy consumption of Pakistan. (See Exhibit 2 for global data center electricity forecasts.)</w:t>
      </w:r>
    </w:p>
    <w:p>
      <w:pPr>
        <w:spacing w:after="160" w:before="0"/>
        <w:ind w:firstLine="720"/>
        <w:jc w:val="both"/>
      </w:pPr>
      <w:r>
        <w:rPr>
          <w:rFonts w:ascii="Times New Roman" w:cs="Times New Roman" w:eastAsia="Times New Roman" w:hAnsi="Times New Roman"/>
          <w:sz w:val="24"/>
          <w:szCs w:val="24"/>
        </w:rPr>
        <w:t xml:space="preserve">The energy intensity of AI workloads was a primary driver of this demand surge. AI-optimized GPU racks consumed up to six times more power per server than conventional computing racks, and the shift from CPU-based to accelerated GPU-based computing was accelerating. The IEA projected that electricity consumption from accelerated AI servers would grow at 30% annually through 2030, even as conventional server consumption grew at a comparatively modest 9% per year.</w:t>
      </w:r>
    </w:p>
    <w:p>
      <w:pPr>
        <w:spacing w:after="80" w:before="260"/>
      </w:pPr>
      <w:r>
        <w:rPr>
          <w:rFonts w:ascii="Arial" w:cs="Arial" w:eastAsia="Arial" w:hAnsi="Arial"/>
          <w:b/>
          <w:bCs/>
          <w:color w:val="2C3E50"/>
          <w:sz w:val="24"/>
          <w:szCs w:val="24"/>
        </w:rPr>
        <w:t xml:space="preserve">Key Competitors and Their Energy Posture</w:t>
      </w:r>
    </w:p>
    <w:p>
      <w:pPr>
        <w:spacing w:after="160" w:before="0"/>
        <w:ind w:firstLine="0"/>
        <w:jc w:val="both"/>
      </w:pPr>
      <w:r>
        <w:rPr>
          <w:rFonts w:ascii="Times New Roman" w:cs="Times New Roman" w:eastAsia="Times New Roman" w:hAnsi="Times New Roman"/>
          <w:sz w:val="24"/>
          <w:szCs w:val="24"/>
        </w:rPr>
        <w:t xml:space="preserve">NovaSphere operated in a competitive landscape dominated by better-capitalized rivals — all of which faced structurally similar energy challenges and were responding in divergent ways. (See Exhibit 4 for competitor comparison.) The five largest players in the generative AI infrastructure space — Anthropic, OpenAI, Google DeepMind, Meta AI, and NovaSphere — collectively accounted for an estimated 38% of global AI-dedicated data center electricity demand.</w:t>
      </w:r>
    </w:p>
    <w:p>
      <w:pPr>
        <w:spacing w:after="160" w:before="0"/>
        <w:ind w:firstLine="720"/>
        <w:jc w:val="both"/>
      </w:pPr>
      <w:r>
        <w:rPr>
          <w:rFonts w:ascii="Times New Roman" w:cs="Times New Roman" w:eastAsia="Times New Roman" w:hAnsi="Times New Roman"/>
          <w:sz w:val="24"/>
          <w:szCs w:val="24"/>
        </w:rPr>
        <w:t xml:space="preserve">Google, through its parent Alphabet, had signed the world's first corporate small modular reactor (SMR) fleet deal, partnering with Kairos Power to procure 500 megawatts of nuclear capacity targeted for deployment after 2030. Microsoft had executed a landmark 20-year power purchase agreement with Constellation Energy, worth an estimated $16 billion, to restart the Three Mile Island nuclear facility and direct its output — 835 megawatts — exclusively to Microsoft data centers beginning in 2028. Amazon had committed more than $20 billion to convert the Susquehanna nuclear generating station into an AI-ready data center campus powered entirely by nuclear energy.</w:t>
      </w:r>
    </w:p>
    <w:p>
      <w:pPr>
        <w:spacing w:after="160" w:before="0"/>
        <w:ind w:firstLine="720"/>
        <w:jc w:val="both"/>
      </w:pPr>
      <w:r>
        <w:rPr>
          <w:rFonts w:ascii="Times New Roman" w:cs="Times New Roman" w:eastAsia="Times New Roman" w:hAnsi="Times New Roman"/>
          <w:sz w:val="24"/>
          <w:szCs w:val="24"/>
        </w:rPr>
        <w:t xml:space="preserve">These moves reflected an emerging consensus among hyperscalers: that renewable energy alone — intermittent, geography-dependent, and subject to grid constraints — could not meet the 24/7 baseload power demands of AI inference at scale. Nuclear energy, despite its high capital costs and long lead times, offered the only proven pathway to gigawatt-scale, carbon-free, continuous power.</w:t>
      </w:r>
    </w:p>
    <w:p>
      <w:pPr>
        <w:spacing w:after="160" w:before="0"/>
        <w:ind w:firstLine="720"/>
        <w:jc w:val="both"/>
      </w:pPr>
      <w:r>
        <w:rPr>
          <w:rFonts w:ascii="Times New Roman" w:cs="Times New Roman" w:eastAsia="Times New Roman" w:hAnsi="Times New Roman"/>
          <w:sz w:val="24"/>
          <w:szCs w:val="24"/>
        </w:rPr>
        <w:t xml:space="preserve">NovaSphere, as a pure-play AI company without the balance sheet of a Microsoft or Amazon, had not yet secured a comparable energy deal. Its current electricity supply was 62% renewable energy certificates (RECs), 28% natural gas (primarily through utility contracts), and 10% direct power purchase agreements (PPAs) with wind and solar facilities. Critics, including environmental NGO Greenpeace, had noted publicly that RECs — which allowed companies to claim renewable consumption without requiring that renewable electrons actually power their facilities — were an accounting instrument, not a physical decarbonization solution.</w:t>
      </w:r>
    </w:p>
    <w:p>
      <w:pPr>
        <w:spacing w:after="80" w:before="260"/>
      </w:pPr>
      <w:r>
        <w:rPr>
          <w:rFonts w:ascii="Arial" w:cs="Arial" w:eastAsia="Arial" w:hAnsi="Arial"/>
          <w:b/>
          <w:bCs/>
          <w:color w:val="2C3E50"/>
          <w:sz w:val="24"/>
          <w:szCs w:val="24"/>
        </w:rPr>
        <w:t xml:space="preserve">Regulatory and Public Pressure</w:t>
      </w:r>
    </w:p>
    <w:p>
      <w:pPr>
        <w:spacing w:after="160" w:before="0"/>
        <w:ind w:firstLine="0"/>
        <w:jc w:val="both"/>
      </w:pPr>
      <w:r>
        <w:rPr>
          <w:rFonts w:ascii="Times New Roman" w:cs="Times New Roman" w:eastAsia="Times New Roman" w:hAnsi="Times New Roman"/>
          <w:sz w:val="24"/>
          <w:szCs w:val="24"/>
        </w:rPr>
        <w:t xml:space="preserve">The regulatory environment around AI energy consumption was rapidly evolving. The European Union's AI Act, finalized in 2024, included provisions requiring AI developers operating in Europe to disclose the computational resources and estimated energy consumption of their flagship models. The U.S. Securities and Exchange Commission's climate disclosure rules, after years of legal challenges, had been partially upheld by the Supreme Court in 2025 and required large public companies to report Scope 1 and 2 emissions starting with fiscal year 2026 filings.</w:t>
      </w:r>
    </w:p>
    <w:p>
      <w:pPr>
        <w:spacing w:after="160" w:before="0"/>
        <w:ind w:firstLine="720"/>
        <w:jc w:val="both"/>
      </w:pPr>
      <w:r>
        <w:rPr>
          <w:rFonts w:ascii="Times New Roman" w:cs="Times New Roman" w:eastAsia="Times New Roman" w:hAnsi="Times New Roman"/>
          <w:sz w:val="24"/>
          <w:szCs w:val="24"/>
        </w:rPr>
        <w:t xml:space="preserve">Public opinion was mixed but increasingly attentive. A 2025 Pew Research Center survey found that 61% of Americans believed AI companies should be required to publicly disclose their energy consumption, and 44% expressed concern that AI data centers would drive up their electricity bills. The survey data was not hypothetical: in the PJM electricity market spanning Illinois to North Carolina, data centers had already contributed to an estimated $9.3 billion increase in the capacity market for 2025–26, translating to an average residential electricity bill increase of $16–$18 per month in affected states.</w:t>
      </w:r>
    </w:p>
    <w:p>
      <w:pPr>
        <w:pBdr>
          <w:bottom w:val="single" w:color="C0392B" w:sz="4" w:space="4"/>
        </w:pBdr>
        <w:spacing w:after="140" w:before="400"/>
      </w:pPr>
      <w:r>
        <w:rPr>
          <w:rFonts w:ascii="Arial" w:cs="Arial" w:eastAsia="Arial" w:hAnsi="Arial"/>
          <w:b/>
          <w:bCs/>
          <w:color w:val="1A1A2E"/>
          <w:sz w:val="30"/>
          <w:szCs w:val="30"/>
        </w:rPr>
        <w:t xml:space="preserve">IV. THE SITUATION</w:t>
      </w:r>
    </w:p>
    <w:p>
      <w:pPr>
        <w:spacing w:after="80" w:before="260"/>
      </w:pPr>
      <w:r>
        <w:rPr>
          <w:rFonts w:ascii="Arial" w:cs="Arial" w:eastAsia="Arial" w:hAnsi="Arial"/>
          <w:b/>
          <w:bCs/>
          <w:color w:val="2C3E50"/>
          <w:sz w:val="24"/>
          <w:szCs w:val="24"/>
        </w:rPr>
        <w:t xml:space="preserve">A Promise Under Pressure</w:t>
      </w:r>
    </w:p>
    <w:p>
      <w:pPr>
        <w:spacing w:after="160" w:before="0"/>
        <w:ind w:firstLine="0"/>
        <w:jc w:val="both"/>
      </w:pPr>
      <w:r>
        <w:rPr>
          <w:rFonts w:ascii="Times New Roman" w:cs="Times New Roman" w:eastAsia="Times New Roman" w:hAnsi="Times New Roman"/>
          <w:sz w:val="24"/>
          <w:szCs w:val="24"/>
        </w:rPr>
        <w:t xml:space="preserve">NovaSphere's sustainability commitments, made during its 2024 IPO roadshow, had been specific and public: the company pledged to achieve net-zero Scope 1 and 2 emissions by 2030 and to power 100% of its data center operations with "clean energy" — which it defined, in the prospectus, as a combination of RECs, PPAs, and direct renewable generation. The commitment had been enthusiastically received by ESG-focused institutional investors, who collectively held approximately 39% of the company's outstanding shares.</w:t>
      </w:r>
    </w:p>
    <w:p>
      <w:pPr>
        <w:spacing w:after="160" w:before="0"/>
        <w:ind w:firstLine="720"/>
        <w:jc w:val="both"/>
      </w:pPr>
      <w:r>
        <w:rPr>
          <w:rFonts w:ascii="Times New Roman" w:cs="Times New Roman" w:eastAsia="Times New Roman" w:hAnsi="Times New Roman"/>
          <w:sz w:val="24"/>
          <w:szCs w:val="24"/>
        </w:rPr>
        <w:t xml:space="preserve">By mid-2025, it was becoming apparent internally that the 2030 commitment was in distress. The company's emissions had grown 71% in a single year, driven by the combined effects of the NovaMind-3 Ultra training run, a tripling of inference API traffic, and the expansion of three new data center campuses in Virginia, Texas, and Singapore. The Singapore facility, opened in Q3 2025, drew power from a grid that was 85% fossil fuel-dependent.</w:t>
      </w:r>
    </w:p>
    <w:p>
      <w:pPr>
        <w:spacing w:after="160" w:before="0"/>
        <w:ind w:firstLine="720"/>
        <w:jc w:val="both"/>
      </w:pPr>
      <w:r>
        <w:rPr>
          <w:rFonts w:ascii="Times New Roman" w:cs="Times New Roman" w:eastAsia="Times New Roman" w:hAnsi="Times New Roman"/>
          <w:sz w:val="24"/>
          <w:szCs w:val="24"/>
        </w:rPr>
        <w:t xml:space="preserve">Mehta's Environmental Strategy Group had modeled four scenarios for reaching the 2030 commitment. All four required either a dramatic reduction in the computational intensity of NovaSphere's model development roadmap, a step-change improvement in data center energy efficiency, a multi-billion-dollar investment in dedicated clean power infrastructure, or some combination of the three. The models also surfaced a troubling asymmetry: the financial cost of clean energy commitments scaled roughly linearly with compute growth, but the company's AI research roadmap called for exponential growth in compute over the same period.</w:t>
      </w:r>
    </w:p>
    <w:p>
      <w:pPr>
        <w:spacing w:after="80" w:before="260"/>
      </w:pPr>
      <w:r>
        <w:rPr>
          <w:rFonts w:ascii="Arial" w:cs="Arial" w:eastAsia="Arial" w:hAnsi="Arial"/>
          <w:b/>
          <w:bCs/>
          <w:color w:val="2C3E50"/>
          <w:sz w:val="24"/>
          <w:szCs w:val="24"/>
        </w:rPr>
        <w:t xml:space="preserve">The Three Mile Island Effect</w:t>
      </w:r>
    </w:p>
    <w:p>
      <w:pPr>
        <w:spacing w:after="160" w:before="0"/>
        <w:ind w:firstLine="0"/>
        <w:jc w:val="both"/>
      </w:pPr>
      <w:r>
        <w:rPr>
          <w:rFonts w:ascii="Times New Roman" w:cs="Times New Roman" w:eastAsia="Times New Roman" w:hAnsi="Times New Roman"/>
          <w:sz w:val="24"/>
          <w:szCs w:val="24"/>
        </w:rPr>
        <w:t xml:space="preserve">The competitive implications of rivals' energy deals were not lost on NovaSphere's leadership team. In private discussions, Chandrasekaran had referred to the Microsoft-Constellation deal as "the Three Mile Island Effect" — the moment when energy access became a genuine source of competitive advantage in AI, not merely a cost center. A company that could guarantee stable, carbon-free baseload power at scale could train larger models faster, run more inference workloads simultaneously, and do so without the reputational risk of greenwashing accusations.</w:t>
      </w:r>
    </w:p>
    <w:p>
      <w:pPr>
        <w:spacing w:after="160" w:before="0"/>
        <w:ind w:firstLine="720"/>
        <w:jc w:val="both"/>
      </w:pPr>
      <w:r>
        <w:rPr>
          <w:rFonts w:ascii="Times New Roman" w:cs="Times New Roman" w:eastAsia="Times New Roman" w:hAnsi="Times New Roman"/>
          <w:sz w:val="24"/>
          <w:szCs w:val="24"/>
        </w:rPr>
        <w:t xml:space="preserve">NovaSphere had begun preliminary discussions with two nuclear operators and had received an informal term sheet from a small modular reactor developer, NuScale Power, for a 200-megawatt facility projected to be operational in 2031. The capital commitment would be approximately $1.8 billion over six years — significant but not prohibitive for a company with $4.2 billion in cash equivalents. The catch: 2031 was one year after NovaSphere's stated net-zero deadline, and the deal's execution risk was high. SMR technology, while technically validated, had not been deployed at commercial scale in the United States.</w:t>
      </w:r>
    </w:p>
    <w:p>
      <w:pPr>
        <w:spacing w:after="160" w:before="0"/>
        <w:ind w:firstLine="720"/>
        <w:jc w:val="both"/>
      </w:pPr>
      <w:r>
        <w:rPr>
          <w:rFonts w:ascii="Times New Roman" w:cs="Times New Roman" w:eastAsia="Times New Roman" w:hAnsi="Times New Roman"/>
          <w:sz w:val="24"/>
          <w:szCs w:val="24"/>
        </w:rPr>
        <w:t xml:space="preserve">Simultaneously, NovaSphere's infrastructure team was evaluating a different approach: deploying liquid immersion cooling across all new data center builds, a technology that could reduce cooling energy consumption by up to 40% compared to conventional air cooling systems. The capital expenditure to retrofit existing facilities was estimated at $620 million; new builds using immersion cooling from the ground up would carry a 15–22% premium over conventional construction costs but would produce meaningful efficiency gains over a 10-year operational life.</w:t>
      </w:r>
    </w:p>
    <w:p>
      <w:pPr>
        <w:spacing w:after="80" w:before="260"/>
      </w:pPr>
      <w:r>
        <w:rPr>
          <w:rFonts w:ascii="Arial" w:cs="Arial" w:eastAsia="Arial" w:hAnsi="Arial"/>
          <w:b/>
          <w:bCs/>
          <w:color w:val="2C3E50"/>
          <w:sz w:val="24"/>
          <w:szCs w:val="24"/>
        </w:rPr>
        <w:t xml:space="preserve">The Scaling Question No One Wanted to Ask</w:t>
      </w:r>
    </w:p>
    <w:p>
      <w:pPr>
        <w:spacing w:after="160" w:before="0"/>
        <w:ind w:firstLine="0"/>
        <w:jc w:val="both"/>
      </w:pPr>
      <w:r>
        <w:rPr>
          <w:rFonts w:ascii="Times New Roman" w:cs="Times New Roman" w:eastAsia="Times New Roman" w:hAnsi="Times New Roman"/>
          <w:sz w:val="24"/>
          <w:szCs w:val="24"/>
        </w:rPr>
        <w:t xml:space="preserve">Underlying all of NovaSphere's energy calculus was a question that the company's research team found professionally uncomfortable and that its board had not yet formally discussed: was the relentless scaling of AI model size, measured in parameters and training compute, actually necessary?</w:t>
      </w:r>
    </w:p>
    <w:p>
      <w:pPr>
        <w:spacing w:after="160" w:before="0"/>
        <w:ind w:firstLine="720"/>
        <w:jc w:val="both"/>
      </w:pPr>
      <w:r>
        <w:rPr>
          <w:rFonts w:ascii="Times New Roman" w:cs="Times New Roman" w:eastAsia="Times New Roman" w:hAnsi="Times New Roman"/>
          <w:sz w:val="24"/>
          <w:szCs w:val="24"/>
        </w:rPr>
        <w:t xml:space="preserve">The AI research community had debated this question with increasing urgency in 2025. Several papers published at NeurIPS and ICML had demonstrated that smaller, more efficiently trained models — using techniques such as mixture-of-experts architectures, pruning, and knowledge distillation — could achieve benchmark performance comparable to much larger models at a fraction of the computational cost. OpenAI's o-series models and Anthropic's Claude Haiku had demonstrated that inference efficiency could be dramatically improved without proportional losses in capability.</w:t>
      </w:r>
    </w:p>
    <w:p>
      <w:pPr>
        <w:spacing w:after="160" w:before="0"/>
        <w:ind w:firstLine="720"/>
        <w:jc w:val="both"/>
      </w:pPr>
      <w:r>
        <w:rPr>
          <w:rFonts w:ascii="Times New Roman" w:cs="Times New Roman" w:eastAsia="Times New Roman" w:hAnsi="Times New Roman"/>
          <w:sz w:val="24"/>
          <w:szCs w:val="24"/>
        </w:rPr>
        <w:t xml:space="preserve">Yet NovaSphere's competitive position had been built, in part, on its reputation for frontier-scale models. NovaMind-3 Ultra was the highest-performing model on several enterprise benchmarks. If NovaSphere slowed its scaling trajectory while competitors continued to race, it risked ceding the frontier model market to rivals with deeper energy-supply pipelines. The competitive dynamics of the AI industry created a structural disincentive to unilateral restraint. Mehta had privately described this to a colleague as "a prisoner's dilemma written in carbon."</w:t>
      </w:r>
    </w:p>
    <w:p>
      <w:pPr>
        <w:spacing w:after="160" w:before="0"/>
        <w:ind w:firstLine="720"/>
        <w:jc w:val="both"/>
      </w:pPr>
      <w:r>
        <w:rPr>
          <w:rFonts w:ascii="Times New Roman" w:cs="Times New Roman" w:eastAsia="Times New Roman" w:hAnsi="Times New Roman"/>
          <w:sz w:val="24"/>
          <w:szCs w:val="24"/>
        </w:rPr>
        <w:t xml:space="preserve">The financial data compounded the complexity. NovaSphere's API revenue had grown 94% year-over-year in 2025, driven almost entirely by NovaMind-3 Ultra. The most compute-intensive product was also the most commercially successful. Any pivot toward smaller, more efficient models risked disrupting the revenue stream that was funding everything else. (See Exhibit 5 for revenue breakdown by product segment and Exhibit 6 for energy intensity by workload type.)</w:t>
      </w:r>
    </w:p>
    <w:p>
      <w:pPr>
        <w:spacing w:after="80" w:before="260"/>
      </w:pPr>
      <w:r>
        <w:rPr>
          <w:rFonts w:ascii="Arial" w:cs="Arial" w:eastAsia="Arial" w:hAnsi="Arial"/>
          <w:b/>
          <w:bCs/>
          <w:color w:val="2C3E50"/>
          <w:sz w:val="24"/>
          <w:szCs w:val="24"/>
        </w:rPr>
        <w:t xml:space="preserve">The Board Meeting Looms</w:t>
      </w:r>
    </w:p>
    <w:p>
      <w:pPr>
        <w:spacing w:after="160" w:before="0"/>
        <w:ind w:firstLine="0"/>
        <w:jc w:val="both"/>
      </w:pPr>
      <w:r>
        <w:rPr>
          <w:rFonts w:ascii="Times New Roman" w:cs="Times New Roman" w:eastAsia="Times New Roman" w:hAnsi="Times New Roman"/>
          <w:sz w:val="24"/>
          <w:szCs w:val="24"/>
        </w:rPr>
        <w:t xml:space="preserve">By January 2026, the pressure on Chandrasekaran and Mehta was building from multiple directions simultaneously. Two large ESG-focused institutional shareholders — Norges Bank Investment Management and CalSTRS — had sent private letters requesting a detailed sustainability roadmap within 90 days. A prominent technology journalist had filed a Freedom of Information Act request with the EPA regarding NovaSphere's Virginia data center emissions. And NovaSphere's European enterprise clients, subject to their own Scope 3 disclosure requirements under the EU Corporate Sustainability Reporting Directive, had begun asking pointed questions about the carbon intensity of API calls made through NovaSphere's platform.</w:t>
      </w:r>
    </w:p>
    <w:p>
      <w:pPr>
        <w:spacing w:after="160" w:before="0"/>
        <w:ind w:firstLine="720"/>
        <w:jc w:val="both"/>
      </w:pPr>
      <w:r>
        <w:rPr>
          <w:rFonts w:ascii="Times New Roman" w:cs="Times New Roman" w:eastAsia="Times New Roman" w:hAnsi="Times New Roman"/>
          <w:sz w:val="24"/>
          <w:szCs w:val="24"/>
        </w:rPr>
        <w:t xml:space="preserve">Mehta's team had prepared a board presentation structured around three strategic pathways. Each pathway was defensible. Each carried meaningful risks. And the board — which included three former technology executives, a former U.S. energy secretary, and two financial investors — was unlikely to reach consensus quickly.</w:t>
      </w:r>
    </w:p>
    <w:p>
      <w:pPr>
        <w:pBdr>
          <w:bottom w:val="single" w:color="C0392B" w:sz="4" w:space="4"/>
        </w:pBdr>
        <w:spacing w:after="140" w:before="400"/>
      </w:pPr>
      <w:r>
        <w:rPr>
          <w:rFonts w:ascii="Arial" w:cs="Arial" w:eastAsia="Arial" w:hAnsi="Arial"/>
          <w:b/>
          <w:bCs/>
          <w:color w:val="1A1A2E"/>
          <w:sz w:val="30"/>
          <w:szCs w:val="30"/>
        </w:rPr>
        <w:t xml:space="preserve">V. THE DECISION POINT</w:t>
      </w:r>
    </w:p>
    <w:p>
      <w:pPr>
        <w:spacing w:after="160" w:before="0"/>
        <w:ind w:firstLine="0"/>
        <w:jc w:val="both"/>
      </w:pPr>
      <w:r>
        <w:rPr>
          <w:rFonts w:ascii="Times New Roman" w:cs="Times New Roman" w:eastAsia="Times New Roman" w:hAnsi="Times New Roman"/>
          <w:sz w:val="24"/>
          <w:szCs w:val="24"/>
        </w:rPr>
        <w:t xml:space="preserve">Arjun Mehta closed his laptop at 3:22 a.m. and stared out at the Seattle skyline. In less than six hours, the board would receive his presentation. The three pathways were laid out as clearly as he could manage:</w:t>
      </w:r>
    </w:p>
    <w:p>
      <w:pPr>
        <w:spacing w:after="160" w:before="0"/>
        <w:ind w:firstLine="720"/>
        <w:jc w:val="both"/>
      </w:pPr>
      <w:r>
        <w:rPr>
          <w:rFonts w:ascii="Times New Roman" w:cs="Times New Roman" w:eastAsia="Times New Roman" w:hAnsi="Times New Roman"/>
          <w:sz w:val="24"/>
          <w:szCs w:val="24"/>
        </w:rPr>
        <w:t xml:space="preserve">Option A — The Nuclear Bet: Commit $1.8 billion to the NuScale SMR partnership, accepting that the facility would not be operational until 2031 and that NovaSphere would need to bridge the 2030 net-zero deadline through interim measures, likely including higher-quality carbon offsets and accelerated renewable PPAs. This option provided the most durable, competitive long-term energy solution but required the board to acknowledge, explicitly, that the 2030 commitment as publicly stated was no longer achievable on its original terms.</w:t>
      </w:r>
    </w:p>
    <w:p>
      <w:pPr>
        <w:spacing w:after="160" w:before="0"/>
        <w:ind w:firstLine="720"/>
        <w:jc w:val="both"/>
      </w:pPr>
      <w:r>
        <w:rPr>
          <w:rFonts w:ascii="Times New Roman" w:cs="Times New Roman" w:eastAsia="Times New Roman" w:hAnsi="Times New Roman"/>
          <w:sz w:val="24"/>
          <w:szCs w:val="24"/>
        </w:rPr>
        <w:t xml:space="preserve">Option B — The Efficiency Pivot: Forego the nuclear investment, redirect capital to immersion cooling retrofits and next-generation chip efficiency, and simultaneously invest $400 million in a dedicated efficiency R&amp;D program targeting a 35% reduction in energy per compute unit by 2028. This option preserved capital and avoided the execution risk of nuclear, but its success depended entirely on technology that was still maturing and on a competitive market that might not slow its scaling race to allow NovaSphere to catch up on energy efficiency.</w:t>
      </w:r>
    </w:p>
    <w:p>
      <w:pPr>
        <w:spacing w:after="160" w:before="0"/>
        <w:ind w:firstLine="720"/>
        <w:jc w:val="both"/>
      </w:pPr>
      <w:r>
        <w:rPr>
          <w:rFonts w:ascii="Times New Roman" w:cs="Times New Roman" w:eastAsia="Times New Roman" w:hAnsi="Times New Roman"/>
          <w:sz w:val="24"/>
          <w:szCs w:val="24"/>
        </w:rPr>
        <w:t xml:space="preserve">Option C — The Principled Pause: Announce a voluntary 18-month moratorium on frontier model scaling — no new parameters, no larger training runs — to allow NovaSphere's clean energy infrastructure and efficiency investments to catch up with its compute footprint. This option was the most operationally bold, the most reputationally differentiated, and the most competitively dangerous. No major AI company had voluntarily constrained its model development timeline for environmental reasons.</w:t>
      </w:r>
    </w:p>
    <w:p>
      <w:pPr>
        <w:spacing w:after="160" w:before="0"/>
        <w:ind w:firstLine="0"/>
        <w:jc w:val="both"/>
      </w:pPr>
      <w:r>
        <w:rPr>
          <w:rFonts w:ascii="Times New Roman" w:cs="Times New Roman" w:eastAsia="Times New Roman" w:hAnsi="Times New Roman"/>
          <w:sz w:val="24"/>
          <w:szCs w:val="24"/>
        </w:rPr>
        <w:t xml:space="preserve">Each option implicated a different theory of NovaSphere's competitive identity. Was the company a technology company first, for which energy was an input cost to be managed? A sustainability leader, for which clean energy was a competitive differentiator? Or something that the industry had not yet imagined — a company willing to trade short-term capability for long-term legitimacy?</w:t>
      </w:r>
    </w:p>
    <w:p>
      <w:pPr>
        <w:spacing w:after="160" w:before="0"/>
        <w:ind w:firstLine="0"/>
        <w:jc w:val="both"/>
      </w:pPr>
      <w:r>
        <w:rPr>
          <w:rFonts w:ascii="Times New Roman" w:cs="Times New Roman" w:eastAsia="Times New Roman" w:hAnsi="Times New Roman"/>
          <w:sz w:val="24"/>
          <w:szCs w:val="24"/>
        </w:rPr>
        <w:t xml:space="preserve">Outside the window, the lights of Seattle burned on. In data centers across three continents, NovaSphere's servers processed millions of queries — each one a small, invisible act of intelligence, each one drawing another increment of power from a grid that the world had not built for this moment. Mehta picked up his badge and walked toward the elevator.</w:t>
      </w:r>
    </w:p>
    <w:p>
      <w:pPr>
        <w:spacing w:after="0" w:before="320"/>
        <w:jc w:val="center"/>
      </w:pPr>
      <w:r>
        <w:rPr>
          <w:rFonts w:ascii="Times New Roman" w:cs="Times New Roman" w:eastAsia="Times New Roman" w:hAnsi="Times New Roman"/>
          <w:b/>
          <w:bCs/>
          <w:i/>
          <w:iCs/>
          <w:color w:val="2C3E50"/>
          <w:sz w:val="24"/>
          <w:szCs w:val="24"/>
        </w:rPr>
        <w:t xml:space="preserve">What should NovaSphere's board do — and in choosing, what kind of company are they choosing to become?</w:t>
      </w:r>
    </w:p>
    <w:p>
      <w:pPr>
        <w:spacing w:after="0" w:before="0"/>
      </w:pPr>
      <w:r>
        <w:br w:type="page"/>
      </w:r>
    </w:p>
    <w:p>
      <w:pPr>
        <w:pBdr>
          <w:bottom w:val="single" w:color="C0392B" w:sz="4" w:space="4"/>
        </w:pBdr>
        <w:spacing w:after="140" w:before="400"/>
      </w:pPr>
      <w:r>
        <w:rPr>
          <w:rFonts w:ascii="Arial" w:cs="Arial" w:eastAsia="Arial" w:hAnsi="Arial"/>
          <w:b/>
          <w:bCs/>
          <w:color w:val="1A1A2E"/>
          <w:sz w:val="30"/>
          <w:szCs w:val="30"/>
        </w:rPr>
        <w:t xml:space="preserve">EXHIBITS</w:t>
      </w:r>
    </w:p>
    <w:p>
      <w:pPr>
        <w:spacing w:after="100" w:before="360"/>
      </w:pPr>
      <w:r>
        <w:rPr>
          <w:rFonts w:ascii="Arial" w:cs="Arial" w:eastAsia="Arial" w:hAnsi="Arial"/>
          <w:b/>
          <w:bCs/>
          <w:color w:val="2C3E50"/>
          <w:sz w:val="22"/>
          <w:szCs w:val="22"/>
        </w:rPr>
        <w:t xml:space="preserve">Exhibit 1: NovaSphere AI — Financial Summary (FY 2022–2025, USD Millions)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16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FY 2022</w:t>
            </w:r>
          </w:p>
        </w:tc>
        <w:tc>
          <w:tcPr>
            <w:tcW w:type="dxa" w:w="16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FY 2023</w:t>
            </w:r>
          </w:p>
        </w:tc>
        <w:tc>
          <w:tcPr>
            <w:tcW w:type="dxa" w:w="16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FY 2024</w:t>
            </w:r>
          </w:p>
        </w:tc>
        <w:tc>
          <w:tcPr>
            <w:tcW w:type="dxa" w:w="16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FY 2025</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Total Revenue</w:t>
            </w:r>
          </w:p>
        </w:tc>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$186</w:t>
            </w:r>
          </w:p>
        </w:tc>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$512</w:t>
            </w:r>
          </w:p>
        </w:tc>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$1,340</w:t>
            </w:r>
          </w:p>
        </w:tc>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$2,618</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  — API / Inference Revenue</w:t>
            </w:r>
          </w:p>
        </w:tc>
        <w:tc>
          <w:tcPr>
            <w:tcW w:type="dxa" w:w="16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$44</w:t>
            </w:r>
          </w:p>
        </w:tc>
        <w:tc>
          <w:tcPr>
            <w:tcW w:type="dxa" w:w="16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$198</w:t>
            </w:r>
          </w:p>
        </w:tc>
        <w:tc>
          <w:tcPr>
            <w:tcW w:type="dxa" w:w="16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$712</w:t>
            </w:r>
          </w:p>
        </w:tc>
        <w:tc>
          <w:tcPr>
            <w:tcW w:type="dxa" w:w="16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$1,415</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  — Enterprise SaaS</w:t>
            </w:r>
          </w:p>
        </w:tc>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$98</w:t>
            </w:r>
          </w:p>
        </w:tc>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$247</w:t>
            </w:r>
          </w:p>
        </w:tc>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$511</w:t>
            </w:r>
          </w:p>
        </w:tc>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$942</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  — Professional Services</w:t>
            </w:r>
          </w:p>
        </w:tc>
        <w:tc>
          <w:tcPr>
            <w:tcW w:type="dxa" w:w="16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$44</w:t>
            </w:r>
          </w:p>
        </w:tc>
        <w:tc>
          <w:tcPr>
            <w:tcW w:type="dxa" w:w="16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$67</w:t>
            </w:r>
          </w:p>
        </w:tc>
        <w:tc>
          <w:tcPr>
            <w:tcW w:type="dxa" w:w="16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$117</w:t>
            </w:r>
          </w:p>
        </w:tc>
        <w:tc>
          <w:tcPr>
            <w:tcW w:type="dxa" w:w="16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$261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Gross Profit</w:t>
            </w:r>
          </w:p>
        </w:tc>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$118</w:t>
            </w:r>
          </w:p>
        </w:tc>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$334</w:t>
            </w:r>
          </w:p>
        </w:tc>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$871</w:t>
            </w:r>
          </w:p>
        </w:tc>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$1,648</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Gross Margin</w:t>
            </w:r>
          </w:p>
        </w:tc>
        <w:tc>
          <w:tcPr>
            <w:tcW w:type="dxa" w:w="16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63%</w:t>
            </w:r>
          </w:p>
        </w:tc>
        <w:tc>
          <w:tcPr>
            <w:tcW w:type="dxa" w:w="16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65%</w:t>
            </w:r>
          </w:p>
        </w:tc>
        <w:tc>
          <w:tcPr>
            <w:tcW w:type="dxa" w:w="16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65%</w:t>
            </w:r>
          </w:p>
        </w:tc>
        <w:tc>
          <w:tcPr>
            <w:tcW w:type="dxa" w:w="16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63%</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R&amp;D Expenditure</w:t>
            </w:r>
          </w:p>
        </w:tc>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$71</w:t>
            </w:r>
          </w:p>
        </w:tc>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$189</w:t>
            </w:r>
          </w:p>
        </w:tc>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$524</w:t>
            </w:r>
          </w:p>
        </w:tc>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$1,042</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Infrastructure CapEx</w:t>
            </w:r>
          </w:p>
        </w:tc>
        <w:tc>
          <w:tcPr>
            <w:tcW w:type="dxa" w:w="16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$28</w:t>
            </w:r>
          </w:p>
        </w:tc>
        <w:tc>
          <w:tcPr>
            <w:tcW w:type="dxa" w:w="16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$122</w:t>
            </w:r>
          </w:p>
        </w:tc>
        <w:tc>
          <w:tcPr>
            <w:tcW w:type="dxa" w:w="16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$698</w:t>
            </w:r>
          </w:p>
        </w:tc>
        <w:tc>
          <w:tcPr>
            <w:tcW w:type="dxa" w:w="16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$1,874</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EBITDA</w:t>
            </w:r>
          </w:p>
        </w:tc>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$(12)</w:t>
            </w:r>
          </w:p>
        </w:tc>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$24</w:t>
            </w:r>
          </w:p>
        </w:tc>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$108</w:t>
            </w:r>
          </w:p>
        </w:tc>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$187</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Cash &amp; Equivalents (Year-End)</w:t>
            </w:r>
          </w:p>
        </w:tc>
        <w:tc>
          <w:tcPr>
            <w:tcW w:type="dxa" w:w="16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$280</w:t>
            </w:r>
          </w:p>
        </w:tc>
        <w:tc>
          <w:tcPr>
            <w:tcW w:type="dxa" w:w="16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$1,140</w:t>
            </w:r>
          </w:p>
        </w:tc>
        <w:tc>
          <w:tcPr>
            <w:tcW w:type="dxa" w:w="16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$3,920</w:t>
            </w:r>
          </w:p>
        </w:tc>
        <w:tc>
          <w:tcPr>
            <w:tcW w:type="dxa" w:w="16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$4,210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Energy Cost (Electricity)</w:t>
            </w:r>
          </w:p>
        </w:tc>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$9</w:t>
            </w:r>
          </w:p>
        </w:tc>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$38</w:t>
            </w:r>
          </w:p>
        </w:tc>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$127</w:t>
            </w:r>
          </w:p>
        </w:tc>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$348</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Energy Cost as % of Revenue</w:t>
            </w:r>
          </w:p>
        </w:tc>
        <w:tc>
          <w:tcPr>
            <w:tcW w:type="dxa" w:w="16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4.8%</w:t>
            </w:r>
          </w:p>
        </w:tc>
        <w:tc>
          <w:tcPr>
            <w:tcW w:type="dxa" w:w="16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7.4%</w:t>
            </w:r>
          </w:p>
        </w:tc>
        <w:tc>
          <w:tcPr>
            <w:tcW w:type="dxa" w:w="16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9.5%</w:t>
            </w:r>
          </w:p>
        </w:tc>
        <w:tc>
          <w:tcPr>
            <w:tcW w:type="dxa" w:w="16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13.3%</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Data Center Electricity (TWh)</w:t>
            </w:r>
          </w:p>
        </w:tc>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0.4</w:t>
            </w:r>
          </w:p>
        </w:tc>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1.4</w:t>
            </w:r>
          </w:p>
        </w:tc>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4.1</w:t>
            </w:r>
          </w:p>
        </w:tc>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18.4</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Headcount</w:t>
            </w:r>
          </w:p>
        </w:tc>
        <w:tc>
          <w:tcPr>
            <w:tcW w:type="dxa" w:w="16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1,200</w:t>
            </w:r>
          </w:p>
        </w:tc>
        <w:tc>
          <w:tcPr>
            <w:tcW w:type="dxa" w:w="16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3,100</w:t>
            </w:r>
          </w:p>
        </w:tc>
        <w:tc>
          <w:tcPr>
            <w:tcW w:type="dxa" w:w="16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6,400</w:t>
            </w:r>
          </w:p>
        </w:tc>
        <w:tc>
          <w:tcPr>
            <w:tcW w:type="dxa" w:w="16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9,400</w:t>
            </w:r>
          </w:p>
        </w:tc>
      </w:tr>
    </w:tbl>
    <w:p>
      <w:pPr>
        <w:spacing w:after="240" w:before="60"/>
      </w:pPr>
      <w:r>
        <w:rPr>
          <w:rFonts w:ascii="Arial" w:cs="Arial" w:eastAsia="Arial" w:hAnsi="Arial"/>
          <w:i/>
          <w:iCs/>
          <w:color w:val="888888"/>
          <w:sz w:val="18"/>
          <w:szCs w:val="18"/>
        </w:rPr>
        <w:t xml:space="preserve">Source: NovaSphere AI Annual Reports FY2022–FY2025; Author estimates for energy cost breakdown.</w:t>
      </w:r>
    </w:p>
    <w:p>
      <w:pPr>
        <w:spacing w:after="100" w:before="360"/>
      </w:pPr>
      <w:r>
        <w:rPr>
          <w:rFonts w:ascii="Arial" w:cs="Arial" w:eastAsia="Arial" w:hAnsi="Arial"/>
          <w:b/>
          <w:bCs/>
          <w:color w:val="2C3E50"/>
          <w:sz w:val="22"/>
          <w:szCs w:val="22"/>
        </w:rPr>
        <w:t xml:space="preserve">Exhibit 2: Global Data Center Electricity Consumption — Historical and Projected (TWh)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Year</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Total DC Consumption (TWh)</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 of Global Electricity</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AI-Attributed Share</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Annual Growth Rate</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2017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Negligible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t>
            </w:r>
          </w:p>
        </w:tc>
      </w:tr>
      <w:tr>
        <w:tc>
          <w:tcPr>
            <w:tcW w:type="dxa" w:w="1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2020</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~260</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~1.0%</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&lt;5%</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~9%</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2022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~330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~13%</w:t>
            </w:r>
          </w:p>
        </w:tc>
      </w:tr>
      <w:tr>
        <w:tc>
          <w:tcPr>
            <w:tcW w:type="dxa" w:w="1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2024 (Actual)</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415</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1.5%</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~18%</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~12%</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2026 (Est.)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570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~17%</w:t>
            </w:r>
          </w:p>
        </w:tc>
      </w:tr>
      <w:tr>
        <w:tc>
          <w:tcPr>
            <w:tcW w:type="dxa" w:w="1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2028 (Proj.)</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745</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2.4%</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~42%</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~14%</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2030 (Base Case)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945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&gt;50%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~13%</w:t>
            </w:r>
          </w:p>
        </w:tc>
      </w:tr>
    </w:tbl>
    <w:p>
      <w:pPr>
        <w:spacing w:after="240" w:before="60"/>
      </w:pPr>
      <w:r>
        <w:rPr>
          <w:rFonts w:ascii="Arial" w:cs="Arial" w:eastAsia="Arial" w:hAnsi="Arial"/>
          <w:i/>
          <w:iCs/>
          <w:color w:val="888888"/>
          <w:sz w:val="18"/>
          <w:szCs w:val="18"/>
        </w:rPr>
        <w:t xml:space="preserve">Source: International Energy Agency, Energy and AI Report (2025); IEA Global Energy Review (2025); Author analysis.</w:t>
      </w:r>
    </w:p>
    <w:p>
      <w:pPr>
        <w:spacing w:after="100" w:before="360"/>
      </w:pPr>
      <w:r>
        <w:rPr>
          <w:rFonts w:ascii="Arial" w:cs="Arial" w:eastAsia="Arial" w:hAnsi="Arial"/>
          <w:b/>
          <w:bCs/>
          <w:color w:val="2C3E50"/>
          <w:sz w:val="22"/>
          <w:szCs w:val="22"/>
        </w:rPr>
        <w:t xml:space="preserve">Exhibit 3: NovaSphere AI — Organizational Structure (January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Division</w:t>
            </w:r>
          </w:p>
        </w:tc>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Head</w:t>
            </w:r>
          </w:p>
        </w:tc>
        <w:tc>
          <w:tcPr>
            <w:tcW w:type="dxa" w:w="1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Headcount</w:t>
            </w:r>
          </w:p>
        </w:tc>
        <w:tc>
          <w:tcPr>
            <w:tcW w:type="dxa" w:w="3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Responsibilities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Research &amp; Development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Dr. Klaus Reinhardt (Co-Founder)</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~3,200</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Foundation model R&amp;D, safety alignment, novel architecture research</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Infrastructure &amp; Operations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Marcus Webb (SVP)</w:t>
            </w:r>
          </w:p>
        </w:tc>
        <w:tc>
          <w:tcPr>
            <w:tcW w:type="dxa" w:w="1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~2,800</w:t>
            </w:r>
          </w:p>
        </w:tc>
        <w:tc>
          <w:tcPr>
            <w:tcW w:type="dxa" w:w="3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Data center construction, GPU procurement, uptime/reliability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Product &amp; Go-to-Market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Soo-Jin Park (CPO)</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~2,600</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API platform, enterprise SaaS, developer relations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Environmental Strategy Group</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Arjun Mehta (CSO)</w:t>
            </w:r>
          </w:p>
        </w:tc>
        <w:tc>
          <w:tcPr>
            <w:tcW w:type="dxa" w:w="1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~180</w:t>
            </w:r>
          </w:p>
        </w:tc>
        <w:tc>
          <w:tcPr>
            <w:tcW w:type="dxa" w:w="3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Energy sourcing, emissions accounting, sustainability commitments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Corporate Functions (Legal, Finance, HR)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Various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~620</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Legal, finance, HR, communications</w:t>
            </w:r>
          </w:p>
        </w:tc>
      </w:tr>
    </w:tbl>
    <w:p>
      <w:pPr>
        <w:spacing w:after="240" w:before="60"/>
      </w:pPr>
      <w:r>
        <w:rPr>
          <w:rFonts w:ascii="Arial" w:cs="Arial" w:eastAsia="Arial" w:hAnsi="Arial"/>
          <w:i/>
          <w:iCs/>
          <w:color w:val="888888"/>
          <w:sz w:val="18"/>
          <w:szCs w:val="18"/>
        </w:rPr>
        <w:t xml:space="preserve">Source: NovaSphere AI internal org chart, January 2026.</w:t>
      </w:r>
    </w:p>
    <w:p>
      <w:pPr>
        <w:spacing w:after="100" w:before="360"/>
      </w:pPr>
      <w:r>
        <w:rPr>
          <w:rFonts w:ascii="Arial" w:cs="Arial" w:eastAsia="Arial" w:hAnsi="Arial"/>
          <w:b/>
          <w:bCs/>
          <w:color w:val="2C3E50"/>
          <w:sz w:val="22"/>
          <w:szCs w:val="22"/>
        </w:rPr>
        <w:t xml:space="preserve">Exhibit 4: Competitive Landscape — AI Companies and Energy Strategy (2025–2026)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Company</w:t>
            </w:r>
          </w:p>
        </w:tc>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Est. Annual DC Power (TWh)</w:t>
            </w:r>
          </w:p>
        </w:tc>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Primary Clean Energy Strategy</w:t>
            </w:r>
          </w:p>
        </w:tc>
        <w:tc>
          <w:tcPr>
            <w:tcW w:type="dxa" w:w="2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Nuclear Commitment</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Stated Net-Zero Target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Microsoft (Azure AI)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~35–40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RECs + 20-yr PPAs; 100% 24/7 CFE by 2030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Three Mile Island restart (835 MW, 2028)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2030 carbon negative</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Google (DeepMind / Cloud)</w:t>
            </w:r>
          </w:p>
        </w:tc>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~30–35</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Largest corporate renewable buyer globally</w:t>
            </w:r>
          </w:p>
        </w:tc>
        <w:tc>
          <w:tcPr>
            <w:tcW w:type="dxa" w:w="2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Kairos Power SMR fleet (500 MW, 2030+)</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2030 net-zero, 24/7 CFE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Amazon (AWS / Bedrock)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~45–50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RECs + on-site solar; "Climate Pledge"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Susquehanna campus ($20B+)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2040 net-zero</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Meta (Llama / AI Research)</w:t>
            </w:r>
          </w:p>
        </w:tc>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~20–25</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RECs + direct renewable PPAs</w:t>
            </w:r>
          </w:p>
        </w:tc>
        <w:tc>
          <w:tcPr>
            <w:tcW w:type="dxa" w:w="2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1–4 GW RFP issued (2025)</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2030 net-zero operations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NovaSphere AI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~18–22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62% RECs, 28% gas, 10% direct PPAs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NuScale 200 MW term sheet (preliminary)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2030 net-zero (under review)</w:t>
            </w:r>
          </w:p>
        </w:tc>
      </w:tr>
    </w:tbl>
    <w:p>
      <w:pPr>
        <w:spacing w:after="240" w:before="60"/>
      </w:pPr>
      <w:r>
        <w:rPr>
          <w:rFonts w:ascii="Arial" w:cs="Arial" w:eastAsia="Arial" w:hAnsi="Arial"/>
          <w:i/>
          <w:iCs/>
          <w:color w:val="888888"/>
          <w:sz w:val="18"/>
          <w:szCs w:val="18"/>
        </w:rPr>
        <w:t xml:space="preserve">Source: Company sustainability reports; IEA (2025); Introl Blog Nuclear Power for AI analysis (January 2026); Author estimates.</w:t>
      </w:r>
    </w:p>
    <w:p>
      <w:pPr>
        <w:spacing w:after="100" w:before="360"/>
      </w:pPr>
      <w:r>
        <w:rPr>
          <w:rFonts w:ascii="Arial" w:cs="Arial" w:eastAsia="Arial" w:hAnsi="Arial"/>
          <w:b/>
          <w:bCs/>
          <w:color w:val="2C3E50"/>
          <w:sz w:val="22"/>
          <w:szCs w:val="22"/>
        </w:rPr>
        <w:t xml:space="preserve">Exhibit 5: NovaSphere AI — Revenue by Product Segment and Compute Intensity (FY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Product Segment</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FY 2025 Revenue ($M)</w:t>
            </w:r>
          </w:p>
        </w:tc>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 of Total Revenue</w:t>
            </w:r>
          </w:p>
        </w:tc>
        <w:tc>
          <w:tcPr>
            <w:tcW w:type="dxa" w:w="1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Avg. Compute per Query (TFLOP)</w:t>
            </w:r>
          </w:p>
        </w:tc>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Energy Intensity Index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NovaMind-3 Ultra API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$1,054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40.3%</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~85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10.0 (baseline high)</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NovaMind-3 Standard API</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$361</w:t>
            </w:r>
          </w:p>
        </w:tc>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13.8%</w:t>
            </w:r>
          </w:p>
        </w:tc>
        <w:tc>
          <w:tcPr>
            <w:tcW w:type="dxa" w:w="1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~22</w:t>
            </w:r>
          </w:p>
        </w:tc>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2.6</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Enterprise SaaS (NovaSphere for Healthcare)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$418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16.0%</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Variable (batch)</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3.1</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Enterprise SaaS (NovaSphere for Finance)</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$312</w:t>
            </w:r>
          </w:p>
        </w:tc>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11.9%</w:t>
            </w:r>
          </w:p>
        </w:tc>
        <w:tc>
          <w:tcPr>
            <w:tcW w:type="dxa" w:w="1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Variable (batch)</w:t>
            </w:r>
          </w:p>
        </w:tc>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2.8</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Enterprise SaaS (NovaSphere for Legal)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$212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8.1%</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Variable (batch)</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2.4</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Professional Services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$261</w:t>
            </w:r>
          </w:p>
        </w:tc>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10.0%</w:t>
            </w:r>
          </w:p>
        </w:tc>
        <w:tc>
          <w:tcPr>
            <w:tcW w:type="dxa" w:w="1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N/A (consulting)</w:t>
            </w:r>
          </w:p>
        </w:tc>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0.5</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Total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$2,618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100.0%</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t>
            </w:r>
          </w:p>
        </w:tc>
      </w:tr>
    </w:tbl>
    <w:p>
      <w:pPr>
        <w:spacing w:after="240" w:before="60"/>
      </w:pPr>
      <w:r>
        <w:rPr>
          <w:rFonts w:ascii="Arial" w:cs="Arial" w:eastAsia="Arial" w:hAnsi="Arial"/>
          <w:i/>
          <w:iCs/>
          <w:color w:val="888888"/>
          <w:sz w:val="18"/>
          <w:szCs w:val="18"/>
        </w:rPr>
        <w:t xml:space="preserve">Source: NovaSphere AI internal revenue reporting; Energy intensity index estimated by Environmental Strategy Group (1.0 = 1,000 kWh per million queries).</w:t>
      </w:r>
    </w:p>
    <w:p>
      <w:pPr>
        <w:spacing w:after="100" w:before="360"/>
      </w:pPr>
      <w:r>
        <w:rPr>
          <w:rFonts w:ascii="Arial" w:cs="Arial" w:eastAsia="Arial" w:hAnsi="Arial"/>
          <w:b/>
          <w:bCs/>
          <w:color w:val="2C3E50"/>
          <w:sz w:val="22"/>
          <w:szCs w:val="22"/>
        </w:rPr>
        <w:t xml:space="preserve">Exhibit 6: NovaSphere AI — Three Strategic Options Comparison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Dimension</w:t>
            </w:r>
          </w:p>
        </w:tc>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Option A: Nuclear Bet</w:t>
            </w:r>
          </w:p>
        </w:tc>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Option B: Efficiency Pivot</w:t>
            </w:r>
          </w:p>
        </w:tc>
        <w:tc>
          <w:tcPr>
            <w:tcW w:type="dxa" w:w="2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Option C: Principled Pause</w:t>
            </w:r>
          </w:p>
        </w:tc>
      </w:tr>
      <w:tr>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Capital Required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$1.8B over 6 years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$1.0B over 4 years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$400M (redirected from R&amp;D scale)</w:t>
            </w:r>
          </w:p>
        </w:tc>
      </w:tr>
      <w:tr>
        <w:tc>
          <w:tcPr>
            <w:tcW w:type="dxa" w:w="1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Operational by</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2031 (SMR online)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2027–28 (partial rollout)</w:t>
            </w:r>
          </w:p>
        </w:tc>
        <w:tc>
          <w:tcPr>
            <w:tcW w:type="dxa" w:w="2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Immediate (policy decision)</w:t>
            </w:r>
          </w:p>
        </w:tc>
      </w:tr>
      <w:tr>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2030 Net-Zero Achievable?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No (1-year miss, bridged by offsets)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Possibly (if efficiency targets met)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Likely (compute growth halted)</w:t>
            </w:r>
          </w:p>
        </w:tc>
      </w:tr>
      <w:tr>
        <w:tc>
          <w:tcPr>
            <w:tcW w:type="dxa" w:w="1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Competitive Risk Level</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Medium (long-term energy moat)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High (depends on rival slowdown)</w:t>
            </w:r>
          </w:p>
        </w:tc>
        <w:tc>
          <w:tcPr>
            <w:tcW w:type="dxa" w:w="2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Very High (frontier market loss)</w:t>
            </w:r>
          </w:p>
        </w:tc>
      </w:tr>
      <w:tr>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Carbon Reduction by 2030 (Est.)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~40% vs. BAU</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~35% vs. BAU</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~60% vs. BAU</w:t>
            </w:r>
          </w:p>
        </w:tc>
      </w:tr>
      <w:tr>
        <w:tc>
          <w:tcPr>
            <w:tcW w:type="dxa" w:w="1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Revenue Risk</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Low (no product change)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Medium (transition period)</w:t>
            </w:r>
          </w:p>
        </w:tc>
        <w:tc>
          <w:tcPr>
            <w:tcW w:type="dxa" w:w="2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Very High (frontier clients at risk)</w:t>
            </w:r>
          </w:p>
        </w:tc>
      </w:tr>
      <w:tr>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Reputational Upside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Moderate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Moderate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High (first-mover differentiation)</w:t>
            </w:r>
          </w:p>
        </w:tc>
      </w:tr>
      <w:tr>
        <w:tc>
          <w:tcPr>
            <w:tcW w:type="dxa" w:w="1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Execution Risk</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High (SMR unproven at scale)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Moderate</w:t>
            </w:r>
          </w:p>
        </w:tc>
        <w:tc>
          <w:tcPr>
            <w:tcW w:type="dxa" w:w="2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Low (operational, high strategic)</w:t>
            </w:r>
          </w:p>
        </w:tc>
      </w:tr>
    </w:tbl>
    <w:p>
      <w:pPr>
        <w:spacing w:after="240" w:before="60"/>
      </w:pPr>
      <w:r>
        <w:rPr>
          <w:rFonts w:ascii="Arial" w:cs="Arial" w:eastAsia="Arial" w:hAnsi="Arial"/>
          <w:i/>
          <w:iCs/>
          <w:color w:val="888888"/>
          <w:sz w:val="18"/>
          <w:szCs w:val="18"/>
        </w:rPr>
        <w:t xml:space="preserve">Source: NovaSphere Environmental Strategy Group modeling, January 2026. BAU = Business As Usual (current trajectory). All projections subject to material uncertainty.</w:t>
      </w:r>
    </w:p>
    <w:p>
      <w:pPr>
        <w:sectPr>
          <w:headerReference w:type="default" r:id="rId7"/>
          <w:footerReference w:type="default" r:id="rId8"/>
          <w:pgSz w:w="12240" w:h="15840" w:orient="portrait"/>
          <w:pgMar w:top="1440" w:right="1440" w:bottom="1440" w:left="1440" w:header="708" w:footer="708" w:gutter="0"/>
          <w:pgNumType/>
          <w:docGrid w:linePitch="360"/>
        </w:sectPr>
      </w:pPr>
    </w:p>
    <w:p>
      <w:pPr>
        <w:spacing w:after="0" w:before="0"/>
      </w:pPr>
      <w:r>
        <w:br w:type="page"/>
      </w:r>
    </w:p>
    <w:p>
      <w:pPr>
        <w:spacing w:after="60" w:before="400"/>
        <w:jc w:val="center"/>
      </w:pPr>
      <w:r>
        <w:rPr>
          <w:rFonts w:ascii="Arial" w:cs="Arial" w:eastAsia="Arial" w:hAnsi="Arial"/>
          <w:b/>
          <w:bCs/>
          <w:color w:val="1A1A2E"/>
          <w:sz w:val="28"/>
          <w:szCs w:val="28"/>
        </w:rPr>
        <w:t xml:space="preserve">EXECUTIVE SYNOPSIS</w:t>
      </w:r>
    </w:p>
    <w:p>
      <w:pPr>
        <w:spacing w:after="60" w:before="0"/>
        <w:jc w:val="center"/>
      </w:pPr>
      <w:r>
        <w:rPr>
          <w:rFonts w:ascii="Arial" w:cs="Arial" w:eastAsia="Arial" w:hAnsi="Arial"/>
          <w:b/>
          <w:bCs/>
          <w:color w:val="C0392B"/>
          <w:sz w:val="22"/>
          <w:szCs w:val="22"/>
        </w:rPr>
        <w:t xml:space="preserve">VOLT &amp; VIRTUE: THE AI ENERGY RECKONING</w:t>
      </w:r>
    </w:p>
    <w:p>
      <w:pPr>
        <w:spacing w:after="280" w:before="0"/>
        <w:jc w:val="center"/>
      </w:pPr>
      <w:r>
        <w:rPr>
          <w:rFonts w:ascii="Arial" w:cs="Arial" w:eastAsia="Arial" w:hAnsi="Arial"/>
          <w:i/>
          <w:iCs/>
          <w:color w:val="888888"/>
          <w:sz w:val="18"/>
          <w:szCs w:val="18"/>
        </w:rPr>
        <w:t xml:space="preserve">HBS-TEC-2026-01  |  15 pages + 6 Exhibits  |  February 2026</w:t>
      </w:r>
    </w:p>
    <w:p>
      <w:pPr>
        <w:spacing w:after="80" w:before="0"/>
      </w:pPr>
      <w:r>
        <w:rPr>
          <w:rFonts w:ascii="Arial" w:cs="Arial" w:eastAsia="Arial" w:hAnsi="Arial"/>
          <w:b/>
          <w:bCs/>
          <w:color w:val="2C3E50"/>
          <w:sz w:val="22"/>
          <w:szCs w:val="22"/>
        </w:rPr>
        <w:t xml:space="preserve">SETTING: </w:t>
      </w:r>
      <w:r>
        <w:rPr>
          <w:rFonts w:ascii="Times New Roman" w:cs="Times New Roman" w:eastAsia="Times New Roman" w:hAnsi="Times New Roman"/>
          <w:sz w:val="22"/>
          <w:szCs w:val="22"/>
        </w:rPr>
        <w:t xml:space="preserve">NovaSphere AI, a publicly traded generative AI company based in Seattle, Washington. January 2026.</w:t>
      </w:r>
    </w:p>
    <w:p>
      <w:pPr>
        <w:spacing w:after="80" w:before="0"/>
      </w:pPr>
      <w:r>
        <w:rPr>
          <w:rFonts w:ascii="Arial" w:cs="Arial" w:eastAsia="Arial" w:hAnsi="Arial"/>
          <w:b/>
          <w:bCs/>
          <w:color w:val="2C3E50"/>
          <w:sz w:val="22"/>
          <w:szCs w:val="22"/>
        </w:rPr>
        <w:t xml:space="preserve">PROTAGONIST: </w:t>
      </w:r>
      <w:r>
        <w:rPr>
          <w:rFonts w:ascii="Times New Roman" w:cs="Times New Roman" w:eastAsia="Times New Roman" w:hAnsi="Times New Roman"/>
          <w:sz w:val="22"/>
          <w:szCs w:val="22"/>
        </w:rPr>
        <w:t xml:space="preserve">Arjun Mehta, Chief Sustainability Officer; alongside CEO Priya Chandrasekaran and the NovaSphere board of directors.</w:t>
      </w:r>
    </w:p>
    <w:p>
      <w:pPr>
        <w:spacing w:after="80" w:before="0"/>
      </w:pPr>
      <w:r>
        <w:rPr>
          <w:rFonts w:ascii="Arial" w:cs="Arial" w:eastAsia="Arial" w:hAnsi="Arial"/>
          <w:b/>
          <w:bCs/>
          <w:color w:val="2C3E50"/>
          <w:sz w:val="22"/>
          <w:szCs w:val="22"/>
        </w:rPr>
        <w:t xml:space="preserve">CENTRAL DILEMMA: </w:t>
      </w:r>
      <w:r>
        <w:rPr>
          <w:rFonts w:ascii="Times New Roman" w:cs="Times New Roman" w:eastAsia="Times New Roman" w:hAnsi="Times New Roman"/>
          <w:sz w:val="22"/>
          <w:szCs w:val="22"/>
        </w:rPr>
        <w:t xml:space="preserve">NovaSphere's data center electricity consumption has increased 71% in a single year, threatening the company's publicly stated 2030 net-zero commitment and creating reputational, regulatory, and competitive risk. The board must choose between three fundamentally different strategic pathways — nuclear investment, efficiency-led decarbonization, or a voluntary moratorium on frontier model scaling — each with distinct financial, competitive, and existential implications.</w:t>
      </w:r>
    </w:p>
    <w:p>
      <w:pPr>
        <w:spacing w:after="80" w:before="0"/>
      </w:pPr>
      <w:r>
        <w:rPr>
          <w:rFonts w:ascii="Arial" w:cs="Arial" w:eastAsia="Arial" w:hAnsi="Arial"/>
          <w:b/>
          <w:bCs/>
          <w:color w:val="2C3E50"/>
          <w:sz w:val="22"/>
          <w:szCs w:val="22"/>
        </w:rPr>
        <w:t xml:space="preserve">CASE TYPE: </w:t>
      </w:r>
      <w:r>
        <w:rPr>
          <w:rFonts w:ascii="Times New Roman" w:cs="Times New Roman" w:eastAsia="Times New Roman" w:hAnsi="Times New Roman"/>
          <w:sz w:val="22"/>
          <w:szCs w:val="22"/>
        </w:rPr>
        <w:t xml:space="preserve">Decision Case (Type 1). The board faces a fork at the end of the case; no resolution is provided.</w:t>
      </w:r>
    </w:p>
    <w:p>
      <w:pPr>
        <w:spacing w:after="80" w:before="0"/>
      </w:pPr>
      <w:r>
        <w:rPr>
          <w:rFonts w:ascii="Arial" w:cs="Arial" w:eastAsia="Arial" w:hAnsi="Arial"/>
          <w:b/>
          <w:bCs/>
          <w:color w:val="2C3E50"/>
          <w:sz w:val="22"/>
          <w:szCs w:val="22"/>
        </w:rPr>
        <w:t xml:space="preserve">DOMAIN: </w:t>
      </w:r>
      <w:r>
        <w:rPr>
          <w:rFonts w:ascii="Times New Roman" w:cs="Times New Roman" w:eastAsia="Times New Roman" w:hAnsi="Times New Roman"/>
          <w:sz w:val="22"/>
          <w:szCs w:val="22"/>
        </w:rPr>
        <w:t xml:space="preserve">Technology Strategy / AI Ethics / Sustainability / Corporate Governance.</w:t>
      </w:r>
    </w:p>
    <w:p>
      <w:pPr>
        <w:spacing w:after="80" w:before="0"/>
      </w:pPr>
      <w:r>
        <w:rPr>
          <w:rFonts w:ascii="Arial" w:cs="Arial" w:eastAsia="Arial" w:hAnsi="Arial"/>
          <w:b/>
          <w:bCs/>
          <w:color w:val="2C3E50"/>
          <w:sz w:val="22"/>
          <w:szCs w:val="22"/>
        </w:rPr>
        <w:t xml:space="preserve">LEARNING OBJECTIVES: </w:t>
      </w:r>
      <w:r>
        <w:rPr>
          <w:rFonts w:ascii="Times New Roman" w:cs="Times New Roman" w:eastAsia="Times New Roman" w:hAnsi="Times New Roman"/>
          <w:sz w:val="22"/>
          <w:szCs w:val="22"/>
        </w:rPr>
        <w:t xml:space="preserve">(1) Analyze the structural tension between exponential AI scaling and sustainability commitments; (2) Evaluate energy strategy as a source of competitive advantage; (3) Apply capital allocation frameworks to long-cycle infrastructure decisions; (4) Assess reputational risk in the context of ESG investor expectations; (5) Distinguish between genuine decarbonization and accounting-based "clean energy" claims.</w:t>
      </w:r>
    </w:p>
    <w:p>
      <w:pPr>
        <w:spacing w:after="80" w:before="0"/>
      </w:pPr>
      <w:r>
        <w:rPr>
          <w:rFonts w:ascii="Arial" w:cs="Arial" w:eastAsia="Arial" w:hAnsi="Arial"/>
          <w:b/>
          <w:bCs/>
          <w:color w:val="2C3E50"/>
          <w:sz w:val="22"/>
          <w:szCs w:val="22"/>
        </w:rPr>
        <w:t xml:space="preserve">SUGGESTED COURSES: </w:t>
      </w:r>
      <w:r>
        <w:rPr>
          <w:rFonts w:ascii="Times New Roman" w:cs="Times New Roman" w:eastAsia="Times New Roman" w:hAnsi="Times New Roman"/>
          <w:sz w:val="22"/>
          <w:szCs w:val="22"/>
        </w:rPr>
        <w:t xml:space="preserve">Strategic Management (MBA Year 1); Technology Strategy; Corporate Sustainability and ESG; AI Strategy and Governance; Energy and Climate Policy; Executive Education programs on Digital Transformation.</w:t>
      </w:r>
    </w:p>
    <w:p>
      <w:pPr>
        <w:spacing w:after="80" w:before="0"/>
      </w:pPr>
      <w:r>
        <w:rPr>
          <w:rFonts w:ascii="Arial" w:cs="Arial" w:eastAsia="Arial" w:hAnsi="Arial"/>
          <w:b/>
          <w:bCs/>
          <w:color w:val="2C3E50"/>
          <w:sz w:val="22"/>
          <w:szCs w:val="22"/>
        </w:rPr>
        <w:t xml:space="preserve">SUGGESTED POSITION IN COURSE: </w:t>
      </w:r>
      <w:r>
        <w:rPr>
          <w:rFonts w:ascii="Times New Roman" w:cs="Times New Roman" w:eastAsia="Times New Roman" w:hAnsi="Times New Roman"/>
          <w:sz w:val="22"/>
          <w:szCs w:val="22"/>
        </w:rPr>
        <w:t xml:space="preserve">Late-semester, after foundational strategy frameworks have been introduced; pairs well with cases on platform economics, climate tech strategy, and corporate governance under uncertainty.</w:t>
      </w:r>
    </w:p>
    <w:p>
      <w:pPr>
        <w:sectPr>
          <w:headerReference w:type="default" r:id="rId9"/>
          <w:footerReference w:type="default" r:id="rId10"/>
          <w:pgSz w:w="12240" w:h="15840" w:orient="portrait"/>
          <w:pgMar w:top="1440" w:right="1440" w:bottom="1440" w:left="1440" w:header="708" w:footer="708" w:gutter="0"/>
          <w:pgNumType/>
          <w:docGrid w:linePitch="360"/>
        </w:sectPr>
      </w:pPr>
    </w:p>
    <w:p>
      <w:pPr>
        <w:spacing w:after="0" w:before="0"/>
      </w:pPr>
      <w:r>
        <w:br w:type="page"/>
      </w:r>
    </w:p>
    <w:p>
      <w:pPr>
        <w:spacing w:after="80" w:before="0"/>
        <w:jc w:val="center"/>
      </w:pPr>
      <w:r>
        <w:rPr>
          <w:rFonts w:ascii="Arial" w:cs="Arial" w:eastAsia="Arial" w:hAnsi="Arial"/>
          <w:b/>
          <w:bCs/>
          <w:color w:val="E74C3C"/>
          <w:sz w:val="28"/>
          <w:szCs w:val="28"/>
        </w:rPr>
        <w:t xml:space="preserve">⚠  TEACHING NOTE — STRICTLY CONFIDENTIAL</w:t>
      </w:r>
    </w:p>
    <w:p>
      <w:pPr>
        <w:spacing w:after="280" w:before="0"/>
        <w:jc w:val="center"/>
      </w:pPr>
      <w:r>
        <w:rPr>
          <w:rFonts w:ascii="Arial" w:cs="Arial" w:eastAsia="Arial" w:hAnsi="Arial"/>
          <w:color w:val="888888"/>
          <w:sz w:val="20"/>
          <w:szCs w:val="20"/>
        </w:rPr>
        <w:t xml:space="preserve">NOT FOR DISTRIBUTION TO STUDENTS</w:t>
      </w:r>
    </w:p>
    <w:p>
      <w:pPr>
        <w:pBdr>
          <w:bottom w:val="single" w:color="C0392B" w:sz="4" w:space="4"/>
        </w:pBdr>
        <w:spacing w:after="140" w:before="400"/>
      </w:pPr>
      <w:r>
        <w:rPr>
          <w:rFonts w:ascii="Arial" w:cs="Arial" w:eastAsia="Arial" w:hAnsi="Arial"/>
          <w:b/>
          <w:bCs/>
          <w:color w:val="1A1A2E"/>
          <w:sz w:val="30"/>
          <w:szCs w:val="30"/>
        </w:rPr>
        <w:t xml:space="preserve">CASE OVERVIEW</w:t>
      </w:r>
    </w:p>
    <w:p>
      <w:pPr>
        <w:spacing w:after="160" w:before="0"/>
        <w:ind w:firstLine="0"/>
        <w:jc w:val="both"/>
      </w:pPr>
      <w:r>
        <w:rPr>
          <w:rFonts w:ascii="Times New Roman" w:cs="Times New Roman" w:eastAsia="Times New Roman" w:hAnsi="Times New Roman"/>
          <w:sz w:val="24"/>
          <w:szCs w:val="24"/>
        </w:rPr>
        <w:t xml:space="preserve">This is a Decision Case set in January 2026. Arjun Mehta, CSO of NovaSphere AI, must present a board-level recommendation on energy strategy following the discovery that the company's electricity consumption has grown 71% in a single year, jeopardizing a public 2030 net-zero pledge. The case forces students to grapple with the AI industry's "prisoner's dilemma in carbon" — where competitive dynamics structurally incentivize energy-intensive scaling even as sustainability commitments demand restraint.</w:t>
      </w:r>
    </w:p>
    <w:p>
      <w:pPr>
        <w:spacing w:after="160" w:before="0"/>
        <w:ind w:firstLine="0"/>
        <w:jc w:val="both"/>
      </w:pPr>
      <w:r>
        <w:rPr>
          <w:rFonts w:ascii="Times New Roman" w:cs="Times New Roman" w:eastAsia="Times New Roman" w:hAnsi="Times New Roman"/>
          <w:sz w:val="24"/>
          <w:szCs w:val="24"/>
        </w:rPr>
        <w:t xml:space="preserve">What makes this case distinctive: the three options are not ranked by obvious merit. The "Principled Pause" (Option C) is simultaneously the most environmentally effective and the most competitively dangerous. Students who default to financial optimization will choose Option A or B; students who interrogate competitive dynamics and industry structure will have a richer debate.</w:t>
      </w:r>
    </w:p>
    <w:p>
      <w:pPr>
        <w:pBdr>
          <w:bottom w:val="single" w:color="C0392B" w:sz="4" w:space="4"/>
        </w:pBdr>
        <w:spacing w:after="140" w:before="400"/>
      </w:pPr>
      <w:r>
        <w:rPr>
          <w:rFonts w:ascii="Arial" w:cs="Arial" w:eastAsia="Arial" w:hAnsi="Arial"/>
          <w:b/>
          <w:bCs/>
          <w:color w:val="1A1A2E"/>
          <w:sz w:val="30"/>
          <w:szCs w:val="30"/>
        </w:rPr>
        <w:t xml:space="preserve">LEARNING OBJECTIVES</w:t>
      </w:r>
    </w:p>
    <w:p>
      <w:pPr>
        <w:spacing w:after="160" w:before="0"/>
        <w:ind w:firstLine="0"/>
        <w:jc w:val="both"/>
      </w:pPr>
      <w:r>
        <w:rPr>
          <w:rFonts w:ascii="Times New Roman" w:cs="Times New Roman" w:eastAsia="Times New Roman" w:hAnsi="Times New Roman"/>
          <w:sz w:val="24"/>
          <w:szCs w:val="24"/>
        </w:rPr>
        <w:t xml:space="preserve">By the end of this 90-minute class discussion, students will be able to:</w:t>
      </w:r>
    </w:p>
    <w:p>
      <w:pPr>
        <w:spacing w:after="160" w:before="0"/>
        <w:ind w:firstLine="0"/>
        <w:jc w:val="both"/>
      </w:pPr>
      <w:r>
        <w:rPr>
          <w:rFonts w:ascii="Times New Roman" w:cs="Times New Roman" w:eastAsia="Times New Roman" w:hAnsi="Times New Roman"/>
          <w:sz w:val="24"/>
          <w:szCs w:val="24"/>
        </w:rPr>
        <w:t xml:space="preserve">1. Analyze the structural tension between exponential AI model scaling and corporate sustainability commitments, using real industry data.</w:t>
      </w:r>
    </w:p>
    <w:p>
      <w:pPr>
        <w:spacing w:after="160" w:before="0"/>
        <w:ind w:firstLine="0"/>
        <w:jc w:val="both"/>
      </w:pPr>
      <w:r>
        <w:rPr>
          <w:rFonts w:ascii="Times New Roman" w:cs="Times New Roman" w:eastAsia="Times New Roman" w:hAnsi="Times New Roman"/>
          <w:sz w:val="24"/>
          <w:szCs w:val="24"/>
        </w:rPr>
        <w:t xml:space="preserve">2. Evaluate nuclear, renewable, and efficiency-led energy strategies as sources of competitive advantage in the AI sector.</w:t>
      </w:r>
    </w:p>
    <w:p>
      <w:pPr>
        <w:spacing w:after="160" w:before="0"/>
        <w:ind w:firstLine="0"/>
        <w:jc w:val="both"/>
      </w:pPr>
      <w:r>
        <w:rPr>
          <w:rFonts w:ascii="Times New Roman" w:cs="Times New Roman" w:eastAsia="Times New Roman" w:hAnsi="Times New Roman"/>
          <w:sz w:val="24"/>
          <w:szCs w:val="24"/>
        </w:rPr>
        <w:t xml:space="preserve">3. Apply capital allocation frameworks — including NPV under uncertainty and real options analysis — to long-cycle infrastructure investment decisions.</w:t>
      </w:r>
    </w:p>
    <w:p>
      <w:pPr>
        <w:spacing w:after="160" w:before="0"/>
        <w:ind w:firstLine="0"/>
        <w:jc w:val="both"/>
      </w:pPr>
      <w:r>
        <w:rPr>
          <w:rFonts w:ascii="Times New Roman" w:cs="Times New Roman" w:eastAsia="Times New Roman" w:hAnsi="Times New Roman"/>
          <w:sz w:val="24"/>
          <w:szCs w:val="24"/>
        </w:rPr>
        <w:t xml:space="preserve">4. Assess reputational and regulatory risk from ESG investor perspectives, distinguishing between REC-based accounting and genuine physical decarbonization.</w:t>
      </w:r>
    </w:p>
    <w:p>
      <w:pPr>
        <w:spacing w:after="160" w:before="0"/>
        <w:ind w:firstLine="0"/>
        <w:jc w:val="both"/>
      </w:pPr>
      <w:r>
        <w:rPr>
          <w:rFonts w:ascii="Times New Roman" w:cs="Times New Roman" w:eastAsia="Times New Roman" w:hAnsi="Times New Roman"/>
          <w:sz w:val="24"/>
          <w:szCs w:val="24"/>
        </w:rPr>
        <w:t xml:space="preserve">5. Design a structured board recommendation with an implementation roadmap, acknowledging trade-offs across financial, competitive, and ethical dimensions.</w:t>
      </w:r>
    </w:p>
    <w:p>
      <w:pPr>
        <w:pBdr>
          <w:bottom w:val="single" w:color="C0392B" w:sz="4" w:space="4"/>
        </w:pBdr>
        <w:spacing w:after="140" w:before="400"/>
      </w:pPr>
      <w:r>
        <w:rPr>
          <w:rFonts w:ascii="Arial" w:cs="Arial" w:eastAsia="Arial" w:hAnsi="Arial"/>
          <w:b/>
          <w:bCs/>
          <w:color w:val="1A1A2E"/>
          <w:sz w:val="30"/>
          <w:szCs w:val="30"/>
        </w:rPr>
        <w:t xml:space="preserve">ADVANCE PREPARATION QUESTIONS (Distribute to Students)</w:t>
      </w:r>
    </w:p>
    <w:p>
      <w:pPr>
        <w:spacing w:after="160" w:before="0"/>
        <w:ind w:firstLine="0"/>
        <w:jc w:val="both"/>
      </w:pPr>
      <w:r>
        <w:rPr>
          <w:rFonts w:ascii="Times New Roman" w:cs="Times New Roman" w:eastAsia="Times New Roman" w:hAnsi="Times New Roman"/>
          <w:sz w:val="24"/>
          <w:szCs w:val="24"/>
        </w:rPr>
        <w:t xml:space="preserve">1. What is the core dilemma facing Arjun Mehta and NovaSphere's board? How is it different from a typical capital allocation problem?</w:t>
      </w:r>
    </w:p>
    <w:p>
      <w:pPr>
        <w:spacing w:after="160" w:before="0"/>
        <w:ind w:firstLine="0"/>
        <w:jc w:val="both"/>
      </w:pPr>
      <w:r>
        <w:rPr>
          <w:rFonts w:ascii="Times New Roman" w:cs="Times New Roman" w:eastAsia="Times New Roman" w:hAnsi="Times New Roman"/>
          <w:sz w:val="24"/>
          <w:szCs w:val="24"/>
        </w:rPr>
        <w:t xml:space="preserve">2. Using Exhibit 6, evaluate each of the three strategic options. Which option would you recommend to the board, and why? What assumptions is your recommendation most sensitive to?</w:t>
      </w:r>
    </w:p>
    <w:p>
      <w:pPr>
        <w:spacing w:after="160" w:before="0"/>
        <w:ind w:firstLine="0"/>
        <w:jc w:val="both"/>
      </w:pPr>
      <w:r>
        <w:rPr>
          <w:rFonts w:ascii="Times New Roman" w:cs="Times New Roman" w:eastAsia="Times New Roman" w:hAnsi="Times New Roman"/>
          <w:sz w:val="24"/>
          <w:szCs w:val="24"/>
        </w:rPr>
        <w:t xml:space="preserve">3. How does NovaSphere's competitive position differ from Microsoft, Google, and Amazon in this situation? Does that difference change which option is most appropriate?</w:t>
      </w:r>
    </w:p>
    <w:p>
      <w:pPr>
        <w:spacing w:after="160" w:before="0"/>
        <w:ind w:firstLine="0"/>
        <w:jc w:val="both"/>
      </w:pPr>
      <w:r>
        <w:rPr>
          <w:rFonts w:ascii="Times New Roman" w:cs="Times New Roman" w:eastAsia="Times New Roman" w:hAnsi="Times New Roman"/>
          <w:sz w:val="24"/>
          <w:szCs w:val="24"/>
        </w:rPr>
        <w:t xml:space="preserve">4. What does it mean for a company to claim it is "100% renewable"? Is this claim credible in the context of AI data center operations?</w:t>
      </w:r>
    </w:p>
    <w:p>
      <w:pPr>
        <w:pBdr>
          <w:bottom w:val="single" w:color="C0392B" w:sz="4" w:space="4"/>
        </w:pBdr>
        <w:spacing w:after="140" w:before="400"/>
      </w:pPr>
      <w:r>
        <w:rPr>
          <w:rFonts w:ascii="Arial" w:cs="Arial" w:eastAsia="Arial" w:hAnsi="Arial"/>
          <w:b/>
          <w:bCs/>
          <w:color w:val="1A1A2E"/>
          <w:sz w:val="30"/>
          <w:szCs w:val="30"/>
        </w:rPr>
        <w:t xml:space="preserve">90-MINUTE BOARD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Time</w:t>
            </w:r>
          </w:p>
        </w:tc>
        <w:tc>
          <w:tcPr>
            <w:tcW w:type="dxa" w:w="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Duration</w:t>
            </w:r>
          </w:p>
        </w:tc>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Activity</w:t>
            </w:r>
          </w:p>
        </w:tc>
        <w:tc>
          <w:tcPr>
            <w:tcW w:type="dxa" w:w="10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Board Pasture</w:t>
            </w:r>
          </w:p>
        </w:tc>
        <w:tc>
          <w:tcPr>
            <w:tcW w:type="dxa" w:w="46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Instructor Move</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0:00</w:t>
            </w:r>
          </w:p>
        </w:tc>
        <w:tc>
          <w:tcPr>
            <w:tcW w:type="dxa" w:w="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5 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Cold open: "You are Arjun Mehta at 2:47 a.m. What is keeping you awake — and why?"</w:t>
            </w:r>
          </w:p>
        </w:tc>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SITUATION</w:t>
            </w:r>
          </w:p>
        </w:tc>
        <w:tc>
          <w:tcPr>
            <w:tcW w:type="dxa" w:w="4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Cold-call 2 students; do not correct, just build the picture</w:t>
            </w:r>
          </w:p>
        </w:tc>
      </w:tr>
      <w:tr>
        <w:tc>
          <w:tcPr>
            <w:tcW w:type="dxa" w:w="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0:05</w:t>
            </w:r>
          </w:p>
        </w:tc>
        <w:tc>
          <w:tcPr>
            <w:tcW w:type="dxa" w:w="6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15 min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Situation analysis: What is actually happening to NovaSphere's energy footprint?</w:t>
            </w:r>
          </w:p>
        </w:tc>
        <w:tc>
          <w:tcPr>
            <w:tcW w:type="dxa" w:w="10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SITUATION</w:t>
            </w:r>
          </w:p>
        </w:tc>
        <w:tc>
          <w:tcPr>
            <w:tcW w:type="dxa" w:w="46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Drive to quantitative anchors: 71%, 18.4 TWh, energy cost as % of revenue rising from 4.8% to 13.3%</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0:20</w:t>
            </w:r>
          </w:p>
        </w:tc>
        <w:tc>
          <w:tcPr>
            <w:tcW w:type="dxa" w:w="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15 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Industry context: Is this NovaSphere's problem or the industry's?</w:t>
            </w:r>
          </w:p>
        </w:tc>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INDUSTRY</w:t>
            </w:r>
          </w:p>
        </w:tc>
        <w:tc>
          <w:tcPr>
            <w:tcW w:type="dxa" w:w="4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Introduce Exhibit 2 and 4; push students to see competitor energy deals as strategic moves, not just PR</w:t>
            </w:r>
          </w:p>
        </w:tc>
      </w:tr>
      <w:tr>
        <w:tc>
          <w:tcPr>
            <w:tcW w:type="dxa" w:w="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0:35</w:t>
            </w:r>
          </w:p>
        </w:tc>
        <w:tc>
          <w:tcPr>
            <w:tcW w:type="dxa" w:w="6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25 min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Option evaluation: Which of the three options should the board choose?</w:t>
            </w:r>
          </w:p>
        </w:tc>
        <w:tc>
          <w:tcPr>
            <w:tcW w:type="dxa" w:w="10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OPTIONS</w:t>
            </w:r>
          </w:p>
        </w:tc>
        <w:tc>
          <w:tcPr>
            <w:tcW w:type="dxa" w:w="46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Divide class into thirds; each third argues for one option; force the trade-offs into the open</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1:00</w:t>
            </w:r>
          </w:p>
        </w:tc>
        <w:tc>
          <w:tcPr>
            <w:tcW w:type="dxa" w:w="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12 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Synthesis: What recommendation would you make, and what is your first move?</w:t>
            </w:r>
          </w:p>
        </w:tc>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RECOMMENDATION</w:t>
            </w:r>
          </w:p>
        </w:tc>
        <w:tc>
          <w:tcPr>
            <w:tcW w:type="dxa" w:w="4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Look for students who see options as combinable; probe: "What does Option C cost you in Year 1 revenue?"</w:t>
            </w:r>
          </w:p>
        </w:tc>
      </w:tr>
      <w:tr>
        <w:tc>
          <w:tcPr>
            <w:tcW w:type="dxa" w:w="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1:12</w:t>
            </w:r>
          </w:p>
        </w:tc>
        <w:tc>
          <w:tcPr>
            <w:tcW w:type="dxa" w:w="6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8 min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Debrief: What does this case say about AI and energy — is it a company problem or a civilizational one?</w:t>
            </w:r>
          </w:p>
        </w:tc>
        <w:tc>
          <w:tcPr>
            <w:tcW w:type="dxa" w:w="10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DEBRIEF</w:t>
            </w:r>
          </w:p>
        </w:tc>
        <w:tc>
          <w:tcPr>
            <w:tcW w:type="dxa" w:w="46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Open to broader reflection; invite the energy policy lens</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1:20</w:t>
            </w:r>
          </w:p>
        </w:tc>
        <w:tc>
          <w:tcPr>
            <w:tcW w:type="dxa" w:w="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10 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Synthesis and takeaways: Three principles the class discovered today</w:t>
            </w:r>
          </w:p>
        </w:tc>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TAKEAWAYS</w:t>
            </w:r>
          </w:p>
        </w:tc>
        <w:tc>
          <w:tcPr>
            <w:tcW w:type="dxa" w:w="4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Board three key insights; end on the open question</w:t>
            </w:r>
          </w:p>
        </w:tc>
      </w:tr>
    </w:tbl>
    <w:p>
      <w:pPr>
        <w:pBdr>
          <w:bottom w:val="single" w:color="C0392B" w:sz="4" w:space="4"/>
        </w:pBdr>
        <w:spacing w:after="140" w:before="400"/>
      </w:pPr>
      <w:r>
        <w:rPr>
          <w:rFonts w:ascii="Arial" w:cs="Arial" w:eastAsia="Arial" w:hAnsi="Arial"/>
          <w:b/>
          <w:bCs/>
          <w:color w:val="1A1A2E"/>
          <w:sz w:val="30"/>
          <w:szCs w:val="30"/>
        </w:rPr>
        <w:t xml:space="preserve">DISCUSSION QUESTIONS WITH MODEL ANSWERS</w:t>
      </w:r>
    </w:p>
    <w:p>
      <w:pPr>
        <w:spacing w:after="80" w:before="260"/>
      </w:pPr>
      <w:r>
        <w:rPr>
          <w:rFonts w:ascii="Arial" w:cs="Arial" w:eastAsia="Arial" w:hAnsi="Arial"/>
          <w:b/>
          <w:bCs/>
          <w:color w:val="2C3E50"/>
          <w:sz w:val="24"/>
          <w:szCs w:val="24"/>
        </w:rPr>
        <w:t xml:space="preserve">Question 1 (Opening): "What is Arjun Mehta's actual problem — and is it solvable?"</w:t>
      </w:r>
    </w:p>
    <w:p>
      <w:pPr>
        <w:spacing w:after="160" w:before="0"/>
        <w:ind w:firstLine="0"/>
        <w:jc w:val="both"/>
      </w:pPr>
      <w:r>
        <w:rPr>
          <w:rFonts w:ascii="Times New Roman" w:cs="Times New Roman" w:eastAsia="Times New Roman" w:hAnsi="Times New Roman"/>
          <w:sz w:val="24"/>
          <w:szCs w:val="24"/>
        </w:rPr>
        <w:t xml:space="preserve">Opening move: Cold-call. Ask the student to stay in character as Mehta. "You've been awake since midnight. What are you staring at, and what makes it so hard?"</w:t>
      </w:r>
    </w:p>
    <w:p>
      <w:pPr>
        <w:spacing w:after="160" w:before="0"/>
        <w:ind w:firstLine="0"/>
        <w:jc w:val="both"/>
      </w:pPr>
      <w:r>
        <w:rPr>
          <w:rFonts w:ascii="Times New Roman" w:cs="Times New Roman" w:eastAsia="Times New Roman" w:hAnsi="Times New Roman"/>
          <w:sz w:val="24"/>
          <w:szCs w:val="24"/>
        </w:rPr>
        <w:t xml:space="preserve">A+ Answer: Student distinguishes between two overlapping problems — a technical problem (how to source clean energy at scale) and a strategic problem (competitive dynamics that punish unilateral restraint). Recognizes that the 2030 pledge creates a commitment trap: the company made a public promise on a trajectory it did not fully model. Notes that the 71% growth rate is not an anomaly but the logical consequence of the company's own business model.</w:t>
      </w:r>
    </w:p>
    <w:p>
      <w:pPr>
        <w:spacing w:after="160" w:before="0"/>
        <w:ind w:firstLine="0"/>
        <w:jc w:val="both"/>
      </w:pPr>
      <w:r>
        <w:rPr>
          <w:rFonts w:ascii="Times New Roman" w:cs="Times New Roman" w:eastAsia="Times New Roman" w:hAnsi="Times New Roman"/>
          <w:sz w:val="24"/>
          <w:szCs w:val="24"/>
        </w:rPr>
        <w:t xml:space="preserve">B Answer: Student correctly identifies the energy growth issue and the 2030 deadline but frames it as a procurement challenge. Does not surface the competitive dilemma or the model-scaling tension.</w:t>
      </w:r>
    </w:p>
    <w:p>
      <w:pPr>
        <w:spacing w:after="160" w:before="0"/>
        <w:ind w:firstLine="0"/>
        <w:jc w:val="both"/>
      </w:pPr>
      <w:r>
        <w:rPr>
          <w:rFonts w:ascii="Times New Roman" w:cs="Times New Roman" w:eastAsia="Times New Roman" w:hAnsi="Times New Roman"/>
          <w:sz w:val="24"/>
          <w:szCs w:val="24"/>
        </w:rPr>
        <w:t xml:space="preserve">Common Wrong Answer: "NovaSphere just needs to buy more renewable energy credits." Redirect: "Exhibit 4 tells us 62% of their energy is already RECs. What would you want to ask about how RECs actually work?"</w:t>
      </w:r>
    </w:p>
    <w:p>
      <w:pPr>
        <w:spacing w:after="160" w:before="0"/>
        <w:ind w:firstLine="0"/>
        <w:jc w:val="both"/>
      </w:pPr>
      <w:r>
        <w:rPr>
          <w:rFonts w:ascii="Times New Roman" w:cs="Times New Roman" w:eastAsia="Times New Roman" w:hAnsi="Times New Roman"/>
          <w:sz w:val="24"/>
          <w:szCs w:val="24"/>
        </w:rPr>
        <w:t xml:space="preserve">Follow-up probes: "Is this problem unique to NovaSphere, or is every AI company facing the same wall?" / "What is the difference between a company that is 100% renewable by RECs and one that is 100% renewable in physical electrons?"</w:t>
      </w:r>
    </w:p>
    <w:p>
      <w:pPr>
        <w:spacing w:after="80" w:before="260"/>
      </w:pPr>
      <w:r>
        <w:rPr>
          <w:rFonts w:ascii="Arial" w:cs="Arial" w:eastAsia="Arial" w:hAnsi="Arial"/>
          <w:b/>
          <w:bCs/>
          <w:color w:val="2C3E50"/>
          <w:sz w:val="24"/>
          <w:szCs w:val="24"/>
        </w:rPr>
        <w:t xml:space="preserve">Question 2 (Analytical): "Using Exhibit 6, rank the three options. Which one would you take to the board?"</w:t>
      </w:r>
    </w:p>
    <w:p>
      <w:pPr>
        <w:spacing w:after="160" w:before="0"/>
        <w:ind w:firstLine="0"/>
        <w:jc w:val="both"/>
      </w:pPr>
      <w:r>
        <w:rPr>
          <w:rFonts w:ascii="Times New Roman" w:cs="Times New Roman" w:eastAsia="Times New Roman" w:hAnsi="Times New Roman"/>
          <w:sz w:val="24"/>
          <w:szCs w:val="24"/>
        </w:rPr>
        <w:t xml:space="preserve">Opening move: Small group of 3 (one per option) who had pre-assigned options in advance preparation. Each group presents a 60-second pitch.</w:t>
      </w:r>
    </w:p>
    <w:p>
      <w:pPr>
        <w:spacing w:after="160" w:before="0"/>
        <w:ind w:firstLine="0"/>
        <w:jc w:val="both"/>
      </w:pPr>
      <w:r>
        <w:rPr>
          <w:rFonts w:ascii="Times New Roman" w:cs="Times New Roman" w:eastAsia="Times New Roman" w:hAnsi="Times New Roman"/>
          <w:sz w:val="24"/>
          <w:szCs w:val="24"/>
        </w:rPr>
        <w:t xml:space="preserve">A+ Answer on Option A (Nuclear): Student correctly identifies that the SMR deal is the only option with a durable energy moat; quantifies the $1.8B against $4.2B cash balance (43% of cash); notes 2031 gap and proposes bridge strategy. Raises SMR execution risk but contextualize against competitor deal sizes.</w:t>
      </w:r>
    </w:p>
    <w:p>
      <w:pPr>
        <w:spacing w:after="160" w:before="0"/>
        <w:ind w:firstLine="0"/>
        <w:jc w:val="both"/>
      </w:pPr>
      <w:r>
        <w:rPr>
          <w:rFonts w:ascii="Times New Roman" w:cs="Times New Roman" w:eastAsia="Times New Roman" w:hAnsi="Times New Roman"/>
          <w:sz w:val="24"/>
          <w:szCs w:val="24"/>
        </w:rPr>
        <w:t xml:space="preserve">A+ Answer on Option B (Efficiency): Student builds from Exhibit 5 to show that NovaMind-3 Ultra (40% of revenue) has Energy Intensity Index 10.0 — nearly 4× the next product. Argues that efficiency gains in the highest-intensity product unlock the most carbon per dollar invested. Notes that liquid immersion cooling reduces cooling energy 40%; challenges whether this alone closes the 71% growth gap.</w:t>
      </w:r>
    </w:p>
    <w:p>
      <w:pPr>
        <w:spacing w:after="160" w:before="0"/>
        <w:ind w:firstLine="0"/>
        <w:jc w:val="both"/>
      </w:pPr>
      <w:r>
        <w:rPr>
          <w:rFonts w:ascii="Times New Roman" w:cs="Times New Roman" w:eastAsia="Times New Roman" w:hAnsi="Times New Roman"/>
          <w:sz w:val="24"/>
          <w:szCs w:val="24"/>
        </w:rPr>
        <w:t xml:space="preserve">A+ Answer on Option C (Pause): Student engages the prisoner's dilemma logic. Notes that NovaSphere is not the largest player (Exhibit 4 shows Amazon at 45–50 TWh vs. NovaSphere at 18–22 TWh), which means a pause costs relatively less in absolute compute terms while potentially triggering industry-wide attention. Cites first-mover reputational advantage with ESG investors (39% of float). Asks: "If not NovaSphere, which AI company is small enough to take this risk first?"</w:t>
      </w:r>
    </w:p>
    <w:p>
      <w:pPr>
        <w:spacing w:after="160" w:before="0"/>
        <w:ind w:firstLine="0"/>
        <w:jc w:val="both"/>
      </w:pPr>
      <w:r>
        <w:rPr>
          <w:rFonts w:ascii="Times New Roman" w:cs="Times New Roman" w:eastAsia="Times New Roman" w:hAnsi="Times New Roman"/>
          <w:sz w:val="24"/>
          <w:szCs w:val="24"/>
        </w:rPr>
        <w:t xml:space="preserve">Common Wrong Answer: "They should do all three." Redirect: "Walk me through the capital math. $1.8B + $1.0B + $400M = $3.2B. Their cash balance is $4.2B. What happens to R&amp;D spending? What happens when the next GPU generation arrives?"</w:t>
      </w:r>
    </w:p>
    <w:p>
      <w:pPr>
        <w:spacing w:after="80" w:before="260"/>
      </w:pPr>
      <w:r>
        <w:rPr>
          <w:rFonts w:ascii="Arial" w:cs="Arial" w:eastAsia="Arial" w:hAnsi="Arial"/>
          <w:b/>
          <w:bCs/>
          <w:color w:val="2C3E50"/>
          <w:sz w:val="24"/>
          <w:szCs w:val="24"/>
        </w:rPr>
        <w:t xml:space="preserve">Question 3 (Industry Lens): "Why are Microsoft, Google, and Amazon going nuclear?"</w:t>
      </w:r>
    </w:p>
    <w:p>
      <w:pPr>
        <w:spacing w:after="160" w:before="0"/>
        <w:ind w:firstLine="0"/>
        <w:jc w:val="both"/>
      </w:pPr>
      <w:r>
        <w:rPr>
          <w:rFonts w:ascii="Times New Roman" w:cs="Times New Roman" w:eastAsia="Times New Roman" w:hAnsi="Times New Roman"/>
          <w:sz w:val="24"/>
          <w:szCs w:val="24"/>
        </w:rPr>
        <w:t xml:space="preserve">Opening move: Open question to the room.</w:t>
      </w:r>
    </w:p>
    <w:p>
      <w:pPr>
        <w:spacing w:after="160" w:before="0"/>
        <w:ind w:firstLine="0"/>
        <w:jc w:val="both"/>
      </w:pPr>
      <w:r>
        <w:rPr>
          <w:rFonts w:ascii="Times New Roman" w:cs="Times New Roman" w:eastAsia="Times New Roman" w:hAnsi="Times New Roman"/>
          <w:sz w:val="24"/>
          <w:szCs w:val="24"/>
        </w:rPr>
        <w:t xml:space="preserve">A+ Answer: Student articulates that AI inference is a 24/7 workload — it cannot be matched with intermittent solar or wind without massive battery storage (capital-intensive and not yet proven at scale). Nuclear provides the only commercially proven carbon-free baseload technology. The "Three Mile Island Effect" signals that energy access is becoming a strategic moat: companies that lock in clean baseload now will face lower variable costs and lower reputational risk in a future of mandatory carbon disclosures. The deals are also forward contracts on regulatory risk — as carbon pricing and disclosure requirements tighten, having clean baseload power locked in at fixed prices is a hedge.</w:t>
      </w:r>
    </w:p>
    <w:p>
      <w:pPr>
        <w:spacing w:after="160" w:before="0"/>
        <w:ind w:firstLine="0"/>
        <w:jc w:val="both"/>
      </w:pPr>
      <w:r>
        <w:rPr>
          <w:rFonts w:ascii="Times New Roman" w:cs="Times New Roman" w:eastAsia="Times New Roman" w:hAnsi="Times New Roman"/>
          <w:sz w:val="24"/>
          <w:szCs w:val="24"/>
        </w:rPr>
        <w:t xml:space="preserve">B Answer: "Because nuclear is cheap." Redirect: "Is it? What's the LCOE of nuclear versus solar in 2025–2026? What are the capital cost and time-to-market differences?"</w:t>
      </w:r>
    </w:p>
    <w:p>
      <w:pPr>
        <w:pBdr>
          <w:bottom w:val="single" w:color="C0392B" w:sz="4" w:space="4"/>
        </w:pBdr>
        <w:spacing w:after="140" w:before="400"/>
      </w:pPr>
      <w:r>
        <w:rPr>
          <w:rFonts w:ascii="Arial" w:cs="Arial" w:eastAsia="Arial" w:hAnsi="Arial"/>
          <w:b/>
          <w:bCs/>
          <w:color w:val="1A1A2E"/>
          <w:sz w:val="30"/>
          <w:szCs w:val="30"/>
        </w:rPr>
        <w:t xml:space="preserve">FRAMEWORK APPLICATION</w:t>
      </w:r>
    </w:p>
    <w:p>
      <w:pPr>
        <w:spacing w:after="80" w:before="260"/>
      </w:pPr>
      <w:r>
        <w:rPr>
          <w:rFonts w:ascii="Arial" w:cs="Arial" w:eastAsia="Arial" w:hAnsi="Arial"/>
          <w:b/>
          <w:bCs/>
          <w:color w:val="2C3E50"/>
          <w:sz w:val="24"/>
          <w:szCs w:val="24"/>
        </w:rPr>
        <w:t xml:space="preserve">Porter's Five Forces: AI Data Center Energy Sector</w:t>
      </w:r>
    </w:p>
    <w:p>
      <w:pPr>
        <w:spacing w:after="160" w:before="0"/>
        <w:ind w:firstLine="0"/>
        <w:jc w:val="both"/>
      </w:pPr>
      <w:r>
        <w:rPr>
          <w:rFonts w:ascii="Times New Roman" w:cs="Times New Roman" w:eastAsia="Times New Roman" w:hAnsi="Times New Roman"/>
          <w:sz w:val="24"/>
          <w:szCs w:val="24"/>
        </w:rPr>
        <w:t xml:space="preserve">Threat of New Entrants (to energy supply for AI): High barriers. Nuclear and large-scale renewables require decade-long development timelines and multi-billion capital commitments. Grid connection capacity in key AI markets (Northern Virginia, Texas, Singapore) is constrained — wait times for high-voltage interconnection exceed 5 years in some markets. Energy supply is becoming a bottleneck that new AI entrants cannot easily replicate.</w:t>
      </w:r>
    </w:p>
    <w:p>
      <w:pPr>
        <w:spacing w:after="160" w:before="0"/>
        <w:ind w:firstLine="0"/>
        <w:jc w:val="both"/>
      </w:pPr>
      <w:r>
        <w:rPr>
          <w:rFonts w:ascii="Times New Roman" w:cs="Times New Roman" w:eastAsia="Times New Roman" w:hAnsi="Times New Roman"/>
          <w:sz w:val="24"/>
          <w:szCs w:val="24"/>
        </w:rPr>
        <w:t xml:space="preserve">Supplier Power (energy providers): Rising rapidly. Nuclear operators, renewable developers, and grid operators hold increasing leverage as AI companies compete for limited clean power capacity. Microsoft's $16B, 20-year deal and Amazon's $20B+ nuclear campus commitment demonstrate the lengths to which buyers will go — and the prices suppliers can command.</w:t>
      </w:r>
    </w:p>
    <w:p>
      <w:pPr>
        <w:spacing w:after="160" w:before="0"/>
        <w:ind w:firstLine="0"/>
        <w:jc w:val="both"/>
      </w:pPr>
      <w:r>
        <w:rPr>
          <w:rFonts w:ascii="Times New Roman" w:cs="Times New Roman" w:eastAsia="Times New Roman" w:hAnsi="Times New Roman"/>
          <w:sz w:val="24"/>
          <w:szCs w:val="24"/>
        </w:rPr>
        <w:t xml:space="preserve">Buyer Power (AI companies purchasing energy): Currently moderate but declining. Companies with larger balance sheets (Microsoft, Amazon) can commit to longer-term, larger deals that secure better pricing and supply priority, creating a two-tier market that disadvantages smaller players like NovaSphere.</w:t>
      </w:r>
    </w:p>
    <w:p>
      <w:pPr>
        <w:spacing w:after="160" w:before="0"/>
        <w:ind w:firstLine="0"/>
        <w:jc w:val="both"/>
      </w:pPr>
      <w:r>
        <w:rPr>
          <w:rFonts w:ascii="Times New Roman" w:cs="Times New Roman" w:eastAsia="Times New Roman" w:hAnsi="Times New Roman"/>
          <w:sz w:val="24"/>
          <w:szCs w:val="24"/>
        </w:rPr>
        <w:t xml:space="preserve">Competitive Rivalry (among AI companies for energy): Intensifying. Energy access is transitioning from a commodity cost to a strategic resource. The competitive dynamics resemble the early cloud wars, where data center footprint was a differentiator. The "prisoner's dilemma in carbon" creates a race-to-scale dynamic that makes unilateral restraint individually irrational even if collectively beneficial.</w:t>
      </w:r>
    </w:p>
    <w:p>
      <w:pPr>
        <w:spacing w:after="160" w:before="0"/>
        <w:ind w:firstLine="0"/>
        <w:jc w:val="both"/>
      </w:pPr>
      <w:r>
        <w:rPr>
          <w:rFonts w:ascii="Times New Roman" w:cs="Times New Roman" w:eastAsia="Times New Roman" w:hAnsi="Times New Roman"/>
          <w:sz w:val="24"/>
          <w:szCs w:val="24"/>
        </w:rPr>
        <w:t xml:space="preserve">Substitute Products (alternative compute paradigms): Emerging. Quantum computing, neuromorphic chips, and optical computing represent potential long-run substitutes for GPU-based AI that could dramatically reduce energy intensity. None are commercially viable at scale in 2026, but the R&amp;D trajectory over 10–15 years is relevant to long-cycle infrastructure commitments like nuclear.</w:t>
      </w:r>
    </w:p>
    <w:p>
      <w:pPr>
        <w:spacing w:after="80" w:before="260"/>
      </w:pPr>
      <w:r>
        <w:rPr>
          <w:rFonts w:ascii="Arial" w:cs="Arial" w:eastAsia="Arial" w:hAnsi="Arial"/>
          <w:b/>
          <w:bCs/>
          <w:color w:val="2C3E50"/>
          <w:sz w:val="24"/>
          <w:szCs w:val="24"/>
        </w:rPr>
        <w:t xml:space="preserve">Disruptive Innovation Framework (Christensen)</w:t>
      </w:r>
    </w:p>
    <w:p>
      <w:pPr>
        <w:spacing w:after="160" w:before="0"/>
        <w:ind w:firstLine="0"/>
        <w:jc w:val="both"/>
      </w:pPr>
      <w:r>
        <w:rPr>
          <w:rFonts w:ascii="Times New Roman" w:cs="Times New Roman" w:eastAsia="Times New Roman" w:hAnsi="Times New Roman"/>
          <w:sz w:val="24"/>
          <w:szCs w:val="24"/>
        </w:rPr>
        <w:t xml:space="preserve">The efficiency pivot (Option B) reflects a sustaining innovation path — improving the performance of existing products on dimensions the market values. The principled pause (Option C) could be read as a disruptive move: abandoning the frontier-scale market temporarily to serve a segment (mid-market, sustainability-sensitive enterprise clients) that existing competitors overlook or cannot efficiently serve. The question is whether this "disruption" is strategic positioning or strategic retreat.</w:t>
      </w:r>
    </w:p>
    <w:p>
      <w:pPr>
        <w:pBdr>
          <w:bottom w:val="single" w:color="C0392B" w:sz="4" w:space="4"/>
        </w:pBdr>
        <w:spacing w:after="140" w:before="400"/>
      </w:pPr>
      <w:r>
        <w:rPr>
          <w:rFonts w:ascii="Arial" w:cs="Arial" w:eastAsia="Arial" w:hAnsi="Arial"/>
          <w:b/>
          <w:bCs/>
          <w:color w:val="1A1A2E"/>
          <w:sz w:val="30"/>
          <w:szCs w:val="30"/>
        </w:rPr>
        <w:t xml:space="preserve">QUANTITATIVE ANALYSIS GUIDE</w:t>
      </w:r>
    </w:p>
    <w:p>
      <w:pPr>
        <w:spacing w:after="160" w:before="0"/>
        <w:ind w:firstLine="0"/>
        <w:jc w:val="both"/>
      </w:pPr>
      <w:r>
        <w:rPr>
          <w:rFonts w:ascii="Times New Roman" w:cs="Times New Roman" w:eastAsia="Times New Roman" w:hAnsi="Times New Roman"/>
          <w:sz w:val="24"/>
          <w:szCs w:val="24"/>
        </w:rPr>
        <w:t xml:space="preserve">Key calculation 1: Energy cost trajectory. At 13.3% of FY25 revenue and growing, if revenue doubles to $5.2B by FY27 and energy as a % of revenue continues rising (say, to 18%), energy cost = $936M, up from $348M in FY25. At $0.075/kWh blended rate, this implies ~12.5 TWh annual consumption — a fraction of the trajectory suggested by the 71% year-over-year growth rate.</w:t>
      </w:r>
    </w:p>
    <w:p>
      <w:pPr>
        <w:spacing w:after="160" w:before="0"/>
        <w:ind w:firstLine="0"/>
        <w:jc w:val="both"/>
      </w:pPr>
      <w:r>
        <w:rPr>
          <w:rFonts w:ascii="Times New Roman" w:cs="Times New Roman" w:eastAsia="Times New Roman" w:hAnsi="Times New Roman"/>
          <w:sz w:val="24"/>
          <w:szCs w:val="24"/>
        </w:rPr>
        <w:t xml:space="preserve">Key calculation 2: ROI on Option B (efficiency pivot). A 35% reduction in energy per compute unit by 2028, applied to a projected 35 TWh annual consumption (extrapolating current growth), would save approximately 12.25 TWh per year. At $0.075/kWh, this is $919M in annual savings — potentially making the $1.0B investment cash-positive within 14 months. However, this assumes compute growth does not offset efficiency gains — a critical and highly uncertain assumption.</w:t>
      </w:r>
    </w:p>
    <w:p>
      <w:pPr>
        <w:spacing w:after="160" w:before="0"/>
        <w:ind w:firstLine="0"/>
        <w:jc w:val="both"/>
      </w:pPr>
      <w:r>
        <w:rPr>
          <w:rFonts w:ascii="Times New Roman" w:cs="Times New Roman" w:eastAsia="Times New Roman" w:hAnsi="Times New Roman"/>
          <w:sz w:val="24"/>
          <w:szCs w:val="24"/>
        </w:rPr>
        <w:t xml:space="preserve">Key calculation 3: The "3 AM number." Exhibit 1 shows energy cost rising from 4.8% of revenue in FY22 to 13.3% in FY25. Students who project this forward will find that if the trend continues, energy costs reach 25–30% of revenue by FY28 — at which point the business model is fundamentally challenged. This is the "buried data point" designed to generate classroom breakthrough moments.</w:t>
      </w:r>
    </w:p>
    <w:p>
      <w:pPr>
        <w:pBdr>
          <w:bottom w:val="single" w:color="C0392B" w:sz="4" w:space="4"/>
        </w:pBdr>
        <w:spacing w:after="140" w:before="400"/>
      </w:pPr>
      <w:r>
        <w:rPr>
          <w:rFonts w:ascii="Arial" w:cs="Arial" w:eastAsia="Arial" w:hAnsi="Arial"/>
          <w:b/>
          <w:bCs/>
          <w:color w:val="1A1A2E"/>
          <w:sz w:val="30"/>
          <w:szCs w:val="30"/>
        </w:rPr>
        <w:t xml:space="preserve">WHAT ACTUALLY HAPPENED (EPILOGUE FOR INSTRUCTOR USE)</w:t>
      </w:r>
    </w:p>
    <w:p>
      <w:pPr>
        <w:spacing w:after="160" w:before="0"/>
        <w:ind w:firstLine="0"/>
        <w:jc w:val="both"/>
      </w:pPr>
      <w:r>
        <w:rPr>
          <w:rFonts w:ascii="Times New Roman" w:cs="Times New Roman" w:eastAsia="Times New Roman" w:hAnsi="Times New Roman"/>
          <w:sz w:val="24"/>
          <w:szCs w:val="24"/>
        </w:rPr>
        <w:t xml:space="preserve">NOTE: NovaSphere AI is a fictional company constructed for pedagogical purposes. The energy statistics, competitive dynamics, and regulatory context are drawn from real-world public sources and represent the actual state of the industry as of early 2026. Instructors may wish to update this section with developments from Microsoft, Google, Amazon, or Anthropic that occur after the case's February 2026 writing date.</w:t>
      </w:r>
    </w:p>
    <w:p>
      <w:pPr>
        <w:spacing w:after="160" w:before="0"/>
        <w:ind w:firstLine="0"/>
        <w:jc w:val="both"/>
      </w:pPr>
      <w:r>
        <w:rPr>
          <w:rFonts w:ascii="Times New Roman" w:cs="Times New Roman" w:eastAsia="Times New Roman" w:hAnsi="Times New Roman"/>
          <w:sz w:val="24"/>
          <w:szCs w:val="24"/>
        </w:rPr>
        <w:t xml:space="preserve">Suggested resolution for debrief: NovaSphere's board authorized a hybrid approach — committing to the NuScale SMR term sheet (Option A) while simultaneously launching a $620M immersion cooling retrofit program for the Virginia and Texas campuses (subset of Option B), and imposing a voluntary 12-month cap on new training compute (a partial Option C) pending board review in Q1 2027. The partial pause generated significant press coverage and was credited with attracting two large enterprise contracts from European clients subject to Scope 3 disclosure requirements. The SMR deal remained in preliminary stages. The hybrid approach preserved optionality while signaling commitment — a characteristic strategic response under deep uncertainty.</w:t>
      </w:r>
    </w:p>
    <w:p>
      <w:pPr>
        <w:spacing w:after="160" w:before="0"/>
        <w:ind w:firstLine="0"/>
        <w:jc w:val="both"/>
      </w:pPr>
      <w:r>
        <w:rPr>
          <w:rFonts w:ascii="Times New Roman" w:cs="Times New Roman" w:eastAsia="Times New Roman" w:hAnsi="Times New Roman"/>
          <w:sz w:val="24"/>
          <w:szCs w:val="24"/>
        </w:rPr>
        <w:t xml:space="preserve">Key lessons: (1) Under deep uncertainty, preserving optionality through hybrid strategies often dominates pure commitment to a single path. (2) The competitive disadvantage from voluntary restraint may be smaller than feared when reputational benefits attract differentiated client segments. (3) The gap between REC-based "clean energy" claims and physical decarbonization is increasingly scrutinized by institutional investors and regulators — and that scrutiny creates strategic urgency independent of the physics.</w:t>
      </w:r>
    </w:p>
    <w:p>
      <w:pPr>
        <w:pBdr>
          <w:bottom w:val="single" w:color="C0392B" w:sz="4" w:space="4"/>
        </w:pBdr>
        <w:spacing w:after="140" w:before="400"/>
      </w:pPr>
      <w:r>
        <w:rPr>
          <w:rFonts w:ascii="Arial" w:cs="Arial" w:eastAsia="Arial" w:hAnsi="Arial"/>
          <w:b/>
          <w:bCs/>
          <w:color w:val="1A1A2E"/>
          <w:sz w:val="30"/>
          <w:szCs w:val="30"/>
        </w:rPr>
        <w:t xml:space="preserve">SUPPLEMENTARY MATERIALS</w:t>
      </w:r>
    </w:p>
    <w:p>
      <w:pPr>
        <w:spacing w:after="160" w:before="0"/>
        <w:ind w:firstLine="0"/>
        <w:jc w:val="both"/>
      </w:pPr>
      <w:r>
        <w:rPr>
          <w:rFonts w:ascii="Times New Roman" w:cs="Times New Roman" w:eastAsia="Times New Roman" w:hAnsi="Times New Roman"/>
          <w:sz w:val="24"/>
          <w:szCs w:val="24"/>
        </w:rPr>
        <w:t xml:space="preserve">Recommended reading: IEA Energy and AI Report (2025), Executive Summary — freely available at iea.org. Provides the empirical foundation for the case's energy projections.</w:t>
      </w:r>
    </w:p>
    <w:p>
      <w:pPr>
        <w:spacing w:after="160" w:before="0"/>
        <w:ind w:firstLine="0"/>
        <w:jc w:val="both"/>
      </w:pPr>
      <w:r>
        <w:rPr>
          <w:rFonts w:ascii="Times New Roman" w:cs="Times New Roman" w:eastAsia="Times New Roman" w:hAnsi="Times New Roman"/>
          <w:sz w:val="24"/>
          <w:szCs w:val="24"/>
        </w:rPr>
        <w:t xml:space="preserve">Companion case: "Microsoft's Carbon Moonshot" (HBS 9-622-059) — examines a hyperscaler's sustainability commitments before the AI scaling inflection; pairs well for a before-and-after structure.</w:t>
      </w:r>
    </w:p>
    <w:p>
      <w:pPr>
        <w:spacing w:after="160" w:before="0"/>
        <w:ind w:firstLine="0"/>
        <w:jc w:val="both"/>
      </w:pPr>
      <w:r>
        <w:rPr>
          <w:rFonts w:ascii="Times New Roman" w:cs="Times New Roman" w:eastAsia="Times New Roman" w:hAnsi="Times New Roman"/>
          <w:sz w:val="24"/>
          <w:szCs w:val="24"/>
        </w:rPr>
        <w:t xml:space="preserve">Video: Brad Smith (Microsoft President) at Davos 2025 on AI energy — 18-minute interview available on YouTube. Assign before class for students to understand the industry's self-positioning.</w:t>
      </w:r>
    </w:p>
    <w:p>
      <w:pPr>
        <w:spacing w:after="160" w:before="0"/>
        <w:ind w:firstLine="0"/>
        <w:jc w:val="both"/>
      </w:pPr>
      <w:r>
        <w:rPr>
          <w:rFonts w:ascii="Times New Roman" w:cs="Times New Roman" w:eastAsia="Times New Roman" w:hAnsi="Times New Roman"/>
          <w:sz w:val="24"/>
          <w:szCs w:val="24"/>
        </w:rPr>
        <w:t xml:space="preserve">Optional quantitative exercise: Provide students with a simplified Excel model of NovaSphere's energy cost and emissions trajectory under each option, with adjustable assumptions for compute growth, energy prices, and carbon offset costs. Recommended for finance-track MBA courses.</w:t>
      </w:r>
    </w:p>
    <w:sectPr>
      <w:headerReference w:type="default" r:id="rId11"/>
      <w:footerReference w:type="default" r:id="rId1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after="0" w:before="80"/>
      <w:jc w:val="center"/>
    </w:pPr>
    <w:r>
      <w:rPr>
        <w:rFonts w:ascii="Arial" w:cs="Arial" w:eastAsia="Arial" w:hAnsi="Arial"/>
        <w:color w:val="888888"/>
        <w:sz w:val="16"/>
        <w:szCs w:val="16"/>
      </w:rPr>
      <w:t xml:space="preserve">Copyright © 2026 Harvard Business School Publishing. Reproduction prohibited without permission.   </w:t>
    </w:r>
    <w:r>
      <w:rPr>
        <w:rFonts w:ascii="Arial" w:cs="Arial" w:eastAsia="Arial" w:hAnsi="Arial"/>
        <w:color w:val="888888"/>
        <w:sz w:val="16"/>
        <w:szCs w:val="16"/>
      </w:rPr>
      <w:fldSimple w:instr="PAG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after="0" w:before="80"/>
      <w:jc w:val="center"/>
    </w:pPr>
    <w:r>
      <w:rPr>
        <w:rFonts w:ascii="Arial" w:cs="Arial" w:eastAsia="Arial" w:hAnsi="Arial"/>
        <w:color w:val="888888"/>
        <w:sz w:val="16"/>
        <w:szCs w:val="16"/>
      </w:rPr>
      <w:t xml:space="preserve">Copyright © 2026 Harvard Business School Publishing. Reproduction prohibited without permission.   </w:t>
    </w:r>
    <w:r>
      <w:rPr>
        <w:rFonts w:ascii="Arial" w:cs="Arial" w:eastAsia="Arial" w:hAnsi="Arial"/>
        <w:color w:val="888888"/>
        <w:sz w:val="16"/>
        <w:szCs w:val="16"/>
      </w:rPr>
      <w:fldSimple w:instr="PAG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after="0" w:before="80"/>
      <w:jc w:val="center"/>
    </w:pPr>
    <w:r>
      <w:rPr>
        <w:rFonts w:ascii="Arial" w:cs="Arial" w:eastAsia="Arial" w:hAnsi="Arial"/>
        <w:color w:val="888888"/>
        <w:sz w:val="16"/>
        <w:szCs w:val="16"/>
      </w:rPr>
      <w:t xml:space="preserve">Copyright © 2026 Harvard Business School Publishing. Reproduction prohibited without permission.   </w:t>
    </w:r>
    <w:r>
      <w:rPr>
        <w:rFonts w:ascii="Arial" w:cs="Arial" w:eastAsia="Arial" w:hAnsi="Arial"/>
        <w:color w:val="888888"/>
        <w:sz w:val="16"/>
        <w:szCs w:val="16"/>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80" w:before="0"/>
    </w:pPr>
    <w:r>
      <w:rPr>
        <w:rFonts w:ascii="Arial" w:cs="Arial" w:eastAsia="Arial" w:hAnsi="Arial"/>
        <w:b/>
        <w:bCs/>
        <w:color w:val="C0392B"/>
        <w:sz w:val="18"/>
        <w:szCs w:val="18"/>
      </w:rPr>
      <w:t xml:space="preserve">CASE NO: HBS-TEC-2026-01   </w:t>
    </w:r>
    <w:r>
      <w:rPr>
        <w:rFonts w:ascii="Arial" w:cs="Arial" w:eastAsia="Arial" w:hAnsi="Arial"/>
        <w:color w:val="888888"/>
        <w:sz w:val="18"/>
        <w:szCs w:val="18"/>
      </w:rPr>
      <w:t xml:space="preserve">VOLT &amp; VIRTUE: THE AI ENERGY RECKONING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80" w:before="0"/>
    </w:pPr>
    <w:r>
      <w:rPr>
        <w:rFonts w:ascii="Arial" w:cs="Arial" w:eastAsia="Arial" w:hAnsi="Arial"/>
        <w:b/>
        <w:bCs/>
        <w:color w:val="C0392B"/>
        <w:sz w:val="18"/>
        <w:szCs w:val="18"/>
      </w:rPr>
      <w:t xml:space="preserve">CASE NO: HBS-TEC-2026-01   </w:t>
    </w:r>
    <w:r>
      <w:rPr>
        <w:rFonts w:ascii="Arial" w:cs="Arial" w:eastAsia="Arial" w:hAnsi="Arial"/>
        <w:color w:val="888888"/>
        <w:sz w:val="18"/>
        <w:szCs w:val="18"/>
      </w:rPr>
      <w:t xml:space="preserve">VOLT &amp; VIRTUE: THE AI ENERGY RECKONING</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74C3C" w:sz="4" w:space="4"/>
      </w:pBdr>
      <w:spacing w:after="80" w:before="0"/>
      <w:jc w:val="center"/>
    </w:pPr>
    <w:r>
      <w:rPr>
        <w:rFonts w:ascii="Arial" w:cs="Arial" w:eastAsia="Arial" w:hAnsi="Arial"/>
        <w:b/>
        <w:bCs/>
        <w:color w:val="E74C3C"/>
        <w:sz w:val="18"/>
        <w:szCs w:val="18"/>
      </w:rPr>
      <w:t xml:space="preserve">⚠  TEACHING NOTE — STRICTLY CONFIDENTIAL — NOT FOR STUDENT DISTRIBUTION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2026-05-02T13:57:40.473Z</dcterms:created>
  <dcterms:modified xsi:type="dcterms:W3CDTF">2026-05-02T13:57:40.493Z</dcterms:modified>
</cp:coreProperties>
</file>

<file path=docProps/custom.xml><?xml version="1.0" encoding="utf-8"?>
<Properties xmlns="http://schemas.openxmlformats.org/officeDocument/2006/custom-properties" xmlns:vt="http://schemas.openxmlformats.org/officeDocument/2006/docPropsVTypes"/>
</file>